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高频因子工程与订单簿微观结构：A股特色OFI、参与者画像与统计学增强的深度研究</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在现代金融市场的演进过程中，量化投资的Alpha来源正在迅速向微观结构领域下沉。然而，与欧美高度成熟的完全电子化做市商市场不同，中国A股市场具备其独有的微观结构特征：</w:t>
      </w:r>
      <w:r w:rsidDel="00000000" w:rsidR="00000000" w:rsidRPr="00000000">
        <w:rPr>
          <w:rFonts w:ascii="Arial Unicode MS" w:cs="Arial Unicode MS" w:eastAsia="Arial Unicode MS" w:hAnsi="Arial Unicode MS"/>
          <w:b w:val="1"/>
          <w:bCs w:val="1"/>
          <w:color w:val="1f1f1f"/>
          <w:rtl w:val="0"/>
        </w:rPr>
        <w:t xml:space="preserve">T+1交收制度、涨跌停板限制（Price Limits）、缺乏做空机制以及极高的个人投资者（散户）交易占比</w:t>
      </w:r>
      <w:r w:rsidDel="00000000" w:rsidR="00000000" w:rsidRPr="00000000">
        <w:rPr>
          <w:rFonts w:ascii="Arial Unicode MS" w:cs="Arial Unicode MS" w:eastAsia="Arial Unicode MS" w:hAnsi="Arial Unicode MS"/>
          <w:color w:val="1f1f1f"/>
          <w:rtl w:val="0"/>
        </w:rPr>
        <w:t xml:space="preserve">。在A股环境中，量化策略往往无法执行微秒级的纯高频套利（HFT），策略的原材料虽然同样是逐笔交易（Tick Data）或Level 2快照，但因子的构建目标更多是为了</w:t>
      </w:r>
      <w:r w:rsidDel="00000000" w:rsidR="00000000" w:rsidRPr="00000000">
        <w:rPr>
          <w:rFonts w:ascii="Arial Unicode MS" w:cs="Arial Unicode MS" w:eastAsia="Arial Unicode MS" w:hAnsi="Arial Unicode MS"/>
          <w:b w:val="1"/>
          <w:bCs w:val="1"/>
          <w:color w:val="1f1f1f"/>
          <w:rtl w:val="0"/>
        </w:rPr>
        <w:t xml:space="preserve">优化机构执行算法（VWAP/TWAP）、进行底仓日内T+0回转增强，或者降频提取能够在T+1乃至更长周期延续的微观动量</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从这种信噪比极低且受制度约束的高频环境中系统性地提取具有预测能力的因子，研究人员必须超越简单的传统技术指标。本报告旨在提供一份关于A股高频因子工程的详尽深度分析。报告从A股特色的逐笔Tick数据与Level 2快照数据解析出发，探讨订单流不平衡（OFI）在涨跌停板机制下的变体，全面剖析基于A股“主买主卖”与散户行为的参与者画像（Participant Profiling）构建方法，并详细阐述如何利用高级统计学与机器学习手段发现并增强有效因子，最终落脚于T+1规则下的高频因子信息系数（IC）检验与Alpha衰减评估。</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A股市场的数据颗粒度与极限订单簿（LOB）重建</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任何微观预测因子的底层基石都在于极限订单簿（LOB）的精确重构。但在A股市场，公众与多数私募机构能够获取的数据层级与海外存在显著差异，这直接决定了因子工程的上限。</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1.1 A股数据颗粒度与事件层级架构</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市场数据通常以不同的颗粒度级别进行分发：</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Level 1 数据：</w:t>
      </w:r>
      <w:r w:rsidDel="00000000" w:rsidR="00000000" w:rsidRPr="00000000">
        <w:rPr>
          <w:rFonts w:ascii="Arial Unicode MS" w:cs="Arial Unicode MS" w:eastAsia="Arial Unicode MS" w:hAnsi="Arial Unicode MS"/>
          <w:color w:val="1f1f1f"/>
          <w:rtl w:val="0"/>
        </w:rPr>
        <w:t xml:space="preserve"> 仅提供订单簿最顶层（BBO）信息，通常是极低频的快照。</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Level 2 快照数据（Snapshot）：</w:t>
      </w:r>
      <w:r w:rsidDel="00000000" w:rsidR="00000000" w:rsidRPr="00000000">
        <w:rPr>
          <w:rFonts w:ascii="Arial Unicode MS" w:cs="Arial Unicode MS" w:eastAsia="Arial Unicode MS" w:hAnsi="Arial Unicode MS"/>
          <w:color w:val="1f1f1f"/>
          <w:rtl w:val="0"/>
        </w:rPr>
        <w:t xml:space="preserve"> A股最广泛使用的高频数据。通常提供每3秒钟一次的买卖盘前10档（或深交所前100档）价格与挂单量快照。虽然揭示了市场深度，但3秒的切片时间掩盖了这期间发生的大量订单插入与撤销。</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Level 2 逐笔数据（Tick Data / 逐笔委托与逐笔成交）：</w:t>
      </w:r>
      <w:r w:rsidDel="00000000" w:rsidR="00000000" w:rsidRPr="00000000">
        <w:rPr>
          <w:rFonts w:ascii="Arial Unicode MS" w:cs="Arial Unicode MS" w:eastAsia="Arial Unicode MS" w:hAnsi="Arial Unicode MS"/>
          <w:color w:val="1f1f1f"/>
          <w:rtl w:val="0"/>
        </w:rPr>
        <w:t xml:space="preserve"> 这是A股目前能获取的最细颗粒度数据。深交所和上交所目前均提供逐笔成交（包含成交价格、数量、买卖方向）和逐笔委托（包含新增和撤单，带有订单ID）。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要在A股重建LOB的精确状态，如果拥有逐笔委托和成交数据，可以通过事件重放（Replay）来还原订单簿。如果没有逐笔委托，仅依靠3秒一次的Level 2快照和逐笔成交数据，则只能进行</w:t>
      </w:r>
      <w:r w:rsidDel="00000000" w:rsidR="00000000" w:rsidRPr="00000000">
        <w:rPr>
          <w:rFonts w:ascii="Arial Unicode MS" w:cs="Arial Unicode MS" w:eastAsia="Arial Unicode MS" w:hAnsi="Arial Unicode MS"/>
          <w:b w:val="1"/>
          <w:bCs w:val="1"/>
          <w:color w:val="1f1f1f"/>
          <w:rtl w:val="0"/>
        </w:rPr>
        <w:t xml:space="preserve">启发式的聚合还原</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1.2 订单簿重建的底层操作与A股特殊处理</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状态机中必须被精确解析并应用的主要事件类型包括新增（Add）、撤单（Cancel）和成交（Execute）。对于A股的逐笔数据重建，一个健壮的引擎需要处理大量数据，并且在处理极端波动性期间保持操作的时间复杂度为 </w:t>
      </w:r>
      <w:r w:rsidDel="00000000" w:rsidR="00000000" w:rsidRPr="00000000">
        <w:rPr>
          <w:rFonts w:ascii="Arial" w:cs="Arial" w:eastAsia="Arial" w:hAnsi="Arial"/>
          <w:color w:val="1f1f1f"/>
        </w:rPr>
        <w:drawing>
          <wp:inline distB="19050" distT="19050" distL="19050" distR="19050">
            <wp:extent cx="381521" cy="228913"/>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1521" cy="22891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然而，由于A股存在**集合竞价（Call Auction）</w:t>
      </w:r>
      <w:r w:rsidDel="00000000" w:rsidR="00000000" w:rsidRPr="00000000">
        <w:rPr>
          <w:rFonts w:ascii="Arial Unicode MS" w:cs="Arial Unicode MS" w:eastAsia="Arial Unicode MS" w:hAnsi="Arial Unicode MS"/>
          <w:b w:val="1"/>
          <w:bCs w:val="1"/>
          <w:color w:val="1f1f1f"/>
          <w:rtl w:val="0"/>
        </w:rPr>
        <w:t xml:space="preserve">和</w:t>
      </w:r>
      <w:r w:rsidDel="00000000" w:rsidR="00000000" w:rsidRPr="00000000">
        <w:rPr>
          <w:rFonts w:ascii="Arial Unicode MS" w:cs="Arial Unicode MS" w:eastAsia="Arial Unicode MS" w:hAnsi="Arial Unicode MS"/>
          <w:color w:val="1f1f1f"/>
          <w:rtl w:val="0"/>
        </w:rPr>
        <w:t xml:space="preserve">连续竞价（Continuous Auction）**两个阶段，订单簿重建时必须进行特殊处理。集合竞价阶段（9:15-9:25）的撮合规则是最大成交量原则，而非时间价格优先，这段时间的订单不直接改变连续的BBO，因此因子构建时通常需要将集合竞价阶段的订单流特征单独提取，不能与连续竞价阶段混同计算。</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订单流不平衡（OFI）的A股特色机制与变体扩展</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单纯依赖已执行的交易彻底忽略了市场中绝大部分的潜在信息，真正的买卖压力往往体现在未成交的挂单上。</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2.1 基础OFI因子的数学模型</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Cont, Kukanov, 和 Stoikov (2014) 提出的订单流不平衡（Order Flow Imbalance, OFI）是一个在最优买卖价（Level 1）层面上聚合所有影响买卖队列规模的微观事件的变量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。一个主动抛售的市价卖单与一个撤销现有买盘的被动撤单，对市场施加了完全相同的机械压力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对于给定的Tick步长 </w:t>
      </w:r>
      <w:r w:rsidDel="00000000" w:rsidR="00000000" w:rsidRPr="00000000">
        <w:rPr>
          <w:rFonts w:ascii="Arial" w:cs="Arial" w:eastAsia="Arial" w:hAnsi="Arial"/>
          <w:color w:val="1f1f1f"/>
        </w:rPr>
        <w:drawing>
          <wp:inline distB="19050" distT="19050" distL="19050" distR="19050">
            <wp:extent cx="110654" cy="221308"/>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10654" cy="22130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，从事件 </w:t>
      </w:r>
      <w:r w:rsidDel="00000000" w:rsidR="00000000" w:rsidRPr="00000000">
        <w:rPr>
          <w:rFonts w:ascii="Arial" w:cs="Arial" w:eastAsia="Arial" w:hAnsi="Arial"/>
          <w:color w:val="1f1f1f"/>
        </w:rPr>
        <w:drawing>
          <wp:inline distB="19050" distT="19050" distL="19050" distR="19050">
            <wp:extent cx="428253" cy="228401"/>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28253" cy="22840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到 </w:t>
      </w:r>
      <w:r w:rsidDel="00000000" w:rsidR="00000000" w:rsidRPr="00000000">
        <w:rPr>
          <w:rFonts w:ascii="Arial" w:cs="Arial" w:eastAsia="Arial" w:hAnsi="Arial"/>
          <w:color w:val="1f1f1f"/>
        </w:rPr>
        <w:drawing>
          <wp:inline distB="19050" distT="19050" distL="19050" distR="19050">
            <wp:extent cx="110654" cy="221308"/>
            <wp:effectExtent b="0" l="0" r="0" t="0"/>
            <wp:docPr id="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10654" cy="22130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的单步OFI变化 </w:t>
      </w:r>
      <w:r w:rsidDel="00000000" w:rsidR="00000000" w:rsidRPr="00000000">
        <w:rPr>
          <w:rFonts w:ascii="Arial" w:cs="Arial" w:eastAsia="Arial" w:hAnsi="Arial"/>
          <w:color w:val="1f1f1f"/>
        </w:rPr>
        <w:drawing>
          <wp:inline distB="19050" distT="19050" distL="19050" distR="19050">
            <wp:extent cx="172566" cy="230088"/>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72566" cy="23008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定义为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708675" cy="110552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08675" cy="110552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在一个特定的观察窗口 </w:t>
      </w:r>
      <w:r w:rsidDel="00000000" w:rsidR="00000000" w:rsidRPr="00000000">
        <w:rPr>
          <w:rFonts w:ascii="Arial" w:cs="Arial" w:eastAsia="Arial" w:hAnsi="Arial"/>
          <w:color w:val="1f1f1f"/>
        </w:rPr>
        <w:drawing>
          <wp:inline distB="19050" distT="19050" distL="19050" distR="19050">
            <wp:extent cx="101947" cy="22243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01947" cy="22243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内，总的OFI是这些离散事件的线性累加：</w:t>
      </w:r>
      <w:r w:rsidDel="00000000" w:rsidR="00000000" w:rsidRPr="00000000">
        <w:rPr>
          <w:rFonts w:ascii="Arial" w:cs="Arial" w:eastAsia="Arial" w:hAnsi="Arial"/>
          <w:color w:val="1f1f1f"/>
        </w:rPr>
        <w:drawing>
          <wp:inline distB="19050" distT="19050" distL="19050" distR="19050">
            <wp:extent cx="1334472" cy="238298"/>
            <wp:effectExtent b="0" l="0" r="0" t="0"/>
            <wp:docPr id="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334472" cy="23829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2.2 多层订单流不平衡（MLOFI）的深度下沉</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仅仅依赖Level 1的基础OFI因子会丢失大量高潜预测信息。多层订单流不平衡（Multi-Level Order Flow Imbalance, MLOFI）将分析维度扩展至 </w:t>
      </w:r>
      <w:r w:rsidDel="00000000" w:rsidR="00000000" w:rsidRPr="00000000">
        <w:rPr>
          <w:rFonts w:ascii="Arial" w:cs="Arial" w:eastAsia="Arial" w:hAnsi="Arial"/>
          <w:color w:val="1f1f1f"/>
        </w:rPr>
        <w:drawing>
          <wp:inline distB="19050" distT="19050" distL="19050" distR="19050">
            <wp:extent cx="198983" cy="227409"/>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98983" cy="22740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层，精准追踪流动性压力是如何从深层订单簿逐步向最优报价发生级联传导的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。对于A股，利用Level 2的10档快照数据，可以非常方便地构建10维的MLOFI向量。</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2.3 涨跌停板机制下的“磁吸效应”（Magnet Effect）对OFI的扭曲</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在A股因子工程中，必须引入对涨跌停板（Price Limits）的修正。大量高频数据实证表明，当A股股票价格接近涨停板（如涨幅达到8%-9%）时，会产生显著的**“磁吸效应”（Magnet Effect）**——价格会加速向涨停板边界靠拢。</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在这种极端非线性状态下，传统的OFI因子会失效。当价格接近涨停时，卖盘（Ask Queue）会迅速枯竭，而大量追涨资金会堆积在买盘（Bid Queue），导致OFI呈现出极端的不平衡极值。如果不进行统计学上的截断（Winsorization）或基于价格距离（Distance to Limit）的权重衰减，这些极端OFI值会严重污染线性回归模型。因此，针对A股的改进方案是构建</w:t>
      </w:r>
      <w:r w:rsidDel="00000000" w:rsidR="00000000" w:rsidRPr="00000000">
        <w:rPr>
          <w:rFonts w:ascii="Arial Unicode MS" w:cs="Arial Unicode MS" w:eastAsia="Arial Unicode MS" w:hAnsi="Arial Unicode MS"/>
          <w:b w:val="1"/>
          <w:bCs w:val="1"/>
          <w:color w:val="1f1f1f"/>
          <w:rtl w:val="0"/>
        </w:rPr>
        <w:t xml:space="preserve">条件OFI（Conditional OFI）</w:t>
      </w:r>
      <w:r w:rsidDel="00000000" w:rsidR="00000000" w:rsidRPr="00000000">
        <w:rPr>
          <w:rFonts w:ascii="Arial Unicode MS" w:cs="Arial Unicode MS" w:eastAsia="Arial Unicode MS" w:hAnsi="Arial Unicode MS"/>
          <w:color w:val="1f1f1f"/>
          <w:rtl w:val="0"/>
        </w:rPr>
        <w:t xml:space="preserve">，即当价格距离涨跌停板小于2%时，将OFI信号转化为特殊的“封板概率”因子，而非普通的线性价格冲击因子。</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市场参与者画像：从A股特色微观结构中提取Alpha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A股是一个散户主导、资金博弈特征极其明显的市场。通过对驱动订单流的市场参与者进行统计学画像，识别“主力资金（知情交易者）”与“散户（噪音交易者）”的动态，是A股高频量化最核心的Alpha来源之一。</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3.1 基于“主买/主卖”特征的大单因子改进</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在A股缺乏官方参与者标签的情况下，量化机构通常利用逐笔数据中的</w:t>
      </w:r>
      <w:r w:rsidDel="00000000" w:rsidR="00000000" w:rsidRPr="00000000">
        <w:rPr>
          <w:rFonts w:ascii="Arial Unicode MS" w:cs="Arial Unicode MS" w:eastAsia="Arial Unicode MS" w:hAnsi="Arial Unicode MS"/>
          <w:b w:val="1"/>
          <w:bCs w:val="1"/>
          <w:color w:val="1f1f1f"/>
          <w:rtl w:val="0"/>
        </w:rPr>
        <w:t xml:space="preserve">成交价格比较法</w:t>
      </w:r>
      <w:r w:rsidDel="00000000" w:rsidR="00000000" w:rsidRPr="00000000">
        <w:rPr>
          <w:rFonts w:ascii="Arial Unicode MS" w:cs="Arial Unicode MS" w:eastAsia="Arial Unicode MS" w:hAnsi="Arial Unicode MS"/>
          <w:color w:val="1f1f1f"/>
          <w:rtl w:val="0"/>
        </w:rPr>
        <w:t xml:space="preserve">来还原订单方向，并结合单笔订单的规模大小来进行参与者画像。</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主动买卖判定（Tick Rule）：</w:t>
      </w:r>
    </w:p>
    <w:p w:rsidR="00000000" w:rsidDel="00000000" w:rsidP="00000000" w:rsidRDefault="00000000" w:rsidRPr="00000000" w14:paraId="00000020">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Arial Unicode MS" w:cs="Arial Unicode MS" w:eastAsia="Arial Unicode MS" w:hAnsi="Arial Unicode MS"/>
          <w:color w:val="1f1f1f"/>
          <w:rtl w:val="0"/>
        </w:rPr>
        <w:t xml:space="preserve">若当前成交价格高于前一笔成交价格，划分为主动买入（主买）；</w:t>
      </w:r>
    </w:p>
    <w:p w:rsidR="00000000" w:rsidDel="00000000" w:rsidP="00000000" w:rsidRDefault="00000000" w:rsidRPr="00000000" w14:paraId="00000021">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Arial Unicode MS" w:cs="Arial Unicode MS" w:eastAsia="Arial Unicode MS" w:hAnsi="Arial Unicode MS"/>
          <w:color w:val="1f1f1f"/>
          <w:rtl w:val="0"/>
        </w:rPr>
        <w:t xml:space="preserve">若低于前一笔成交价格，划分为主动卖出（主卖）；</w:t>
      </w:r>
    </w:p>
    <w:p w:rsidR="00000000" w:rsidDel="00000000" w:rsidP="00000000" w:rsidRDefault="00000000" w:rsidRPr="00000000" w14:paraId="0000002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Arial Unicode MS" w:cs="Arial Unicode MS" w:eastAsia="Arial Unicode MS" w:hAnsi="Arial Unicode MS"/>
          <w:color w:val="1f1f1f"/>
          <w:rtl w:val="0"/>
        </w:rPr>
        <w:t xml:space="preserve">若等于前一笔，则沿用前一笔的方向。</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参与者规模切分：</w:t>
      </w:r>
      <w:r w:rsidDel="00000000" w:rsidR="00000000" w:rsidRPr="00000000">
        <w:rPr>
          <w:rFonts w:ascii="Arial Unicode MS" w:cs="Arial Unicode MS" w:eastAsia="Arial Unicode MS" w:hAnsi="Arial Unicode MS"/>
          <w:color w:val="1f1f1f"/>
          <w:rtl w:val="0"/>
        </w:rPr>
        <w:t xml:space="preserve"> 利用逐笔成交的金额大小，将其切分为大单（代表主力资金或量化机构）和小单（代表散户）。</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基于此，研究发现</w:t>
      </w:r>
      <w:r w:rsidDel="00000000" w:rsidR="00000000" w:rsidRPr="00000000">
        <w:rPr>
          <w:rFonts w:ascii="Arial Unicode MS" w:cs="Arial Unicode MS" w:eastAsia="Arial Unicode MS" w:hAnsi="Arial Unicode MS"/>
          <w:b w:val="1"/>
          <w:bCs w:val="1"/>
          <w:color w:val="1f1f1f"/>
          <w:rtl w:val="0"/>
        </w:rPr>
        <w:t xml:space="preserve">引入主动买卖特征的改进大单因子</w:t>
      </w:r>
      <w:r w:rsidDel="00000000" w:rsidR="00000000" w:rsidRPr="00000000">
        <w:rPr>
          <w:rFonts w:ascii="Arial Unicode MS" w:cs="Arial Unicode MS" w:eastAsia="Arial Unicode MS" w:hAnsi="Arial Unicode MS"/>
          <w:color w:val="1f1f1f"/>
          <w:rtl w:val="0"/>
        </w:rPr>
        <w:t xml:space="preserve">（例如“大单主买”减去“大单主卖”）具有极强的选股能力。在A股实证中，该类高频订单因子展现出了显著且稳健的多空超额收益，尤其是在剥离了传统的低频基本面选股因子后，这种纯净的微观行为因子依然具备极高的RankIC与胜率。此类因子本质上描绘了知情交易者在日内利用大单扫货（Aggressive Sweeping）的急迫性。</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3.2 T+1枷锁下的机构“伪T+0”与参与者博弈</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A股的T+1交易规则要求买入的股票必须隔日才能卖出，这使得单边散户在日内面临极高的被动性。然而，量化机构通过**“底仓交易+日内回转”**（即预先持有底仓，日内用剩余资金买入并卖出等量底仓）或融券机制，实质上实现了T+0操作。</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在这种规则下，高频参与者的画像特征往往表现为</w:t>
      </w:r>
      <w:r w:rsidDel="00000000" w:rsidR="00000000" w:rsidRPr="00000000">
        <w:rPr>
          <w:rFonts w:ascii="Arial Unicode MS" w:cs="Arial Unicode MS" w:eastAsia="Arial Unicode MS" w:hAnsi="Arial Unicode MS"/>
          <w:b w:val="1"/>
          <w:bCs w:val="1"/>
          <w:color w:val="1f1f1f"/>
          <w:rtl w:val="0"/>
        </w:rPr>
        <w:t xml:space="preserve">尾盘砸盘与早盘抄底的套利循环</w:t>
      </w:r>
      <w:r w:rsidDel="00000000" w:rsidR="00000000" w:rsidRPr="00000000">
        <w:rPr>
          <w:rFonts w:ascii="Arial Unicode MS" w:cs="Arial Unicode MS" w:eastAsia="Arial Unicode MS" w:hAnsi="Arial Unicode MS"/>
          <w:color w:val="1f1f1f"/>
          <w:rtl w:val="0"/>
        </w:rPr>
        <w:t xml:space="preserve">。机构为了获取日内价差，可能会在早盘拉高股价吸引散户跟风（产生虚假的OFI买盘压力），随后反手利用底仓砸盘，散户因T+1限制无法止损。因此，一个优秀的A股高频模型，必须包含基于时间维度的画像因子——例如区分“早盘高频异动”与“尾盘大单流入”，并赋予它们完全不同的权重符号，因为尾盘的流入往往更具备真实的跨日（T+1）延续性。</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3.3 成交量同步知情交易概率（VPIN）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为了定量衡量订单流毒性（Toxic Flow），VPIN通过基于成交量定义的“桶（Volume Buckets）”来计算买卖不平衡度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。当VPIN呈现高值时，表明存在严重的订单流毒性，预示着短期的剧烈波动或主力资金的集中进场。在A股的宽幅震荡市中，VPIN可以作为极佳的日内T+0开仓信号。</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 技术因子的统计学增强：剥离噪音与提取独立Alpha</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原始的高频特征不可避免地存在高度的共线性。为了消除因子的共线性并进行基础因子的改进，必须使用高级统计学手段对这些基础因子进行增强与正交变换。</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4.1 施密特正交化（Gram-Schmidt Process）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施密特正交化通过将一组高度相关的高频Alpha信号（如各层级的OFI、主买大单净流、传统MACD）进行几何投影，剥离出彼此重叠的部分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。例如，当构建了一个新的“高频大单流入因子”时，必须将其对传统的大小盘风格因子（Size）、市值因子以及均线因子进行截面正交，确保模型提取到的是纯粹的微观订单簿Alpha，而非宏观风格的Beta敞口。</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4.2 高频主成分分析（High-Frequency PCA）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主成分分析（PCA）能够直接对高频协方差结构进行降维处理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。将A股Level 2数据映射到主成分空间后，算法系统可以过滤掉由大盘整体异动（PC1）或板块轮动（PC2）带来的噪音，专门捕捉个股特异性的订单簿失衡，从而触发日内均值回归或动量跟随策略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 高频因子的有效性评估：A股T+1环境下的Alpha衰减</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在A股评估高频因子的效果，不能仅仅看瞬时的预测能力，而必须充分考虑到交易成本以及不可逾越的T+1制度鸿沟。</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5.1 预测能力的标尺：信息系数（IC）</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衡量所构建因子预测精确度的最核心指标是信息系数（IC）。在A股的高频语境下，如果因子的IC值能持续稳定为正（例如 </w:t>
      </w:r>
      <w:r w:rsidDel="00000000" w:rsidR="00000000" w:rsidRPr="00000000">
        <w:rPr>
          <w:rFonts w:ascii="Arial" w:cs="Arial" w:eastAsia="Arial" w:hAnsi="Arial"/>
          <w:color w:val="1f1f1f"/>
        </w:rPr>
        <w:drawing>
          <wp:inline distB="19050" distT="19050" distL="19050" distR="19050">
            <wp:extent cx="814462" cy="227292"/>
            <wp:effectExtent b="0" l="0" r="0" t="0"/>
            <wp:docPr id="1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814462" cy="22729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），这已经是一个极其强大的预测信号。必须采用滚动时间窗口横跨牛熊周期来动态计算IC时间序列。</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5.2 A股视角的Alpha衰减（Alpha Decay）与降频应用</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高频微观结构因子最致命的弱点在于其Alpha衰减（Alpha Decay）极快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。基于LOB流动性压力（如OFI）的因子，其半衰期可能在几秒到几分钟内便衰减殆尽。</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但在A股T+1的交易规则限制下，由于当天买入的头寸无法立刻卖出平仓，如果一个信号的半衰期只有1分钟，那么这个信号对于单边新开仓（Naked Long）来说是</w:t>
      </w:r>
      <w:r w:rsidDel="00000000" w:rsidR="00000000" w:rsidRPr="00000000">
        <w:rPr>
          <w:rFonts w:ascii="Arial Unicode MS" w:cs="Arial Unicode MS" w:eastAsia="Arial Unicode MS" w:hAnsi="Arial Unicode MS"/>
          <w:b w:val="1"/>
          <w:bCs w:val="1"/>
          <w:color w:val="1f1f1f"/>
          <w:rtl w:val="0"/>
        </w:rPr>
        <w:t xml:space="preserve">毫无意义且充满亏损风险的</w:t>
      </w:r>
      <w:r w:rsidDel="00000000" w:rsidR="00000000" w:rsidRPr="00000000">
        <w:rPr>
          <w:rFonts w:ascii="Arial Unicode MS" w:cs="Arial Unicode MS" w:eastAsia="Arial Unicode MS" w:hAnsi="Arial Unicode MS"/>
          <w:color w:val="1f1f1f"/>
          <w:rtl w:val="0"/>
        </w:rPr>
        <w:t xml:space="preserve">。因此，在A股观察和应用高频因子效果，必须遵循以下三种落地路径：</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降频与跨日Alpha提取：</w:t>
      </w:r>
      <w:r w:rsidDel="00000000" w:rsidR="00000000" w:rsidRPr="00000000">
        <w:rPr>
          <w:rFonts w:ascii="Arial Unicode MS" w:cs="Arial Unicode MS" w:eastAsia="Arial Unicode MS" w:hAnsi="Arial Unicode MS"/>
          <w:color w:val="1f1f1f"/>
          <w:rtl w:val="0"/>
        </w:rPr>
        <w:t xml:space="preserve"> 寻找那些虽然在高频层面提取，但其残余动量能够延续到次日（T+1）开盘的因子。例如，尾盘最后30分钟的MLOFI失衡，往往对次日早盘的高开有显著的预测作用。</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底仓日内T+0回转：</w:t>
      </w:r>
      <w:r w:rsidDel="00000000" w:rsidR="00000000" w:rsidRPr="00000000">
        <w:rPr>
          <w:rFonts w:ascii="Arial Unicode MS" w:cs="Arial Unicode MS" w:eastAsia="Arial Unicode MS" w:hAnsi="Arial Unicode MS"/>
          <w:color w:val="1f1f1f"/>
          <w:rtl w:val="0"/>
        </w:rPr>
        <w:t xml:space="preserve"> 如果机构或自营盘本身持有该股票的大量底仓，那么1分钟半衰期的高频信号就变得极具价值。当高频信号提示买入时，使用现金买入；当信号衰减或反转时，立即卖出底仓中等量的股票，从而在规则内合法赚取极短线的微观套利收益。</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算法执行（Execution Algo）：</w:t>
      </w:r>
      <w:r w:rsidDel="00000000" w:rsidR="00000000" w:rsidRPr="00000000">
        <w:rPr>
          <w:rFonts w:ascii="Arial Unicode MS" w:cs="Arial Unicode MS" w:eastAsia="Arial Unicode MS" w:hAnsi="Arial Unicode MS"/>
          <w:color w:val="1f1f1f"/>
          <w:rtl w:val="0"/>
        </w:rPr>
        <w:t xml:space="preserve"> 对于被动调仓的指数增强产品，必须完成大额交易。高频OFI和参与者画像因子可以作为TWAP或VWAP拆单算法的微观执行触发器。当毒性指标（VPIN）或短期OFI不利时，算法暂停吃单；当订单簿对自己有利时，算法加速执行，从而系统性地降低滑点和冲击成本。</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 总结与A股研究展望</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量化投资从低频向高频微观数据的下沉，代表着研究范式从“观察价格结果”向“解析微观供需博弈”的跃迁。针对A股市场，未来因子开发方向的核心指南如下：</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适应快照数据的还原：</w:t>
      </w:r>
      <w:r w:rsidDel="00000000" w:rsidR="00000000" w:rsidRPr="00000000">
        <w:rPr>
          <w:rFonts w:ascii="Arial Unicode MS" w:cs="Arial Unicode MS" w:eastAsia="Arial Unicode MS" w:hAnsi="Arial Unicode MS"/>
          <w:color w:val="1f1f1f"/>
          <w:rtl w:val="0"/>
        </w:rPr>
        <w:t xml:space="preserve"> 必须在3秒Level 2快照与逐笔数据之间找到恰当的启发式匹配算法，并剔除集合竞价阶段的噪音。</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结合涨跌停制度的OFI变体：</w:t>
      </w:r>
      <w:r w:rsidDel="00000000" w:rsidR="00000000" w:rsidRPr="00000000">
        <w:rPr>
          <w:rFonts w:ascii="Arial Unicode MS" w:cs="Arial Unicode MS" w:eastAsia="Arial Unicode MS" w:hAnsi="Arial Unicode MS"/>
          <w:color w:val="1f1f1f"/>
          <w:rtl w:val="0"/>
        </w:rPr>
        <w:t xml:space="preserve"> 关注价格逼近涨跌停板时的“磁吸效应”，对传统的MLOFI进行非线性截断或条件概率转换。</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强化具有A股特色的参与者画像：</w:t>
      </w:r>
      <w:r w:rsidDel="00000000" w:rsidR="00000000" w:rsidRPr="00000000">
        <w:rPr>
          <w:rFonts w:ascii="Arial Unicode MS" w:cs="Arial Unicode MS" w:eastAsia="Arial Unicode MS" w:hAnsi="Arial Unicode MS"/>
          <w:color w:val="1f1f1f"/>
          <w:rtl w:val="0"/>
        </w:rPr>
        <w:t xml:space="preserve"> 充分利用逐笔数据还原“大单主买/主卖”等反映主力资金与散户博弈的统计特征，这是国内量化最行之有效的Alpha之一。</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正交化与提纯：</w:t>
      </w:r>
      <w:r w:rsidDel="00000000" w:rsidR="00000000" w:rsidRPr="00000000">
        <w:rPr>
          <w:rFonts w:ascii="Arial Unicode MS" w:cs="Arial Unicode MS" w:eastAsia="Arial Unicode MS" w:hAnsi="Arial Unicode MS"/>
          <w:color w:val="1f1f1f"/>
          <w:rtl w:val="0"/>
        </w:rPr>
        <w:t xml:space="preserve"> 使用Gram-Schmidt和PCA剔除高频因子与低频风格因子的共线性，避免过拟合。</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在T+1规则下应用Alpha：</w:t>
      </w:r>
      <w:r w:rsidDel="00000000" w:rsidR="00000000" w:rsidRPr="00000000">
        <w:rPr>
          <w:rFonts w:ascii="Arial Unicode MS" w:cs="Arial Unicode MS" w:eastAsia="Arial Unicode MS" w:hAnsi="Arial Unicode MS"/>
          <w:color w:val="1f1f1f"/>
          <w:rtl w:val="0"/>
        </w:rPr>
        <w:t xml:space="preserve"> 深刻理解因子的半衰期。将衰减极快的高频信号运用于底仓T+0回转或算法执行，而将能够在尾盘沉淀的微观信号用于T+1的选股持仓。</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55"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通过在数学上精准隔离微小的供需失衡，并结合A股独有的微观交易规则进行本地化修正，现代量化架构得以在充满博弈的中国证券市场中洞察先机并获取稳健的超额收益。</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Price Impact of Order Book Events, accessed April 11, 2026, </w:t>
      </w:r>
      <w:hyperlink r:id="rId15">
        <w:r w:rsidDel="00000000" w:rsidR="00000000" w:rsidRPr="00000000">
          <w:rPr>
            <w:rFonts w:ascii="Arial" w:cs="Arial" w:eastAsia="Arial" w:hAnsi="Arial"/>
            <w:color w:val="0000ee"/>
            <w:sz w:val="24"/>
            <w:szCs w:val="24"/>
            <w:u w:val="single"/>
            <w:rtl w:val="0"/>
          </w:rPr>
          <w:t xml:space="preserve">https://arxiv.org/abs/1011.6402</w:t>
        </w:r>
      </w:hyperlink>
      <w:r w:rsidDel="00000000" w:rsidR="00000000" w:rsidRPr="00000000">
        <w:rPr>
          <w:rtl w:val="0"/>
        </w:rPr>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Order Flow Imbalance (OFI) Prediction - Emergent Mind, accessed April 11, 2026, </w:t>
      </w:r>
      <w:hyperlink r:id="rId16">
        <w:r w:rsidDel="00000000" w:rsidR="00000000" w:rsidRPr="00000000">
          <w:rPr>
            <w:rFonts w:ascii="Arial" w:cs="Arial" w:eastAsia="Arial" w:hAnsi="Arial"/>
            <w:color w:val="0000ee"/>
            <w:sz w:val="24"/>
            <w:szCs w:val="24"/>
            <w:u w:val="single"/>
            <w:rtl w:val="0"/>
          </w:rPr>
          <w:t xml:space="preserve">https://www.emergentmind.com/topics/order-flow-imbalance-ofi-prediction</w:t>
        </w:r>
      </w:hyperlink>
      <w:r w:rsidDel="00000000" w:rsidR="00000000" w:rsidRPr="00000000">
        <w:rPr>
          <w:rtl w:val="0"/>
        </w:rPr>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Multi-Level Order-Flow Imbalance in a Limit Order Book - IDEAS/RePEc, accessed April 11, 2026, </w:t>
      </w:r>
      <w:hyperlink r:id="rId17">
        <w:r w:rsidDel="00000000" w:rsidR="00000000" w:rsidRPr="00000000">
          <w:rPr>
            <w:rFonts w:ascii="Arial" w:cs="Arial" w:eastAsia="Arial" w:hAnsi="Arial"/>
            <w:color w:val="0000ee"/>
            <w:sz w:val="24"/>
            <w:szCs w:val="24"/>
            <w:u w:val="single"/>
            <w:rtl w:val="0"/>
          </w:rPr>
          <w:t xml:space="preserve">https://ideas.repec.org/p/arx/papers/1907.06230.html</w:t>
        </w:r>
      </w:hyperlink>
      <w:r w:rsidDel="00000000" w:rsidR="00000000" w:rsidRPr="00000000">
        <w:rPr>
          <w:rtl w:val="0"/>
        </w:rPr>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[1907.06230] Multi-Level Order-Flow Imbalance in a Limit Order Book - arXiv, accessed April 11, 2026, </w:t>
      </w:r>
      <w:hyperlink r:id="rId18">
        <w:r w:rsidDel="00000000" w:rsidR="00000000" w:rsidRPr="00000000">
          <w:rPr>
            <w:rFonts w:ascii="Arial" w:cs="Arial" w:eastAsia="Arial" w:hAnsi="Arial"/>
            <w:color w:val="0000ee"/>
            <w:sz w:val="24"/>
            <w:szCs w:val="24"/>
            <w:u w:val="single"/>
            <w:rtl w:val="0"/>
          </w:rPr>
          <w:t xml:space="preserve">https://arxiv.org/abs/1907.06230</w:t>
        </w:r>
      </w:hyperlink>
      <w:r w:rsidDel="00000000" w:rsidR="00000000" w:rsidRPr="00000000">
        <w:rPr>
          <w:rtl w:val="0"/>
        </w:rPr>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New Way to Compute the Probability of Informed Trading - Scirp.org., accessed April 11, 2026, </w:t>
      </w:r>
      <w:hyperlink r:id="rId19">
        <w:r w:rsidDel="00000000" w:rsidR="00000000" w:rsidRPr="00000000">
          <w:rPr>
            <w:rFonts w:ascii="Arial" w:cs="Arial" w:eastAsia="Arial" w:hAnsi="Arial"/>
            <w:color w:val="0000ee"/>
            <w:sz w:val="24"/>
            <w:szCs w:val="24"/>
            <w:u w:val="single"/>
            <w:rtl w:val="0"/>
          </w:rPr>
          <w:t xml:space="preserve">https://www.scirp.org/journal/paperinformation?paperid=95972</w:t>
        </w:r>
      </w:hyperlink>
      <w:r w:rsidDel="00000000" w:rsidR="00000000" w:rsidRPr="00000000">
        <w:rPr>
          <w:rtl w:val="0"/>
        </w:rPr>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Gram–Schmidt process - Wikipedia, accessed April 11, 2026, </w:t>
      </w:r>
      <w:hyperlink r:id="rId20">
        <w:r w:rsidDel="00000000" w:rsidR="00000000" w:rsidRPr="00000000">
          <w:rPr>
            <w:rFonts w:ascii="Arial" w:cs="Arial" w:eastAsia="Arial" w:hAnsi="Arial"/>
            <w:color w:val="0000ee"/>
            <w:sz w:val="24"/>
            <w:szCs w:val="24"/>
            <w:u w:val="single"/>
            <w:rtl w:val="0"/>
          </w:rPr>
          <w:t xml:space="preserve">https://en.wikipedia.org/wiki/Gram%E2%80%93Schmidt_process</w:t>
        </w:r>
      </w:hyperlink>
      <w:r w:rsidDel="00000000" w:rsidR="00000000" w:rsidRPr="00000000">
        <w:rPr>
          <w:rtl w:val="0"/>
        </w:rPr>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Construction of orthogonal systems: the Gram–Schmidt Process, QR factorization, Fourier series - Purdue Math, accessed April 11, 2026, </w:t>
      </w:r>
      <w:hyperlink r:id="rId21">
        <w:r w:rsidDel="00000000" w:rsidR="00000000" w:rsidRPr="00000000">
          <w:rPr>
            <w:rFonts w:ascii="Arial" w:cs="Arial" w:eastAsia="Arial" w:hAnsi="Arial"/>
            <w:color w:val="0000ee"/>
            <w:sz w:val="24"/>
            <w:szCs w:val="24"/>
            <w:u w:val="single"/>
            <w:rtl w:val="0"/>
          </w:rPr>
          <w:t xml:space="preserve">https://www.math.purdue.edu/~eremenko/dvi/511/lect11.pdf</w:t>
        </w:r>
      </w:hyperlink>
      <w:r w:rsidDel="00000000" w:rsidR="00000000" w:rsidRPr="00000000">
        <w:rPr>
          <w:rtl w:val="0"/>
        </w:rPr>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Principal Component Analysis of High-Frequency Data - Princeton University, accessed April 11, 2026, </w:t>
      </w:r>
      <w:hyperlink r:id="rId22">
        <w:r w:rsidDel="00000000" w:rsidR="00000000" w:rsidRPr="00000000">
          <w:rPr>
            <w:rFonts w:ascii="Arial" w:cs="Arial" w:eastAsia="Arial" w:hAnsi="Arial"/>
            <w:color w:val="0000ee"/>
            <w:sz w:val="24"/>
            <w:szCs w:val="24"/>
            <w:u w:val="single"/>
            <w:rtl w:val="0"/>
          </w:rPr>
          <w:t xml:space="preserve">https://collaborate.princeton.edu/en/publications/principal-component-analysis-of-high-frequency-data/</w:t>
        </w:r>
      </w:hyperlink>
      <w:r w:rsidDel="00000000" w:rsidR="00000000" w:rsidRPr="00000000">
        <w:rPr>
          <w:rtl w:val="0"/>
        </w:rPr>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factor exposure changes over time: a study of Information Decay - Alpha Architect, accessed April 11, 2026, </w:t>
      </w:r>
      <w:hyperlink r:id="rId23">
        <w:r w:rsidDel="00000000" w:rsidR="00000000" w:rsidRPr="00000000">
          <w:rPr>
            <w:rFonts w:ascii="Arial" w:cs="Arial" w:eastAsia="Arial" w:hAnsi="Arial"/>
            <w:color w:val="0000ee"/>
            <w:sz w:val="24"/>
            <w:szCs w:val="24"/>
            <w:u w:val="single"/>
            <w:rtl w:val="0"/>
          </w:rPr>
          <w:t xml:space="preserve">https://alphaarchitect.com/information-decay/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Gram%E2%80%93Schmidt_process" TargetMode="External"/><Relationship Id="rId11" Type="http://schemas.openxmlformats.org/officeDocument/2006/relationships/image" Target="media/image1.png"/><Relationship Id="rId22" Type="http://schemas.openxmlformats.org/officeDocument/2006/relationships/hyperlink" Target="https://collaborate.princeton.edu/en/publications/principal-component-analysis-of-high-frequency-data/" TargetMode="External"/><Relationship Id="rId10" Type="http://schemas.openxmlformats.org/officeDocument/2006/relationships/image" Target="media/image5.png"/><Relationship Id="rId21" Type="http://schemas.openxmlformats.org/officeDocument/2006/relationships/hyperlink" Target="https://www.math.purdue.edu/~eremenko/dvi/511/lect11.pdf" TargetMode="External"/><Relationship Id="rId13" Type="http://schemas.openxmlformats.org/officeDocument/2006/relationships/image" Target="media/image2.png"/><Relationship Id="rId12" Type="http://schemas.openxmlformats.org/officeDocument/2006/relationships/image" Target="media/image6.png"/><Relationship Id="rId23" Type="http://schemas.openxmlformats.org/officeDocument/2006/relationships/hyperlink" Target="https://alphaarchitect.com/information-deca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yperlink" Target="https://arxiv.org/abs/1011.6402" TargetMode="External"/><Relationship Id="rId14" Type="http://schemas.openxmlformats.org/officeDocument/2006/relationships/image" Target="media/image4.png"/><Relationship Id="rId17" Type="http://schemas.openxmlformats.org/officeDocument/2006/relationships/hyperlink" Target="https://ideas.repec.org/p/arx/papers/1907.06230.html" TargetMode="External"/><Relationship Id="rId16" Type="http://schemas.openxmlformats.org/officeDocument/2006/relationships/hyperlink" Target="https://www.emergentmind.com/topics/order-flow-imbalance-ofi-prediction" TargetMode="External"/><Relationship Id="rId5" Type="http://schemas.openxmlformats.org/officeDocument/2006/relationships/styles" Target="styles.xml"/><Relationship Id="rId19" Type="http://schemas.openxmlformats.org/officeDocument/2006/relationships/hyperlink" Target="https://www.scirp.org/journal/paperinformation?paperid=95972" TargetMode="External"/><Relationship Id="rId6" Type="http://schemas.openxmlformats.org/officeDocument/2006/relationships/image" Target="media/image3.png"/><Relationship Id="rId18" Type="http://schemas.openxmlformats.org/officeDocument/2006/relationships/hyperlink" Target="https://arxiv.org/abs/1907.06230" TargetMode="External"/><Relationship Id="rId7" Type="http://schemas.openxmlformats.org/officeDocument/2006/relationships/image" Target="media/image9.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