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高频交易与订单流微观结构前沿拓展：基于动力学建模与深度学习的系统性解构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在现代金融市场的微观结构理论与高频量化交易（High-Frequency Trading, HFT）领域，市场早已不再被视为一个抽象的宏观定价机制，而是被彻底解构为由海量异质性订单构成的复杂动力学系统。随着电子化交易与撮合引擎技术的极速演进，量化研究人员获取到的底层数据已经从传统的日线、分钟线，下沉至 Level-2 快照乃至 Tick 级和逐笔委托（Market-by-Order, MBO）数据。这些包含了纳秒级时间戳、精细价格梯度和微观容量的底层日志，构成了金融市场的“基本粒子”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为了在微秒级别的海量噪音中提取具有统计显著性的超额收益（Alpha）信号，微观结构理论的拓展维度已经从简单的单档订单流失衡全面迈向多档张量网络，从传统的泊松过程迈向具有长记忆特征的 Hawkes 自激发过程，从静态的队列分析迈向基于首中时间（First-Passage Time）的动力学解构。同时，随着人工智能技术的演进，基于卷积进阶架构（如 TCN、ResNet）及 Transformer 的深度学习（Deep Learning, DeepL）模型正在取代传统的线性回归模型，成为微观价格预测的核心引擎；而深度强化学习（DRL）与微秒级自然语言处理（NLP）的融合，则为高频做市与极短期情绪套利提供了全新的决策范式。本研究报告将对上述前沿拓展维度进行极其详尽的数学推导与逻辑阐释，并系统性地评估各类前沿 Alpha 模型在预测精度与 Alpha 衰减上的绝对表现。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维度一：多档订单流失衡（MLOFI）与跨资产交叉冲击的数学推导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在微观结构分析的早期阶段，订单流失衡（Order Flow Imbalance, OFI）指标在解释同期价格变动方面取得了巨大成功。然而，传统 OFI 的致命局限性在于其仅仅关注了订单簿的最佳买卖报价（Level-1）档位。在现代高频交易中，机构执行算法（如 VWAP 或冰山订单算法）往往将大量的真实流动性隐藏在限价订单簿（Limit Order Book, LOB）的深层档位中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。多档订单流失衡（Multi-Level Order Flow Imbalance, MLOFI）的提出，正是为了捕获这些深藏在盘口内部的潜在供需压力，从而更精确地描绘微观流动性图谱。</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多档 OFI 的向量化构建与物理力学意义</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为了将最佳档位的失衡概念推广至任意深度，我们需要对微观订单簿事件进行严格的微积分定义。设定 </w:t>
      </w:r>
      <w:r w:rsidDel="00000000" w:rsidR="00000000" w:rsidRPr="00000000">
        <w:rPr>
          <w:rFonts w:ascii="Arial" w:cs="Arial" w:eastAsia="Arial" w:hAnsi="Arial"/>
          <w:color w:val="1f1f1f"/>
        </w:rPr>
        <w:drawing>
          <wp:inline distB="19050" distT="19050" distL="19050" distR="19050">
            <wp:extent cx="1109958" cy="227684"/>
            <wp:effectExtent b="0" l="0" r="0" t="0"/>
            <wp:docPr id="76"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109958" cy="2276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为限价订单簿的深度档位索引（通常研究中 </w:t>
      </w:r>
      <w:r w:rsidDel="00000000" w:rsidR="00000000" w:rsidRPr="00000000">
        <w:rPr>
          <w:rFonts w:ascii="Arial" w:cs="Arial" w:eastAsia="Arial" w:hAnsi="Arial"/>
          <w:color w:val="1f1f1f"/>
        </w:rPr>
        <w:drawing>
          <wp:inline distB="19050" distT="19050" distL="19050" distR="19050">
            <wp:extent cx="198983" cy="227409"/>
            <wp:effectExtent b="0" l="0" r="0" t="0"/>
            <wp:docPr id="78"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取 5 至 10 档）。在任意一个微观事件 </w:t>
      </w:r>
      <w:r w:rsidDel="00000000" w:rsidR="00000000" w:rsidRPr="00000000">
        <w:rPr>
          <w:rFonts w:ascii="Arial" w:cs="Arial" w:eastAsia="Arial" w:hAnsi="Arial"/>
          <w:color w:val="1f1f1f"/>
        </w:rPr>
        <w:drawing>
          <wp:inline distB="19050" distT="19050" distL="19050" distR="19050">
            <wp:extent cx="167209" cy="222945"/>
            <wp:effectExtent b="0" l="0" r="0" t="0"/>
            <wp:docPr id="77"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67209" cy="2229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发生的瞬间，第 </w:t>
      </w:r>
      <w:r w:rsidDel="00000000" w:rsidR="00000000" w:rsidRPr="00000000">
        <w:rPr>
          <w:rFonts w:ascii="Arial" w:cs="Arial" w:eastAsia="Arial" w:hAnsi="Arial"/>
          <w:color w:val="1f1f1f"/>
        </w:rPr>
        <w:drawing>
          <wp:inline distB="19050" distT="19050" distL="19050" distR="19050">
            <wp:extent cx="161925" cy="228600"/>
            <wp:effectExtent b="0" l="0" r="0" t="0"/>
            <wp:docPr id="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192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档的买方（Bid）队列变化与卖方（Ask）队列变化被精准映射为物理压力的增减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对于第 </w:t>
      </w:r>
      <w:r w:rsidDel="00000000" w:rsidR="00000000" w:rsidRPr="00000000">
        <w:rPr>
          <w:rFonts w:ascii="Arial" w:cs="Arial" w:eastAsia="Arial" w:hAnsi="Arial"/>
          <w:color w:val="1f1f1f"/>
        </w:rPr>
        <w:drawing>
          <wp:inline distB="19050" distT="19050" distL="19050" distR="19050">
            <wp:extent cx="63624" cy="218140"/>
            <wp:effectExtent b="0" l="0" r="0" t="0"/>
            <wp:docPr id="7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624" cy="2181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个资产，在一个指定的绝对时间窗口 </w:t>
      </w:r>
      <w:r w:rsidDel="00000000" w:rsidR="00000000" w:rsidRPr="00000000">
        <w:rPr>
          <w:rFonts w:ascii="Arial" w:cs="Arial" w:eastAsia="Arial" w:hAnsi="Arial"/>
          <w:color w:val="1f1f1f"/>
        </w:rPr>
        <w:drawing>
          <wp:inline distB="19050" distT="19050" distL="19050" distR="19050">
            <wp:extent cx="669801" cy="229646"/>
            <wp:effectExtent b="0" l="0" r="0" t="0"/>
            <wp:docPr id="8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669801" cy="2296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内，第 </w:t>
      </w:r>
      <w:r w:rsidDel="00000000" w:rsidR="00000000" w:rsidRPr="00000000">
        <w:rPr>
          <w:rFonts w:ascii="Arial" w:cs="Arial" w:eastAsia="Arial" w:hAnsi="Arial"/>
          <w:color w:val="1f1f1f"/>
        </w:rPr>
        <w:drawing>
          <wp:inline distB="19050" distT="19050" distL="19050" distR="19050">
            <wp:extent cx="161925" cy="228600"/>
            <wp:effectExtent b="0" l="0" r="0" t="0"/>
            <wp:docPr id="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192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档的订单流失衡被定义为该窗口内所有微观事件引起的不平衡量的积分累加：</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943504"/>
            <wp:effectExtent b="0" l="0" r="0" t="0"/>
            <wp:docPr id="87"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708675" cy="94350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在上述方程中，</w:t>
      </w:r>
      <w:r w:rsidDel="00000000" w:rsidR="00000000" w:rsidRPr="00000000">
        <w:rPr>
          <w:rFonts w:ascii="Arial" w:cs="Arial" w:eastAsia="Arial" w:hAnsi="Arial"/>
          <w:color w:val="1f1f1f"/>
        </w:rPr>
        <w:drawing>
          <wp:inline distB="19050" distT="19050" distL="19050" distR="19050">
            <wp:extent cx="1027433" cy="228318"/>
            <wp:effectExtent b="0" l="0" r="0" t="0"/>
            <wp:docPr id="85"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027433" cy="2283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rFonts w:ascii="Arial" w:cs="Arial" w:eastAsia="Arial" w:hAnsi="Arial"/>
          <w:color w:val="1f1f1f"/>
        </w:rPr>
        <w:drawing>
          <wp:inline distB="19050" distT="19050" distL="19050" distR="19050">
            <wp:extent cx="378246" cy="226948"/>
            <wp:effectExtent b="0" l="0" r="0" t="0"/>
            <wp:docPr id="92"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378246" cy="2269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分别表示在该时间区间内的第一个和最后一个微观订单簿事件的索引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。此时，单一资产的微观状态被扩展为一个 </w:t>
      </w:r>
      <w:r w:rsidDel="00000000" w:rsidR="00000000" w:rsidRPr="00000000">
        <w:rPr>
          <w:rFonts w:ascii="Arial" w:cs="Arial" w:eastAsia="Arial" w:hAnsi="Arial"/>
          <w:color w:val="1f1f1f"/>
        </w:rPr>
        <w:drawing>
          <wp:inline distB="19050" distT="19050" distL="19050" distR="19050">
            <wp:extent cx="198983" cy="227409"/>
            <wp:effectExtent b="0" l="0" r="0" t="0"/>
            <wp:docPr id="89"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维的特征向量 </w:t>
      </w:r>
      <w:r w:rsidDel="00000000" w:rsidR="00000000" w:rsidRPr="00000000">
        <w:rPr>
          <w:rFonts w:ascii="Arial" w:cs="Arial" w:eastAsia="Arial" w:hAnsi="Arial"/>
          <w:color w:val="1f1f1f"/>
        </w:rPr>
        <w:drawing>
          <wp:inline distB="19050" distT="19050" distL="19050" distR="19050">
            <wp:extent cx="3304651" cy="238087"/>
            <wp:effectExtent b="0" l="0" r="0" t="0"/>
            <wp:docPr id="91"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3304651" cy="23808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。这一向量不仅包含了最佳报价档位的即时流动性消耗，还囊括了深层档位中新挂单（Submission）与撤单（Cancellation）所带来的潜在供需压迫力。</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维度灾难与主成分分析（PCA）的正交化降维</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随着档位 </w:t>
      </w:r>
      <w:r w:rsidDel="00000000" w:rsidR="00000000" w:rsidRPr="00000000">
        <w:rPr>
          <w:rFonts w:ascii="Arial" w:cs="Arial" w:eastAsia="Arial" w:hAnsi="Arial"/>
          <w:color w:val="1f1f1f"/>
        </w:rPr>
        <w:drawing>
          <wp:inline distB="19050" distT="19050" distL="19050" distR="19050">
            <wp:extent cx="198983" cy="227409"/>
            <wp:effectExtent b="0" l="0" r="0" t="0"/>
            <wp:docPr id="94"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的增加，相邻档位之间的订单流往往表现出极强的多重共线性（Multicollinearity）。当做市商在某一层级撤单时，往往会同时在相邻层级进行重新报价，这种联动效应导致高维 MLOFI 矩阵在进行多元线性回归时出现严重的矩阵奇异性问题。为了在保留深层流动性信息的同时消除共线性，量化研究人员引入了主成分分析（PCA）与岭回归（Ridge Regression）的联合正交化方法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对于由多档与多资产联合构成的高维特征矩阵 </w:t>
      </w:r>
      <w:r w:rsidDel="00000000" w:rsidR="00000000" w:rsidRPr="00000000">
        <w:rPr>
          <w:rFonts w:ascii="Arial" w:cs="Arial" w:eastAsia="Arial" w:hAnsi="Arial"/>
          <w:color w:val="1f1f1f"/>
        </w:rPr>
        <w:drawing>
          <wp:inline distB="19050" distT="19050" distL="19050" distR="19050">
            <wp:extent cx="167134" cy="222846"/>
            <wp:effectExtent b="0" l="0" r="0" t="0"/>
            <wp:docPr id="95"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167134" cy="222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，现代高频研究通常采用奇异值分解（SVD）的方法对其进行因式分解，以规避直接计算庞大协方差矩阵带来的算力瓶颈：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543230"/>
            <wp:effectExtent b="0" l="0" r="0" t="0"/>
            <wp:docPr id="96"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708675" cy="5432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在此分解中，矩阵 </w:t>
      </w:r>
      <w:r w:rsidDel="00000000" w:rsidR="00000000" w:rsidRPr="00000000">
        <w:rPr>
          <w:rFonts w:ascii="Arial" w:cs="Arial" w:eastAsia="Arial" w:hAnsi="Arial"/>
          <w:color w:val="1f1f1f"/>
        </w:rPr>
        <w:drawing>
          <wp:inline distB="19050" distT="19050" distL="19050" distR="19050">
            <wp:extent cx="148456" cy="222684"/>
            <wp:effectExtent b="0" l="0" r="0" t="0"/>
            <wp:docPr id="97" name="image82.png"/>
            <a:graphic>
              <a:graphicData uri="http://schemas.openxmlformats.org/drawingml/2006/picture">
                <pic:pic>
                  <pic:nvPicPr>
                    <pic:cNvPr id="0" name="image82.png"/>
                    <pic:cNvPicPr preferRelativeResize="0"/>
                  </pic:nvPicPr>
                  <pic:blipFill>
                    <a:blip r:embed="rId18"/>
                    <a:srcRect b="0" l="0" r="0" t="0"/>
                    <a:stretch>
                      <a:fillRect/>
                    </a:stretch>
                  </pic:blipFill>
                  <pic:spPr>
                    <a:xfrm>
                      <a:off x="0" y="0"/>
                      <a:ext cx="148456" cy="2226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具有正交列，</w:t>
      </w:r>
      <w:r w:rsidDel="00000000" w:rsidR="00000000" w:rsidRPr="00000000">
        <w:rPr>
          <w:rFonts w:ascii="Arial" w:cs="Arial" w:eastAsia="Arial" w:hAnsi="Arial"/>
          <w:color w:val="1f1f1f"/>
        </w:rPr>
        <w:drawing>
          <wp:inline distB="19050" distT="19050" distL="19050" distR="19050">
            <wp:extent cx="133201" cy="218831"/>
            <wp:effectExtent b="0" l="0" r="0" t="0"/>
            <wp:docPr id="98"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133201" cy="2188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是包含主要特征值的对角矩阵，而 </w:t>
      </w:r>
      <w:r w:rsidDel="00000000" w:rsidR="00000000" w:rsidRPr="00000000">
        <w:rPr>
          <w:rFonts w:ascii="Arial" w:cs="Arial" w:eastAsia="Arial" w:hAnsi="Arial"/>
          <w:color w:val="1f1f1f"/>
        </w:rPr>
        <w:drawing>
          <wp:inline distB="19050" distT="19050" distL="19050" distR="19050">
            <wp:extent cx="190723" cy="228867"/>
            <wp:effectExtent b="0" l="0" r="0" t="0"/>
            <wp:docPr id="99"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190723" cy="2288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是右奇异向量矩阵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。通过提取前 </w:t>
      </w:r>
      <w:r w:rsidDel="00000000" w:rsidR="00000000" w:rsidRPr="00000000">
        <w:rPr>
          <w:rFonts w:ascii="Arial" w:cs="Arial" w:eastAsia="Arial" w:hAnsi="Arial"/>
          <w:color w:val="1f1f1f"/>
        </w:rPr>
        <w:drawing>
          <wp:inline distB="19050" distT="19050" distL="19050" distR="19050">
            <wp:extent cx="169738" cy="226318"/>
            <wp:effectExtent b="0" l="0" r="0" t="0"/>
            <wp:docPr id="100"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169738" cy="2263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主成分，模型不仅大幅降低了微观结构的随机噪声，还揭示了深层档位变动的深层物理意义：第一主成分通常代表整体市场的同向流动性偏移（即宏观市场情绪的一致性推力），而第二和第三主成分则严密刻画了订单簿的“倾斜（Tilt）”和“曲率（Curvature）”变化，这些高阶矩变化往往是价格即将发生剧烈反转的早期预警信号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跨资产交叉冲击（Cross-Impact）与滞后衰减矩阵</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在现代多资产组合的高频交易环境中，单个资产的微观价格变动绝非一座孤岛。它不仅受自身 OFI 驱动，还会受到其他高度相关资产（如同一板块的股票或具有强协整关系的标的）OFI 的溢出效应（Spillover Effects）影响，这一现象在微观物理学中被称为跨资产交叉冲击（Cross-Impact）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在连续时间的线性响应模型框架下，资产组合的收益率向量 </w:t>
      </w:r>
      <w:r w:rsidDel="00000000" w:rsidR="00000000" w:rsidRPr="00000000">
        <w:rPr>
          <w:rFonts w:ascii="Arial" w:cs="Arial" w:eastAsia="Arial" w:hAnsi="Arial"/>
          <w:color w:val="1f1f1f"/>
        </w:rPr>
        <w:drawing>
          <wp:inline distB="19050" distT="19050" distL="19050" distR="19050">
            <wp:extent cx="327869" cy="231437"/>
            <wp:effectExtent b="0" l="0" r="0" t="0"/>
            <wp:docPr id="101"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327869" cy="23143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与多资产 OFI 矩阵构成了复杂的映射关系：</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905383"/>
            <wp:effectExtent b="0" l="0" r="0" t="0"/>
            <wp:docPr id="66"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5708675" cy="90538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然而，近期的前沿实证研究（如 Cont 与 Zhang 等人在 2021 至 2023 年的系列研究）通过引入 LASSO（Least Absolute Shrinkage and Selection Operator）正则化方法，对上述交叉系数矩阵 </w:t>
      </w:r>
      <w:r w:rsidDel="00000000" w:rsidR="00000000" w:rsidRPr="00000000">
        <w:rPr>
          <w:rFonts w:ascii="Arial" w:cs="Arial" w:eastAsia="Arial" w:hAnsi="Arial"/>
          <w:color w:val="1f1f1f"/>
        </w:rPr>
        <w:drawing>
          <wp:inline distB="19050" distT="19050" distL="19050" distR="19050">
            <wp:extent cx="218628" cy="228134"/>
            <wp:effectExtent b="0" l="0" r="0" t="0"/>
            <wp:docPr id="6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8628" cy="2281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进行了严格的稀疏性约束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。其数学与实证推导得出了一个颠覆传统直觉的深刻结论：一旦在定价模型中充分整合了单一资产多档位（Multi-level）的 MLOFI 信息，同期的跨资产冲击项（Contemporaneous Cross-impact）所能提供的额外解释力几乎可以忽略不计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。这表明，同一时刻的关联资产流动性失衡，实际上已经被目标资产深层订单簿的做市商提前消化并反映在深层挂单中。</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相反，真正具备强大 Alpha 预测价值的是滞后的跨资产 OFI（Lagged Cross-asset OFIs）。这种滞后交叉冲击主要在数秒至数分钟的短视距内显现，并遵循一种极其陡峭的指数级时间衰减动力学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。顶尖的高频做市商通过监控流动性高度相关的“领导者”资产的深层 MLOFI 失衡，能够在“跟随者”资产的价格发生实际位移的前几十毫秒，提前调整自身的报价中心，从而在交叉套利中获取无风险的微观利差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维度二：队列位置动力学与首中时间（FPT）的拉普拉斯变换推导</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在现代电子交易所普遍采用的价格优先与时间优先（Price-Time Priority, FIFO）撮合机制下，微观参与者在限价订单队列（Queue）中的绝对几何位置，直接决定了其订单被执行的概率以及所承受的逆向选择风险（Adverse Selection Risk）。高频交易中的“排队价值（Queue Value）”不仅包含赚取买卖价差的静态预期收益，更包含了一种锁定有利排位以防范价格不利移动的动态期权价值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。深入解构这一微观队列的动力学变迁，是优化算法执行（如降低冲击成本）的核心基石。</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基于生灭过程（Birth-Death Process）的微观状态建模</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为了在连续时间域内精确刻画排队动力学，我们将 LOB 建模为一个具有状态依赖特征的生灭过程（Birth-Death Process）和纯灭过程（Pure-Death Process）的耦合马尔可夫链系统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。假设系统中的订单容量被标准化为单位批次，系统的演进由三种基础微观事件驱动：</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限价单的到达（Birth, 生）：</w:t>
      </w:r>
      <w:r w:rsidDel="00000000" w:rsidR="00000000" w:rsidRPr="00000000">
        <w:rPr>
          <w:rFonts w:ascii="Arial Unicode MS" w:cs="Arial Unicode MS" w:eastAsia="Arial Unicode MS" w:hAnsi="Arial Unicode MS"/>
          <w:color w:val="1f1f1f"/>
          <w:rtl w:val="0"/>
        </w:rPr>
        <w:t xml:space="preserve"> 限价单的提交使特定价位的队列长度增加。其到达服从强度为 </w:t>
      </w:r>
      <w:r w:rsidDel="00000000" w:rsidR="00000000" w:rsidRPr="00000000">
        <w:rPr>
          <w:rFonts w:ascii="Arial" w:cs="Arial" w:eastAsia="Arial" w:hAnsi="Arial"/>
          <w:color w:val="1f1f1f"/>
        </w:rPr>
        <w:drawing>
          <wp:inline distB="19050" distT="19050" distL="19050" distR="19050">
            <wp:extent cx="609674" cy="228628"/>
            <wp:effectExtent b="0" l="0" r="0" t="0"/>
            <wp:docPr id="68"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609674" cy="2286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的泊松过程，大量微观实证表明，该到达率通常随距离最佳报价的档位深度呈幂律衰减，即 </w:t>
      </w:r>
      <w:r w:rsidDel="00000000" w:rsidR="00000000" w:rsidRPr="00000000">
        <w:rPr>
          <w:rFonts w:ascii="Arial" w:cs="Arial" w:eastAsia="Arial" w:hAnsi="Arial"/>
          <w:color w:val="1f1f1f"/>
        </w:rPr>
        <w:drawing>
          <wp:inline distB="19050" distT="19050" distL="19050" distR="19050">
            <wp:extent cx="910605" cy="227651"/>
            <wp:effectExtent b="0" l="0" r="0" t="0"/>
            <wp:docPr id="69"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910605" cy="22765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101947" cy="222430"/>
            <wp:effectExtent b="0" l="0" r="0" t="0"/>
            <wp:docPr id="7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01947" cy="2224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rFonts w:ascii="Arial" w:cs="Arial" w:eastAsia="Arial" w:hAnsi="Arial"/>
          <w:color w:val="1f1f1f"/>
        </w:rPr>
        <w:drawing>
          <wp:inline distB="19050" distT="19050" distL="19050" distR="19050">
            <wp:extent cx="118690" cy="237380"/>
            <wp:effectExtent b="0" l="0" r="0" t="0"/>
            <wp:docPr id="71"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118690" cy="23738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为刻画流动性厚度的参数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市价单的消耗（Death, 灭）：</w:t>
      </w:r>
      <w:r w:rsidDel="00000000" w:rsidR="00000000" w:rsidRPr="00000000">
        <w:rPr>
          <w:rFonts w:ascii="Arial Unicode MS" w:cs="Arial Unicode MS" w:eastAsia="Arial Unicode MS" w:hAnsi="Arial Unicode MS"/>
          <w:color w:val="1f1f1f"/>
          <w:rtl w:val="0"/>
        </w:rPr>
        <w:t xml:space="preserve"> 主动消耗流动性的市价单以强度 </w:t>
      </w:r>
      <w:r w:rsidDel="00000000" w:rsidR="00000000" w:rsidRPr="00000000">
        <w:rPr>
          <w:rFonts w:ascii="Arial" w:cs="Arial" w:eastAsia="Arial" w:hAnsi="Arial"/>
          <w:color w:val="1f1f1f"/>
        </w:rPr>
        <w:drawing>
          <wp:inline distB="19050" distT="19050" distL="19050" distR="19050">
            <wp:extent cx="613395" cy="230023"/>
            <wp:effectExtent b="0" l="0" r="0" t="0"/>
            <wp:docPr id="72"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613395" cy="2300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到达，在严格的 FIFO 规则下，它只能作用于当前盘口的最佳买卖报价档位，并导致队列长度缩减。</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订单的撤销（Cancellation, 灭）：</w:t>
      </w:r>
      <w:r w:rsidDel="00000000" w:rsidR="00000000" w:rsidRPr="00000000">
        <w:rPr>
          <w:rFonts w:ascii="Arial Unicode MS" w:cs="Arial Unicode MS" w:eastAsia="Arial Unicode MS" w:hAnsi="Arial Unicode MS"/>
          <w:color w:val="1f1f1f"/>
          <w:rtl w:val="0"/>
        </w:rPr>
        <w:t xml:space="preserve"> 撤单行为以速率 </w:t>
      </w:r>
      <w:r w:rsidDel="00000000" w:rsidR="00000000" w:rsidRPr="00000000">
        <w:rPr>
          <w:rFonts w:ascii="Arial" w:cs="Arial" w:eastAsia="Arial" w:hAnsi="Arial"/>
          <w:color w:val="1f1f1f"/>
        </w:rPr>
        <w:drawing>
          <wp:inline distB="19050" distT="19050" distL="19050" distR="19050">
            <wp:extent cx="612056" cy="229521"/>
            <wp:effectExtent b="0" l="0" r="0" t="0"/>
            <wp:docPr id="73"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612056" cy="2295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发生，通常与该档位的现有订单存量成正比，反映了做市商在感知到毒性订单流时的自我保护机制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首中时间（First-Passage Time）与拉普拉斯逆变换解析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对于排在最佳报价队列深处的一个特定限价订单，其能否被成功撮合，等价于该队列在其前方所有订单被完全消耗完毕所需的时间 </w:t>
      </w:r>
      <w:r w:rsidDel="00000000" w:rsidR="00000000" w:rsidRPr="00000000">
        <w:rPr>
          <w:rFonts w:ascii="Arial" w:cs="Arial" w:eastAsia="Arial" w:hAnsi="Arial"/>
          <w:color w:val="1f1f1f"/>
        </w:rPr>
        <w:drawing>
          <wp:inline distB="19050" distT="19050" distL="19050" distR="19050">
            <wp:extent cx="159023" cy="224503"/>
            <wp:effectExtent b="0" l="0" r="0" t="0"/>
            <wp:docPr id="74"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159023" cy="2245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。在随机过程与鞅论中，这被严谨地定义为马尔可夫链状态降至零的 首中时间（First-Passage Time, FPT）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设 </w:t>
      </w:r>
      <w:r w:rsidDel="00000000" w:rsidR="00000000" w:rsidRPr="00000000">
        <w:rPr>
          <w:rFonts w:ascii="Arial" w:cs="Arial" w:eastAsia="Arial" w:hAnsi="Arial"/>
          <w:color w:val="1f1f1f"/>
        </w:rPr>
        <w:drawing>
          <wp:inline distB="19050" distT="19050" distL="19050" distR="19050">
            <wp:extent cx="1637405" cy="237995"/>
            <wp:effectExtent b="0" l="0" r="0" t="0"/>
            <wp:docPr id="75"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1637405" cy="2379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为过程从状态 </w:t>
      </w:r>
      <w:r w:rsidDel="00000000" w:rsidR="00000000" w:rsidRPr="00000000">
        <w:rPr>
          <w:rFonts w:ascii="Arial" w:cs="Arial" w:eastAsia="Arial" w:hAnsi="Arial"/>
          <w:color w:val="1f1f1f"/>
        </w:rPr>
        <w:drawing>
          <wp:inline distB="19050" distT="19050" distL="19050" distR="19050">
            <wp:extent cx="63624" cy="21814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624" cy="2181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首次转移到状态 </w:t>
      </w:r>
      <w:r w:rsidDel="00000000" w:rsidR="00000000" w:rsidRPr="00000000">
        <w:rPr>
          <w:rFonts w:ascii="Arial" w:cs="Arial" w:eastAsia="Arial" w:hAnsi="Arial"/>
          <w:color w:val="1f1f1f"/>
        </w:rPr>
        <w:drawing>
          <wp:inline distB="19050" distT="19050" distL="19050" distR="19050">
            <wp:extent cx="381223" cy="228734"/>
            <wp:effectExtent b="0" l="0" r="0" t="0"/>
            <wp:docPr id="1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81223" cy="2287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所需时间的概率密度函数的拉普拉斯变换（Laplace Transform）。根据马尔可夫链的强马尔可夫性与全概率公式，可以推导出极其优美的递推关系方程：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724306"/>
            <wp:effectExtent b="0" l="0" r="0" t="0"/>
            <wp:docPr id="1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08675" cy="72430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对上述方程进行代数整理并持续向深层状态迭代，可以将首中时间的拉普拉斯变换展开为连分数（Continued Fraction）的无穷乘积形式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876792"/>
            <wp:effectExtent b="0" l="0" r="0" t="0"/>
            <wp:docPr id="1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08675" cy="87679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处于更深一层档位（如买二档或卖二档）的订单，其动力学特征截然不同。在它们成为最佳报价之前，绝对无法被市价单直接消耗。在此期间，它们前方的订单流失仅由微观撤单行为驱动，因此其数学模型退化为一个纯灭过程（Pure-death process）。其到达某状态 </w:t>
      </w:r>
      <w:r w:rsidDel="00000000" w:rsidR="00000000" w:rsidRPr="00000000">
        <w:rPr>
          <w:rFonts w:ascii="Arial" w:cs="Arial" w:eastAsia="Arial" w:hAnsi="Arial"/>
          <w:color w:val="1f1f1f"/>
        </w:rPr>
        <w:drawing>
          <wp:inline distB="19050" distT="19050" distL="19050" distR="19050">
            <wp:extent cx="161925" cy="2286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192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的首中时间的拉普拉斯变换 </w:t>
      </w:r>
      <w:r w:rsidDel="00000000" w:rsidR="00000000" w:rsidRPr="00000000">
        <w:rPr>
          <w:rFonts w:ascii="Arial" w:cs="Arial" w:eastAsia="Arial" w:hAnsi="Arial"/>
          <w:color w:val="1f1f1f"/>
        </w:rPr>
        <w:drawing>
          <wp:inline distB="19050" distT="19050" distL="19050" distR="19050">
            <wp:extent cx="336277" cy="240198"/>
            <wp:effectExtent b="0" l="0" r="0" t="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36277" cy="2401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，在数学上可以被证明为多个独立指数驻留时间的乘积：</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857731"/>
            <wp:effectExtent b="0" l="0" r="0" t="0"/>
            <wp:docPr id="18"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08675" cy="85773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获取了这些复杂的频域表达式后，通过利用傅里叶-切比雪夫（Fourier-Chebyshev）级数或傅里叶余弦（COS）方法对这些拉普拉斯变换进行高精度的数值逆变换，量化算法能够以微秒级的计算开销，精确输出任意队列位置在下一笔中间价（Mid-price）发生非理性跳跃前被执行的条件概率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。这种纯解析式的推导极大降低了传统蒙特卡洛模拟在实时风控中的算力消耗，为高频做市商动态调整被动挂单的排队位置、计算排队期权价值提供了极其严格的数学准绳。</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维度三：高频微观结构的 Hawkes 过程与条件强度函数推导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在真实的微观物理世界中，订单的到达在时间轴上绝非均匀分布。受算法大规模拆单（如 VWAP/TWAP）、微观动量跟踪策略的趋同性以及高频做市商在波动率放大时的防御性集体撤单影响，金融市场的底层数据流呈现出极其强烈的 聚集效应（Clustering Effect） 与自我激发特征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。传统的泊松过程假设每个订单的到达是绝对独立的，这与 LOB 中“一笔大型市价单引发深层大规模撤单与同向跟随挂单”的微观踩踏现象严重不符。为此，微观结构理论全面引入了 Hawkes 自激发过程对微观事件的发生强度进行动态建模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条件强度函数与多元 Hawkes 过程构建</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Hawkes 过程是一种具有历史记忆性的点过程（Point Process），其核心物理直觉在于：当前的事件到达率（即强度）并非外生给定，而是会受到历史上所有已发生事件的内生激发或抑制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在包含 </w:t>
      </w:r>
      <w:r w:rsidDel="00000000" w:rsidR="00000000" w:rsidRPr="00000000">
        <w:rPr>
          <w:rFonts w:ascii="Arial" w:cs="Arial" w:eastAsia="Arial" w:hAnsi="Arial"/>
          <w:color w:val="1f1f1f"/>
        </w:rPr>
        <w:drawing>
          <wp:inline distB="19050" distT="19050" distL="19050" distR="19050">
            <wp:extent cx="95920" cy="230207"/>
            <wp:effectExtent b="0" l="0" r="0" t="0"/>
            <wp:docPr id="1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95920" cy="2302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种微观事件（如主动买入、主动卖出、最优买价撤单、最优卖价撤单等）的限价订单簿生态中，我们构建一个多元（Multivariate）Hawkes 过程。对于第 </w:t>
      </w:r>
      <w:r w:rsidDel="00000000" w:rsidR="00000000" w:rsidRPr="00000000">
        <w:rPr>
          <w:rFonts w:ascii="Arial" w:cs="Arial" w:eastAsia="Arial" w:hAnsi="Arial"/>
          <w:color w:val="1f1f1f"/>
        </w:rPr>
        <w:drawing>
          <wp:inline distB="19050" distT="19050" distL="19050" distR="19050">
            <wp:extent cx="63624" cy="21814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624" cy="2181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种事件，在时间 </w:t>
      </w:r>
      <w:r w:rsidDel="00000000" w:rsidR="00000000" w:rsidRPr="00000000">
        <w:rPr>
          <w:rFonts w:ascii="Arial" w:cs="Arial" w:eastAsia="Arial" w:hAnsi="Arial"/>
          <w:color w:val="1f1f1f"/>
        </w:rPr>
        <w:drawing>
          <wp:inline distB="19050" distT="19050" distL="19050" distR="19050">
            <wp:extent cx="66601" cy="228345"/>
            <wp:effectExtent b="0" l="0" r="0" t="0"/>
            <wp:docPr id="21"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观察到历史信息过滤 </w:t>
      </w:r>
      <w:r w:rsidDel="00000000" w:rsidR="00000000" w:rsidRPr="00000000">
        <w:rPr>
          <w:rFonts w:ascii="Arial" w:cs="Arial" w:eastAsia="Arial" w:hAnsi="Arial"/>
          <w:color w:val="1f1f1f"/>
        </w:rPr>
        <w:drawing>
          <wp:inline distB="19050" distT="19050" distL="19050" distR="19050">
            <wp:extent cx="360982" cy="227989"/>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60982" cy="22798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的条件下，其条件强度函数（Conditional Intensity Function）</w:t>
      </w:r>
      <w:r w:rsidDel="00000000" w:rsidR="00000000" w:rsidRPr="00000000">
        <w:rPr>
          <w:rFonts w:ascii="Arial" w:cs="Arial" w:eastAsia="Arial" w:hAnsi="Arial"/>
          <w:color w:val="1f1f1f"/>
        </w:rPr>
        <w:drawing>
          <wp:inline distB="19050" distT="19050" distL="19050" distR="19050">
            <wp:extent cx="371326" cy="228509"/>
            <wp:effectExtent b="0" l="0" r="0" t="0"/>
            <wp:docPr id="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71326" cy="2285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被严格定义为：</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905383"/>
            <wp:effectExtent b="0" l="0" r="0" t="0"/>
            <wp:docPr id="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08675" cy="90538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在这个积分方程中：</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503113" cy="227825"/>
            <wp:effectExtent b="0" l="0" r="0" t="0"/>
            <wp:docPr id="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03113" cy="22782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代表 基础强度（Base Intensity），表示在没有任何历史事件扰动、市场处于绝对静态时，由宏观噪音交易者或基于流动性需求的参与者产生的自发订单到达率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447824" cy="228676"/>
            <wp:effectExtent b="0" l="0" r="0" t="0"/>
            <wp:docPr id="5"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47824" cy="22867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是第 </w:t>
      </w:r>
      <w:r w:rsidDel="00000000" w:rsidR="00000000" w:rsidRPr="00000000">
        <w:rPr>
          <w:rFonts w:ascii="Arial" w:cs="Arial" w:eastAsia="Arial" w:hAnsi="Arial"/>
          <w:color w:val="1f1f1f"/>
        </w:rPr>
        <w:drawing>
          <wp:inline distB="19050" distT="19050" distL="19050" distR="19050">
            <wp:extent cx="86469" cy="230584"/>
            <wp:effectExtent b="0" l="0" r="0" t="0"/>
            <wp:docPr id="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86469" cy="2305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种事件随时间演进的计数过程。</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746075" cy="229562"/>
            <wp:effectExtent b="0" l="0" r="0" t="0"/>
            <wp:docPr id="7"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746075" cy="22956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 激发核函数（Excitation Kernel），它构成了微观动力学传导的核心，量化了过去时刻 </w:t>
      </w:r>
      <w:r w:rsidDel="00000000" w:rsidR="00000000" w:rsidRPr="00000000">
        <w:rPr>
          <w:rFonts w:ascii="Arial" w:cs="Arial" w:eastAsia="Arial" w:hAnsi="Arial"/>
          <w:color w:val="1f1f1f"/>
        </w:rPr>
        <w:drawing>
          <wp:inline distB="19050" distT="19050" distL="19050" distR="19050">
            <wp:extent cx="86544" cy="230783"/>
            <wp:effectExtent b="0" l="0" r="0" t="0"/>
            <wp:docPr id="8"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86544" cy="2307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发生的事件 </w:t>
      </w:r>
      <w:r w:rsidDel="00000000" w:rsidR="00000000" w:rsidRPr="00000000">
        <w:rPr>
          <w:rFonts w:ascii="Arial" w:cs="Arial" w:eastAsia="Arial" w:hAnsi="Arial"/>
          <w:color w:val="1f1f1f"/>
        </w:rPr>
        <w:drawing>
          <wp:inline distB="19050" distT="19050" distL="19050" distR="19050">
            <wp:extent cx="86469" cy="230584"/>
            <wp:effectExtent b="0" l="0" r="0" t="0"/>
            <wp:docPr id="9"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86469" cy="2305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对当前时刻 </w:t>
      </w:r>
      <w:r w:rsidDel="00000000" w:rsidR="00000000" w:rsidRPr="00000000">
        <w:rPr>
          <w:rFonts w:ascii="Arial" w:cs="Arial" w:eastAsia="Arial" w:hAnsi="Arial"/>
          <w:color w:val="1f1f1f"/>
        </w:rPr>
        <w:drawing>
          <wp:inline distB="19050" distT="19050" distL="19050" distR="19050">
            <wp:extent cx="66601" cy="228345"/>
            <wp:effectExtent b="0" l="0" r="0" t="0"/>
            <wp:docPr id="10"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事件 </w:t>
      </w:r>
      <w:r w:rsidDel="00000000" w:rsidR="00000000" w:rsidRPr="00000000">
        <w:rPr>
          <w:rFonts w:ascii="Arial" w:cs="Arial" w:eastAsia="Arial" w:hAnsi="Arial"/>
          <w:color w:val="1f1f1f"/>
        </w:rPr>
        <w:drawing>
          <wp:inline distB="19050" distT="19050" distL="19050" distR="19050">
            <wp:extent cx="63624" cy="218140"/>
            <wp:effectExtent b="0" l="0" r="0" t="0"/>
            <wp:docPr id="3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624" cy="2181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发生概率的瞬时冲击程度与衰减轨迹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指数衰减核与幂律记忆核的物理意义对比</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核函数的选择直接决定了微观系统记忆长度的拓扑结构与计算复杂度，在学术界与工业界主要存在两种经典的核函数范式：</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指数核函数（Exponential Kernel）：</w:t>
      </w:r>
      <w:r w:rsidDel="00000000" w:rsidR="00000000" w:rsidRPr="00000000">
        <w:rPr>
          <w:rFonts w:ascii="Arial Unicode MS" w:cs="Arial Unicode MS" w:eastAsia="Arial Unicode MS" w:hAnsi="Arial Unicode MS"/>
          <w:color w:val="1f1f1f"/>
          <w:rtl w:val="0"/>
        </w:rPr>
        <w:t xml:space="preserve"> 其数学形式表达为 </w:t>
      </w:r>
      <w:r w:rsidDel="00000000" w:rsidR="00000000" w:rsidRPr="00000000">
        <w:rPr>
          <w:rFonts w:ascii="Arial" w:cs="Arial" w:eastAsia="Arial" w:hAnsi="Arial"/>
          <w:color w:val="1f1f1f"/>
        </w:rPr>
        <w:drawing>
          <wp:inline distB="19050" distT="19050" distL="19050" distR="19050">
            <wp:extent cx="1370933" cy="228489"/>
            <wp:effectExtent b="0" l="0" r="0" t="0"/>
            <wp:docPr id="3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1370933" cy="22848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（其中时间差 </w:t>
      </w:r>
      <w:r w:rsidDel="00000000" w:rsidR="00000000" w:rsidRPr="00000000">
        <w:rPr>
          <w:rFonts w:ascii="Arial" w:cs="Arial" w:eastAsia="Arial" w:hAnsi="Arial"/>
          <w:color w:val="1f1f1f"/>
        </w:rPr>
        <w:drawing>
          <wp:inline distB="19050" distT="19050" distL="19050" distR="19050">
            <wp:extent cx="725760" cy="229187"/>
            <wp:effectExtent b="0" l="0" r="0" t="0"/>
            <wp:docPr id="36"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725760" cy="22918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）。在这个结构中，</w:t>
      </w:r>
      <w:r w:rsidDel="00000000" w:rsidR="00000000" w:rsidRPr="00000000">
        <w:rPr>
          <w:rFonts w:ascii="Arial" w:cs="Arial" w:eastAsia="Arial" w:hAnsi="Arial"/>
          <w:color w:val="1f1f1f"/>
        </w:rPr>
        <w:drawing>
          <wp:inline distB="19050" distT="19050" distL="19050" distR="19050">
            <wp:extent cx="232246" cy="232246"/>
            <wp:effectExtent b="0" l="0" r="0" t="0"/>
            <wp:docPr id="37"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232246" cy="2322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决定了每次事件引发的冲击幅度（即强度函数的跃迁高度），而 </w:t>
      </w:r>
      <w:r w:rsidDel="00000000" w:rsidR="00000000" w:rsidRPr="00000000">
        <w:rPr>
          <w:rFonts w:ascii="Arial" w:cs="Arial" w:eastAsia="Arial" w:hAnsi="Arial"/>
          <w:color w:val="1f1f1f"/>
        </w:rPr>
        <w:drawing>
          <wp:inline distB="19050" distT="19050" distL="19050" distR="19050">
            <wp:extent cx="218628" cy="228134"/>
            <wp:effectExtent b="0" l="0" r="0" t="0"/>
            <wp:docPr id="3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8628" cy="2281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则是控制记忆衰减速度的参数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。指数核在数学上极其优美，因为它具有马尔可夫性质，能够将庞大的历史积分转化为常微分方程进行极速递推计算，因而在工业界高频系统中应用最为广泛。大量实证研究拟合出的高频衰减时间常数（</w:t>
      </w:r>
      <w:r w:rsidDel="00000000" w:rsidR="00000000" w:rsidRPr="00000000">
        <w:rPr>
          <w:rFonts w:ascii="Arial" w:cs="Arial" w:eastAsia="Arial" w:hAnsi="Arial"/>
          <w:color w:val="1f1f1f"/>
        </w:rPr>
        <w:drawing>
          <wp:inline distB="19050" distT="19050" distL="19050" distR="19050">
            <wp:extent cx="298550" cy="231135"/>
            <wp:effectExtent b="0" l="0" r="0" t="0"/>
            <wp:docPr id="39"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298550" cy="2311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）通常在 0.1 秒的量级，完美契合了现代高频做市算法对于“瞬时信号响应”与“闪电撤单”的物理直觉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幂律核函数（Power-Law Kernel）：</w:t>
      </w:r>
      <w:r w:rsidDel="00000000" w:rsidR="00000000" w:rsidRPr="00000000">
        <w:rPr>
          <w:rFonts w:ascii="Arial Unicode MS" w:cs="Arial Unicode MS" w:eastAsia="Arial Unicode MS" w:hAnsi="Arial Unicode MS"/>
          <w:color w:val="1f1f1f"/>
          <w:rtl w:val="0"/>
        </w:rPr>
        <w:t xml:space="preserve"> 其数学形式表达为 </w:t>
      </w:r>
      <w:r w:rsidDel="00000000" w:rsidR="00000000" w:rsidRPr="00000000">
        <w:rPr>
          <w:rFonts w:ascii="Arial" w:cs="Arial" w:eastAsia="Arial" w:hAnsi="Arial"/>
          <w:color w:val="1f1f1f"/>
        </w:rPr>
        <w:drawing>
          <wp:inline distB="19050" distT="19050" distL="19050" distR="19050">
            <wp:extent cx="1259757" cy="267221"/>
            <wp:effectExtent b="0" l="0" r="0" t="0"/>
            <wp:docPr id="40"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1259757" cy="2672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。与指数核的迅速收敛与遗忘不同，幂律核具有显著的“重尾（Heavy-tailed）”特征，能够极其精确地刻画微观市场的 长记忆性（Long-memory）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。在高频金融实证中，研究者往往发现简单的指数核严重低估了市场在发生大规模流动性冲击（如闪电崩盘）后的持续震荡与余震时间。通过幂律 Hawkes 过程的拟合发现，微观市场长期处于“临界状态（Criticality）”的边缘，其内生反射性（Reflexivity）极高。这种幂律衰减结构也是宏观视角下“粗糙波动率（Rough Volatility）”模型在微观底层数据中的直接物理映射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极大似然估计（MLE）的底层演算法逻辑</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为了在实盘中计算出描述复杂互激与抑制关系的最佳核参数矩阵（</w:t>
      </w:r>
      <w:r w:rsidDel="00000000" w:rsidR="00000000" w:rsidRPr="00000000">
        <w:rPr>
          <w:rFonts w:ascii="Arial" w:cs="Arial" w:eastAsia="Arial" w:hAnsi="Arial"/>
          <w:color w:val="1f1f1f"/>
        </w:rPr>
        <w:drawing>
          <wp:inline distB="19050" distT="19050" distL="19050" distR="19050">
            <wp:extent cx="508024" cy="230049"/>
            <wp:effectExtent b="0" l="0" r="0" t="0"/>
            <wp:docPr id="4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08024" cy="23004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），量化研究采用极大似然估计（MLE）算法进行非凸优化拟合。对于在时间区间 $$ 内观察到的海量微观事件序列 </w:t>
      </w:r>
      <w:r w:rsidDel="00000000" w:rsidR="00000000" w:rsidRPr="00000000">
        <w:rPr>
          <w:rFonts w:ascii="Arial" w:cs="Arial" w:eastAsia="Arial" w:hAnsi="Arial"/>
          <w:color w:val="1f1f1f"/>
        </w:rPr>
        <w:drawing>
          <wp:inline distB="19050" distT="19050" distL="19050" distR="19050">
            <wp:extent cx="1111377" cy="227975"/>
            <wp:effectExtent b="0" l="0" r="0" t="0"/>
            <wp:docPr id="42"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1111377" cy="2279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，多元 Hawkes 过程的对数似然函数 </w:t>
      </w:r>
      <w:r w:rsidDel="00000000" w:rsidR="00000000" w:rsidRPr="00000000">
        <w:rPr>
          <w:rFonts w:ascii="Arial" w:cs="Arial" w:eastAsia="Arial" w:hAnsi="Arial"/>
          <w:color w:val="1f1f1f"/>
        </w:rPr>
        <w:drawing>
          <wp:inline distB="19050" distT="19050" distL="19050" distR="19050">
            <wp:extent cx="520229" cy="227009"/>
            <wp:effectExtent b="0" l="0" r="0" t="0"/>
            <wp:docPr id="43"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20229" cy="2270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由两部分积分严格构成：</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972095"/>
            <wp:effectExtent b="0" l="0" r="0" t="0"/>
            <wp:docPr id="33"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708675" cy="97209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个目标方程中，第一项（求和项）奖励模型在实际发生订单的时刻预测出极高的条件强度值，从而确保模型捕捉到了真实的群聚效应；而第二项（积分项或称补偿项）则作为一个严厉的正则化约束，惩罚模型在整个时间段内由于过度自激发而预测出远超实际的虚假事件量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。在实战工程中，通过引入分支比（Branching Ratio）小于 1 的平稳性约束，并应用 L-BFGS-B 等基于拟牛顿法的边界约束优化器，量化系统能够在短时间内收敛出逼近全局最优的参数矩阵，从而为后续的流动性枯竭预警提供坚实的参数基础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维度四：订单簿深度学习架构演进（从 DeepLOB 到 TCN 与 Transformer）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传统的线性模型（如多元回归与 ARIMA）在面对包含海量非线性特征的 LOB 张量矩阵时，难以捕获非平稳的高维时空特征，往往面临严重的欠拟合。深度学习（Deep Learning, DeepL）的引入彻底颠覆了高频 Alpha 因子的提取范式。当前，前沿量化机构的特征工程已经从初代混合网络 DeepLOB，快速迭代至更为先进的时序卷积网络（TCN）和由注意力机制（Attention）主导的 Transformer 架构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经典基石：DeepLOB（CNN-LSTM 双层嵌套架构）</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 Zhang 等人（2019）提出的 DeepLOB 是微观限价订单簿深度学习领域的奠基性架构。该模型颠覆性地将 LOB 的多档价格与容量快照序列视作二维的空间-时间图像张量，利用计算机视觉的思想进行解析。</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在其微观结构中，底层使用多个一维卷积神经网络（CNN）的变体（如 1x2 步长卷积）。这种特定步长的卷积核设计并不是为了盲目提取特征，而是为了在第一层精确映射微观物理学中的 买卖盘口差异（Bid-Ask Spread） 与各档位的 订单流失衡度。随后的 Inception 模块通过并行的多尺度卷积核，从不同感受野尺度提取微观流动性特征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 CNN 提取出的浓缩空间特征随后被展平，并输入至长短期记忆网络（LSTM）。LSTM 通过其细胞状态（Cell State）和极其复杂的门控机制（输入门、遗忘门、输出门），致力于捕捉微观状态随时间演变的长期依赖关系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。然而，由于 LSTM 固有的时间序列反向传播机制，在面对包含数千个微秒级快照的高频数据流时，依然不可避免地存在梯度衰减问题，且递归结构使得其无法在 GPU 上进行大规模并行加速，这构成了其在极低延迟环境下的工程痛点。</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进阶范式：时序卷积网络（Temporal Convolutional Networks, TCN）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为了彻底解决递归神经网络（RNN/LSTM）在时间序列处理上的串行计算瓶颈，时序卷积网络（TCN）作为一种革命性的进阶架构被引入高频预测领域。TCN 的底层数学逻辑完美构建于 因果卷积（Causal Convolutions） 与 空洞卷积（Dilated Convolutions） 之上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因果卷积的严密性防泄漏设计：</w:t>
      </w:r>
      <w:r w:rsidDel="00000000" w:rsidR="00000000" w:rsidRPr="00000000">
        <w:rPr>
          <w:rFonts w:ascii="Arial Unicode MS" w:cs="Arial Unicode MS" w:eastAsia="Arial Unicode MS" w:hAnsi="Arial Unicode MS"/>
          <w:color w:val="1f1f1f"/>
          <w:rtl w:val="0"/>
        </w:rPr>
        <w:t xml:space="preserve"> 这种卷积结构在数学上保证了在 </w:t>
      </w:r>
      <w:r w:rsidDel="00000000" w:rsidR="00000000" w:rsidRPr="00000000">
        <w:rPr>
          <w:rFonts w:ascii="Arial" w:cs="Arial" w:eastAsia="Arial" w:hAnsi="Arial"/>
          <w:color w:val="1f1f1f"/>
        </w:rPr>
        <w:drawing>
          <wp:inline distB="19050" distT="19050" distL="19050" distR="19050">
            <wp:extent cx="66601" cy="228345"/>
            <wp:effectExtent b="0" l="0" r="0" t="0"/>
            <wp:docPr id="2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时刻的输出 </w:t>
      </w:r>
      <w:r w:rsidDel="00000000" w:rsidR="00000000" w:rsidRPr="00000000">
        <w:rPr>
          <w:rFonts w:ascii="Arial" w:cs="Arial" w:eastAsia="Arial" w:hAnsi="Arial"/>
          <w:color w:val="1f1f1f"/>
        </w:rPr>
        <w:drawing>
          <wp:inline distB="19050" distT="19050" distL="19050" distR="19050">
            <wp:extent cx="146224" cy="233958"/>
            <wp:effectExtent b="0" l="0" r="0" t="0"/>
            <wp:docPr id="25"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146224" cy="23395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仅依赖于时间 </w:t>
      </w:r>
      <w:r w:rsidDel="00000000" w:rsidR="00000000" w:rsidRPr="00000000">
        <w:rPr>
          <w:rFonts w:ascii="Arial" w:cs="Arial" w:eastAsia="Arial" w:hAnsi="Arial"/>
          <w:color w:val="1f1f1f"/>
        </w:rPr>
        <w:drawing>
          <wp:inline distB="19050" distT="19050" distL="19050" distR="19050">
            <wp:extent cx="66601" cy="228345"/>
            <wp:effectExtent b="0" l="0" r="0" t="0"/>
            <wp:docPr id="2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及其之前的输入数据 </w:t>
      </w:r>
      <w:r w:rsidDel="00000000" w:rsidR="00000000" w:rsidRPr="00000000">
        <w:rPr>
          <w:rFonts w:ascii="Arial" w:cs="Arial" w:eastAsia="Arial" w:hAnsi="Arial"/>
          <w:color w:val="1f1f1f"/>
        </w:rPr>
        <w:drawing>
          <wp:inline distB="19050" distT="19050" distL="19050" distR="19050">
            <wp:extent cx="328910" cy="225538"/>
            <wp:effectExtent b="0" l="0" r="0" t="0"/>
            <wp:docPr id="27"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328910" cy="2255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。这从物理网络拓扑上绝对杜绝了“未来信息泄漏（Future Data Leakage）”，这是任何金融量化回测中必须坚守的底线要求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空洞卷积与指数级感受野推导：</w:t>
      </w:r>
      <w:r w:rsidDel="00000000" w:rsidR="00000000" w:rsidRPr="00000000">
        <w:rPr>
          <w:rFonts w:ascii="Arial Unicode MS" w:cs="Arial Unicode MS" w:eastAsia="Arial Unicode MS" w:hAnsi="Arial Unicode MS"/>
          <w:color w:val="1f1f1f"/>
          <w:rtl w:val="0"/>
        </w:rPr>
        <w:t xml:space="preserve"> TCN 通过引入空洞因子 </w:t>
      </w:r>
      <w:r w:rsidDel="00000000" w:rsidR="00000000" w:rsidRPr="00000000">
        <w:rPr>
          <w:rFonts w:ascii="Arial" w:cs="Arial" w:eastAsia="Arial" w:hAnsi="Arial"/>
          <w:color w:val="1f1f1f"/>
        </w:rPr>
        <w:drawing>
          <wp:inline distB="19050" distT="19050" distL="19050" distR="19050">
            <wp:extent cx="95920" cy="230207"/>
            <wp:effectExtent b="0" l="0" r="0" t="0"/>
            <wp:docPr id="28"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95920" cy="2302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，使得卷积核在读取底层 LOB 数据时跳过特定数量的步长。其前向传播的数学表达为 </w:t>
      </w:r>
      <w:r w:rsidDel="00000000" w:rsidR="00000000" w:rsidRPr="00000000">
        <w:rPr>
          <w:rFonts w:ascii="Arial" w:cs="Arial" w:eastAsia="Arial" w:hAnsi="Arial"/>
          <w:color w:val="1f1f1f"/>
        </w:rPr>
        <w:drawing>
          <wp:inline distB="19050" distT="19050" distL="19050" distR="19050">
            <wp:extent cx="2458860" cy="247792"/>
            <wp:effectExtent b="0" l="0" r="0" t="0"/>
            <wp:docPr id="29"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2458860" cy="2477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。更为精妙的是，随着网络层数 </w:t>
      </w:r>
      <w:r w:rsidDel="00000000" w:rsidR="00000000" w:rsidRPr="00000000">
        <w:rPr>
          <w:rFonts w:ascii="Arial" w:cs="Arial" w:eastAsia="Arial" w:hAnsi="Arial"/>
          <w:color w:val="1f1f1f"/>
        </w:rPr>
        <w:drawing>
          <wp:inline distB="19050" distT="19050" distL="19050" distR="19050">
            <wp:extent cx="63624" cy="218140"/>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624" cy="2181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的加深，空洞因子呈指数级连续扩张（例如 </w:t>
      </w:r>
      <w:r w:rsidDel="00000000" w:rsidR="00000000" w:rsidRPr="00000000">
        <w:rPr>
          <w:rFonts w:ascii="Arial" w:cs="Arial" w:eastAsia="Arial" w:hAnsi="Arial"/>
          <w:color w:val="1f1f1f"/>
        </w:rPr>
        <w:drawing>
          <wp:inline distB="19050" distT="19050" distL="19050" distR="19050">
            <wp:extent cx="652835" cy="227073"/>
            <wp:effectExtent b="0" l="0" r="0" t="0"/>
            <wp:docPr id="31"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652835" cy="22707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）。对于包含 </w:t>
      </w:r>
      <w:r w:rsidDel="00000000" w:rsidR="00000000" w:rsidRPr="00000000">
        <w:rPr>
          <w:rFonts w:ascii="Arial" w:cs="Arial" w:eastAsia="Arial" w:hAnsi="Arial"/>
          <w:color w:val="1f1f1f"/>
        </w:rPr>
        <w:drawing>
          <wp:inline distB="19050" distT="19050" distL="19050" distR="19050">
            <wp:extent cx="125611" cy="231897"/>
            <wp:effectExtent b="0" l="0" r="0" t="0"/>
            <wp:docPr id="32"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125611" cy="2318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层残差块、卷积核大小为 </w:t>
      </w:r>
      <w:r w:rsidDel="00000000" w:rsidR="00000000" w:rsidRPr="00000000">
        <w:rPr>
          <w:rFonts w:ascii="Arial" w:cs="Arial" w:eastAsia="Arial" w:hAnsi="Arial"/>
          <w:color w:val="1f1f1f"/>
        </w:rPr>
        <w:drawing>
          <wp:inline distB="19050" distT="19050" distL="19050" distR="19050">
            <wp:extent cx="101947" cy="222430"/>
            <wp:effectExtent b="0" l="0" r="0" t="0"/>
            <wp:docPr id="2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01947" cy="2224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 TCN，其理论上的最大感受野（Receptive Field Size, RFS）计算公式为：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533719"/>
            <wp:effectExtent b="0" l="0" r="0" t="0"/>
            <wp:docPr id="23"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346725" cy="5337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这种呈几何级数膨胀的设计，使得 TCN 能够以极浅的网络层数和极少的参数量，轻松覆盖长达数千个微观 Tick 的历史视野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。配合类似于 ResNet 的残差连接（Residual Connections）来克服深度网络的梯度消失问题，TCN 在超长微观序列的预测稳定性和硬件并发计算速度上，实现了对传统 LSTM 的全面超越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前沿极境：Transformer 与空间-时间多头自注意力（Spatial-Temporal Multi-Head Attention）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当微观结构研究进一步深入时，研究者洞察到 LOB 不仅具有时间上的顺序依赖，在其不同价格档位（空间轴）之间也存在着复杂的非局部跳跃交互。基于此，诸如 Limit Order Book Transformer（LiT）等前沿模型应运而生，彻底摒弃了局部的卷积层，转而全面拥抱自注意力机制（Self-Attention） </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Transformer 的核心数学映射在于 多头注意力机制（Multi-Head Attention）。对于高频输入张量，模型通过线性投影生成查询（Query, Q）、键（Key, K）和值（Value, V）矩阵。注意力权重的计算本质上是在高维空间中度量序列中任意两个微观快照状态的内积相似度：</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762427"/>
            <wp:effectExtent b="0" l="0" r="0" t="0"/>
            <wp:docPr id="58"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08675" cy="7624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多头机制允许模型将原始数据映射到多个不同的表示子空间中进行并行计算，从而同时捕捉不同的市场微观动态：</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533699"/>
            <wp:effectExtent b="0" l="0" r="0" t="0"/>
            <wp:docPr id="59"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5708675" cy="5336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在处理复杂的 LOB 数据时，空间-时间协同注意力（Spatial-Temporal Attention） 发挥了决定性作用。空间注意力机制穿透各个订单深度档位，动态赋予微观失衡状态以不同的注意力权重（例如在浅层流动性匮乏时，模型会自动将极高的注意力权重分配给 LOB 深层的冰山订单堆积区）；而时间注意力机制则跨越历史数据帧，精准捕捉类似 Hawkes 过程所描述的微观群聚触发模式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。Transformer 通过并行的矩阵内积运算，构建了一幅全局互联的微观物理张量图，极大地提升了模型在捕捉极端单边崩盘（Flash Crash）前兆时的泛化能力。</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维度五：深度强化学习（DRL）在高频做市中的 MDP 构建与 Bellman 推导</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传统的高频做市商（Market Maker, MM）策略通常严重依赖于 Avellaneda-Stoikov (A-S) 等经典解析解模型来进行连续的双边报价。然而，解析模型需要对资产价格过程（如假定价格服从严格的几何布朗运动）和订单到达率进行强假设，这在充满跳跃和厚尾分布的真实高频市场中往往会面临失效的风险。近年来，深度强化学习（Deep Reinforcement Learning, DRL）由于其卓越的“无模型（Model-free）”特性，能够直接从与高频环境的试错交互中学习，成为了探索高频做市最优解的革命性范式 </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马尔可夫决策过程（MDP）的严密构建</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DRL 框架下，做市商与微观环境的连续交互被严密地构建为一个马尔可夫决策过程（MDP）的元组 </w:t>
      </w:r>
      <w:r w:rsidDel="00000000" w:rsidR="00000000" w:rsidRPr="00000000">
        <w:rPr>
          <w:rFonts w:ascii="Arial" w:cs="Arial" w:eastAsia="Arial" w:hAnsi="Arial"/>
          <w:color w:val="1f1f1f"/>
        </w:rPr>
        <w:drawing>
          <wp:inline distB="19050" distT="19050" distL="19050" distR="19050">
            <wp:extent cx="1149848" cy="228069"/>
            <wp:effectExtent b="0" l="0" r="0" t="0"/>
            <wp:docPr id="60"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1149848" cy="22806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状态空间 </w:t>
      </w:r>
      <w:r w:rsidDel="00000000" w:rsidR="00000000" w:rsidRPr="00000000">
        <w:rPr>
          <w:rFonts w:ascii="Arial" w:cs="Arial" w:eastAsia="Arial" w:hAnsi="Arial"/>
          <w:b w:val="1"/>
          <w:bCs w:val="1"/>
          <w:color w:val="1f1f1f"/>
        </w:rPr>
        <w:drawing>
          <wp:inline distB="19050" distT="19050" distL="19050" distR="19050">
            <wp:extent cx="125537" cy="222103"/>
            <wp:effectExtent b="0" l="0" r="0" t="0"/>
            <wp:docPr id="61"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125537" cy="22210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（State Space）：</w:t>
      </w:r>
      <w:r w:rsidDel="00000000" w:rsidR="00000000" w:rsidRPr="00000000">
        <w:rPr>
          <w:rFonts w:ascii="Arial Unicode MS" w:cs="Arial Unicode MS" w:eastAsia="Arial Unicode MS" w:hAnsi="Arial Unicode MS"/>
          <w:color w:val="1f1f1f"/>
          <w:rtl w:val="0"/>
        </w:rPr>
        <w:t xml:space="preserve"> 包含了做市商在 </w:t>
      </w:r>
      <w:r w:rsidDel="00000000" w:rsidR="00000000" w:rsidRPr="00000000">
        <w:rPr>
          <w:rFonts w:ascii="Arial" w:cs="Arial" w:eastAsia="Arial" w:hAnsi="Arial"/>
          <w:color w:val="1f1f1f"/>
        </w:rPr>
        <w:drawing>
          <wp:inline distB="19050" distT="19050" distL="19050" distR="19050">
            <wp:extent cx="66601" cy="228345"/>
            <wp:effectExtent b="0" l="0" r="0" t="0"/>
            <wp:docPr id="6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时刻对当前微观世界的完整观测。现代模型不仅包括自身的持仓库存（Inventory </w:t>
      </w:r>
      <w:r w:rsidDel="00000000" w:rsidR="00000000" w:rsidRPr="00000000">
        <w:rPr>
          <w:rFonts w:ascii="Arial" w:cs="Arial" w:eastAsia="Arial" w:hAnsi="Arial"/>
          <w:color w:val="1f1f1f"/>
        </w:rPr>
        <w:drawing>
          <wp:inline distB="19050" distT="19050" distL="19050" distR="19050">
            <wp:extent cx="138113" cy="220980"/>
            <wp:effectExtent b="0" l="0" r="0" t="0"/>
            <wp:docPr id="63" name="image79.png"/>
            <a:graphic>
              <a:graphicData uri="http://schemas.openxmlformats.org/drawingml/2006/picture">
                <pic:pic>
                  <pic:nvPicPr>
                    <pic:cNvPr id="0" name="image79.png"/>
                    <pic:cNvPicPr preferRelativeResize="0"/>
                  </pic:nvPicPr>
                  <pic:blipFill>
                    <a:blip r:embed="rId67"/>
                    <a:srcRect b="0" l="0" r="0" t="0"/>
                    <a:stretch>
                      <a:fillRect/>
                    </a:stretch>
                  </pic:blipFill>
                  <pic:spPr>
                    <a:xfrm>
                      <a:off x="0" y="0"/>
                      <a:ext cx="138113" cy="22098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）与现金余额，更深度融合了由前文所述的深度学习模型提取的多档订单流失衡（MLOFI）、买卖价差（Spread）、相对排队位置以及短期高频波动率等微观结构指标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动作空间 </w:t>
      </w:r>
      <w:r w:rsidDel="00000000" w:rsidR="00000000" w:rsidRPr="00000000">
        <w:rPr>
          <w:rFonts w:ascii="Arial" w:cs="Arial" w:eastAsia="Arial" w:hAnsi="Arial"/>
          <w:b w:val="1"/>
          <w:bCs w:val="1"/>
          <w:color w:val="1f1f1f"/>
        </w:rPr>
        <w:drawing>
          <wp:inline distB="19050" distT="19050" distL="19050" distR="19050">
            <wp:extent cx="147191" cy="225693"/>
            <wp:effectExtent b="0" l="0" r="0" t="0"/>
            <wp:docPr id="64"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147191" cy="22569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（Action Space）：</w:t>
      </w:r>
      <w:r w:rsidDel="00000000" w:rsidR="00000000" w:rsidRPr="00000000">
        <w:rPr>
          <w:rFonts w:ascii="Arial Unicode MS" w:cs="Arial Unicode MS" w:eastAsia="Arial Unicode MS" w:hAnsi="Arial Unicode MS"/>
          <w:color w:val="1f1f1f"/>
          <w:rtl w:val="0"/>
        </w:rPr>
        <w:t xml:space="preserve"> 代表代理程序在任意高频决策时刻，选择将买入限价单（Bid）和卖出限价单（Ask）挂在距离当前中间价多远的 Tick 位置（即制定动态的报价偏差 Skew </w:t>
      </w:r>
      <w:r w:rsidDel="00000000" w:rsidR="00000000" w:rsidRPr="00000000">
        <w:rPr>
          <w:rFonts w:ascii="Arial" w:cs="Arial" w:eastAsia="Arial" w:hAnsi="Arial"/>
          <w:color w:val="1f1f1f"/>
        </w:rPr>
        <w:drawing>
          <wp:inline distB="19050" distT="19050" distL="19050" distR="19050">
            <wp:extent cx="387921" cy="227076"/>
            <wp:effectExtent b="0" l="0" r="0" t="0"/>
            <wp:docPr id="65"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387921" cy="22707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状态转移概率 </w:t>
      </w:r>
      <w:r w:rsidDel="00000000" w:rsidR="00000000" w:rsidRPr="00000000">
        <w:rPr>
          <w:rFonts w:ascii="Arial" w:cs="Arial" w:eastAsia="Arial" w:hAnsi="Arial"/>
          <w:b w:val="1"/>
          <w:bCs w:val="1"/>
          <w:color w:val="1f1f1f"/>
        </w:rPr>
        <w:drawing>
          <wp:inline distB="19050" distT="19050" distL="19050" distR="19050">
            <wp:extent cx="143470" cy="219988"/>
            <wp:effectExtent b="0" l="0" r="0" t="0"/>
            <wp:docPr id="55" name="image64.png"/>
            <a:graphic>
              <a:graphicData uri="http://schemas.openxmlformats.org/drawingml/2006/picture">
                <pic:pic>
                  <pic:nvPicPr>
                    <pic:cNvPr id="0" name="image64.png"/>
                    <pic:cNvPicPr preferRelativeResize="0"/>
                  </pic:nvPicPr>
                  <pic:blipFill>
                    <a:blip r:embed="rId70"/>
                    <a:srcRect b="0" l="0" r="0" t="0"/>
                    <a:stretch>
                      <a:fillRect/>
                    </a:stretch>
                  </pic:blipFill>
                  <pic:spPr>
                    <a:xfrm>
                      <a:off x="0" y="0"/>
                      <a:ext cx="143470" cy="219988"/>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 取决于市场中对手盘（Taker）激进市价单的实际到达概率及做市商订单的成交概率。</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贝尔曼方程（Bellman Equation）与策略梯度优化</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强化学习进行决策的核心数学基石是贝尔曼期望方程与贝尔曼最优方程。做市代理的终极目标是找到一个最优映射策略 </w:t>
      </w:r>
      <w:r w:rsidDel="00000000" w:rsidR="00000000" w:rsidRPr="00000000">
        <w:rPr>
          <w:rFonts w:ascii="Arial" w:cs="Arial" w:eastAsia="Arial" w:hAnsi="Arial"/>
          <w:color w:val="1f1f1f"/>
        </w:rPr>
        <w:drawing>
          <wp:inline distB="19050" distT="19050" distL="19050" distR="19050">
            <wp:extent cx="185440" cy="234240"/>
            <wp:effectExtent b="0" l="0" r="0" t="0"/>
            <wp:docPr id="56"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185440" cy="23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，以最大化从当前时刻起未来所有折扣奖励的期望累积值（即状态价值函数 </w:t>
      </w:r>
      <w:r w:rsidDel="00000000" w:rsidR="00000000" w:rsidRPr="00000000">
        <w:rPr>
          <w:rFonts w:ascii="Arial" w:cs="Arial" w:eastAsia="Arial" w:hAnsi="Arial"/>
          <w:color w:val="1f1f1f"/>
        </w:rPr>
        <w:drawing>
          <wp:inline distB="19050" distT="19050" distL="19050" distR="19050">
            <wp:extent cx="452215" cy="230918"/>
            <wp:effectExtent b="0" l="0" r="0" t="0"/>
            <wp:docPr id="57"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452215" cy="2309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或动作价值函数 </w:t>
      </w:r>
      <w:r w:rsidDel="00000000" w:rsidR="00000000" w:rsidRPr="00000000">
        <w:rPr>
          <w:rFonts w:ascii="Arial" w:cs="Arial" w:eastAsia="Arial" w:hAnsi="Arial"/>
          <w:color w:val="1f1f1f"/>
        </w:rPr>
        <w:drawing>
          <wp:inline distB="19050" distT="19050" distL="19050" distR="19050">
            <wp:extent cx="629245" cy="228816"/>
            <wp:effectExtent b="0" l="0" r="0" t="0"/>
            <wp:docPr id="48"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629245" cy="22881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Unicode MS" w:cs="Arial Unicode MS" w:eastAsia="Arial Unicode MS" w:hAnsi="Arial Unicode MS"/>
          <w:color w:val="1f1f1f"/>
          <w:rtl w:val="0"/>
        </w:rPr>
        <w:t xml:space="preserve">。 最优状态价值函数服从递归的非线性方程：</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266850"/>
            <wp:effectExtent b="0" l="0" r="0" t="0"/>
            <wp:docPr id="49"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708675" cy="2668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在现代量化应用中，由于包含 LOB 快照张量的状态空间是连续且无限维的，传统表格法（Tabular Q-learning）会遭遇维度爆炸。因此，算法（如 Double Deep Q-Network 或 Proximal Policy Optimization, PPO）通过深度神经网络对 </w:t>
      </w:r>
      <w:r w:rsidDel="00000000" w:rsidR="00000000" w:rsidRPr="00000000">
        <w:rPr>
          <w:rFonts w:ascii="Arial" w:cs="Arial" w:eastAsia="Arial" w:hAnsi="Arial"/>
          <w:color w:val="1f1f1f"/>
        </w:rPr>
        <w:drawing>
          <wp:inline distB="19050" distT="19050" distL="19050" distR="19050">
            <wp:extent cx="145926" cy="233481"/>
            <wp:effectExtent b="0" l="0" r="0" t="0"/>
            <wp:docPr id="50"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145926" cy="23348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函数或策略函数进行参数化逼近，通过梯度下降最小化时序差分（Temporal Difference, TD）误差，逐步收敛至高维空间中的微观最优报价策略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奖励函数（Reward Function）与 CARA 效用的数学映射</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DRL 做市框架的工程设计中，奖励函数 </w:t>
      </w:r>
      <w:r w:rsidDel="00000000" w:rsidR="00000000" w:rsidRPr="00000000">
        <w:rPr>
          <w:rFonts w:ascii="Arial" w:cs="Arial" w:eastAsia="Arial" w:hAnsi="Arial"/>
          <w:color w:val="1f1f1f"/>
        </w:rPr>
        <w:drawing>
          <wp:inline distB="19050" distT="19050" distL="19050" distR="19050">
            <wp:extent cx="156419" cy="224852"/>
            <wp:effectExtent b="0" l="0" r="0" t="0"/>
            <wp:docPr id="51"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156419" cy="2248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的数学构造直接决定了模型在实盘中的生死存亡。如果仅仅将每一时间步的瞬时利润（PnL）作为奖励，模型会变得极度贪婪，倾向于始终保持极窄的价差。这种策略最终会因为积累了过大的单向库存风险（Inventory Risk），而在价格突发的单向暴跌中被扫单流瞬间“穿透”，导致灾难性的爆仓。</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为了实现风险防范与做市收益的动态平衡，前沿研究革命性地引入了微观经济学中的 常数绝对风险厌恶（Constant Absolute Risk Aversion, CARA）效用函数 作为模型的终端或连续惩罚奖励 </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Unicode MS" w:cs="Arial Unicode MS" w:eastAsia="Arial Unicode MS" w:hAnsi="Arial Unicode MS"/>
          <w:color w:val="1f1f1f"/>
          <w:rtl w:val="0"/>
        </w:rPr>
        <w:t xml:space="preserve">。其数学形式被严密定义为：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533699"/>
            <wp:effectExtent b="0" l="0" r="0" t="0"/>
            <wp:docPr id="52"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5708675" cy="53369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在这个指数惩罚结构中，</w:t>
      </w:r>
      <w:r w:rsidDel="00000000" w:rsidR="00000000" w:rsidRPr="00000000">
        <w:rPr>
          <w:rFonts w:ascii="Arial" w:cs="Arial" w:eastAsia="Arial" w:hAnsi="Arial"/>
          <w:color w:val="1f1f1f"/>
        </w:rPr>
        <w:drawing>
          <wp:inline distB="19050" distT="19050" distL="19050" distR="19050">
            <wp:extent cx="255091" cy="226747"/>
            <wp:effectExtent b="0" l="0" r="0" t="0"/>
            <wp:docPr id="53"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255091" cy="2267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是做市商的累积现金，</w:t>
      </w:r>
      <w:r w:rsidDel="00000000" w:rsidR="00000000" w:rsidRPr="00000000">
        <w:rPr>
          <w:rFonts w:ascii="Arial" w:cs="Arial" w:eastAsia="Arial" w:hAnsi="Arial"/>
          <w:color w:val="1f1f1f"/>
        </w:rPr>
        <w:drawing>
          <wp:inline distB="19050" distT="19050" distL="19050" distR="19050">
            <wp:extent cx="400199" cy="228685"/>
            <wp:effectExtent b="0" l="0" r="0" t="0"/>
            <wp:docPr id="54"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400199" cy="2286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是当前库存的按市价计价价值，</w:t>
      </w:r>
      <w:r w:rsidDel="00000000" w:rsidR="00000000" w:rsidRPr="00000000">
        <w:rPr>
          <w:rFonts w:ascii="Arial" w:cs="Arial" w:eastAsia="Arial" w:hAnsi="Arial"/>
          <w:color w:val="1f1f1f"/>
        </w:rPr>
        <w:drawing>
          <wp:inline distB="19050" distT="19050" distL="19050" distR="19050">
            <wp:extent cx="386730" cy="226379"/>
            <wp:effectExtent b="0" l="0" r="0" t="0"/>
            <wp:docPr id="44"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386730" cy="2263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代表若要清算巨大库存所必须付出的潜在流动性冲击成本（即风险溢价）。参数 </w:t>
      </w:r>
      <w:r w:rsidDel="00000000" w:rsidR="00000000" w:rsidRPr="00000000">
        <w:rPr>
          <w:rFonts w:ascii="Arial" w:cs="Arial" w:eastAsia="Arial" w:hAnsi="Arial"/>
          <w:color w:val="1f1f1f"/>
        </w:rPr>
        <w:drawing>
          <wp:inline distB="19050" distT="19050" distL="19050" distR="19050">
            <wp:extent cx="105743" cy="230711"/>
            <wp:effectExtent b="0" l="0" r="0" t="0"/>
            <wp:docPr id="45" name="image34.png"/>
            <a:graphic>
              <a:graphicData uri="http://schemas.openxmlformats.org/drawingml/2006/picture">
                <pic:pic>
                  <pic:nvPicPr>
                    <pic:cNvPr id="0" name="image34.png"/>
                    <pic:cNvPicPr preferRelativeResize="0"/>
                  </pic:nvPicPr>
                  <pic:blipFill>
                    <a:blip r:embed="rId81"/>
                    <a:srcRect b="0" l="0" r="0" t="0"/>
                    <a:stretch>
                      <a:fillRect/>
                    </a:stretch>
                  </pic:blipFill>
                  <pic:spPr>
                    <a:xfrm>
                      <a:off x="0" y="0"/>
                      <a:ext cx="105743" cy="23071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是极度核心的风险厌恶系数，控制着模型对单边敞口的容忍度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 当系统通过贝尔曼方程进行反向传播更新网络权重时，CARA 效用函数的指数级非线性陡峭特征会给模型带来极其严厉的库存偏离惩罚。DRL 代理程序在这种奖励机制的约束下，会自然涌现出与经典 Hamilton-Jacobi-Bellman (HJB) 偏微分方程推导出的 A-S 模型高度相似的智能避险行为：当持有过大的看多（正）头寸时，代理会主动将卖方报价（Ask）大幅拉低以诱导对手盘成交，同时极度压低买方报价（Bid）以避免进一步接飞刀，从而在微观操作层面上实现了完美的存货均值回归。</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维度六：微秒级金融 NLP 与情感 Alpha 因子的动态构建</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长久以来，高频量化模型几乎完全依赖量价（Volume-Price）与极其致密的订单簿结构数据。然而，随着自然语言处理（NLP）在大型语言模型（如基于 Transformer 架构的 FinBERT 或领域专用的金融大模型）上的突破性进展，对突发财经新闻、社交媒体异动（如推特或量化投资论坛的群体情绪）以及财报电话会议摘要的“微秒级”实时文本解析，已成为捕捉极其短暂的价格异动 Alpha 的全新阵地 </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高频语境下的 NLP 情感因子重构</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传统的词频-逆文档频率（TF-IDF）和基于静态词典的匹配法（Dictionary-based methods）在面对复杂语义时存在显著缺陷。特别是在应对反讽、双重否定以及高度上下文依赖的特定金融语境（例如，“通胀超出预期”在经济复苏期和滞胀期的市场含义截然相反）时，传统算法往往会输出错误的情绪方向 </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Unicode MS" w:cs="Arial Unicode MS" w:eastAsia="Arial Unicode MS" w:hAnsi="Arial Unicode MS"/>
          <w:color w:val="1f1f1f"/>
          <w:rtl w:val="0"/>
        </w:rPr>
        <w:t xml:space="preserve">。 前沿 NLP 模型利用深层堆叠的自注意力编码器，将非结构化的长文本映射为高维连续特征向量，并利用上下文感知能力输出极具粒度的正/负向概率评分（Sentiment Scores） </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Unicode MS" w:cs="Arial Unicode MS" w:eastAsia="Arial Unicode MS" w:hAnsi="Arial Unicode MS"/>
          <w:color w:val="1f1f1f"/>
          <w:rtl w:val="0"/>
        </w:rPr>
        <w:t xml:space="preserve">。在现代微观量化架构中，由于市场情绪向价格的传导与释放极其迅速，工程实现上对计算延迟提出了极为苛刻的要求。基于高度优化的底层 C++ 推理引擎（如在 DolphinDB 等流批一体化环境下的微秒级因子计算），前沿系统能够在接收到新闻文本推送流后的数十微秒（</w:t>
      </w:r>
      <w:r w:rsidDel="00000000" w:rsidR="00000000" w:rsidRPr="00000000">
        <w:rPr>
          <w:rFonts w:ascii="Arial" w:cs="Arial" w:eastAsia="Arial" w:hAnsi="Arial"/>
          <w:color w:val="1f1f1f"/>
        </w:rPr>
        <w:drawing>
          <wp:inline distB="19050" distT="19050" distL="19050" distR="19050">
            <wp:extent cx="197792" cy="226048"/>
            <wp:effectExtent b="0" l="0" r="0" t="0"/>
            <wp:docPr id="46"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197792" cy="2260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）内，并发完成上百个 NLP 情绪因子的特征投影与非线性聚合计算 </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指数衰减时间核（Exponential Decay Temporal Kernel）的集成</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在微观动力学中，情绪因子的半衰期（Alpha Decay）被证明是极其短暂的。一条重大的突发新闻在引发最初的激进算法扫单流后，其对随后 LOB 动力学的残余物理影响会在数秒至数分钟内迅速被套利者抹平。因此，在将 NLP 情绪得分注入高频定价与执行模型时，绝不能使用静态的阶跃函数，而必须引入严格的时间衰减核模型进行动态平滑与信息折扣 </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常用的数学建模形式为积分形式的连续时间指数衰减核：</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762427"/>
            <wp:effectExtent b="0" l="0" r="0" t="0"/>
            <wp:docPr id="47" name="image33.png"/>
            <a:graphic>
              <a:graphicData uri="http://schemas.openxmlformats.org/drawingml/2006/picture">
                <pic:pic>
                  <pic:nvPicPr>
                    <pic:cNvPr id="0" name="image33.png"/>
                    <pic:cNvPicPr preferRelativeResize="0"/>
                  </pic:nvPicPr>
                  <pic:blipFill>
                    <a:blip r:embed="rId83"/>
                    <a:srcRect b="0" l="0" r="0" t="0"/>
                    <a:stretch>
                      <a:fillRect/>
                    </a:stretch>
                  </pic:blipFill>
                  <pic:spPr>
                    <a:xfrm>
                      <a:off x="0" y="0"/>
                      <a:ext cx="5708675" cy="76242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679773" cy="229782"/>
            <wp:effectExtent b="0" l="0" r="0" t="0"/>
            <wp:docPr id="82" name="image76.png"/>
            <a:graphic>
              <a:graphicData uri="http://schemas.openxmlformats.org/drawingml/2006/picture">
                <pic:pic>
                  <pic:nvPicPr>
                    <pic:cNvPr id="0" name="image76.png"/>
                    <pic:cNvPicPr preferRelativeResize="0"/>
                  </pic:nvPicPr>
                  <pic:blipFill>
                    <a:blip r:embed="rId84"/>
                    <a:srcRect b="0" l="0" r="0" t="0"/>
                    <a:stretch>
                      <a:fillRect/>
                    </a:stretch>
                  </pic:blipFill>
                  <pic:spPr>
                    <a:xfrm>
                      <a:off x="0" y="0"/>
                      <a:ext cx="679773" cy="22978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 </w:t>
      </w:r>
      <w:r w:rsidDel="00000000" w:rsidR="00000000" w:rsidRPr="00000000">
        <w:rPr>
          <w:rFonts w:ascii="Arial" w:cs="Arial" w:eastAsia="Arial" w:hAnsi="Arial"/>
          <w:color w:val="1f1f1f"/>
        </w:rPr>
        <w:drawing>
          <wp:inline distB="19050" distT="19050" distL="19050" distR="19050">
            <wp:extent cx="105519" cy="230223"/>
            <wp:effectExtent b="0" l="0" r="0" t="0"/>
            <wp:docPr id="84" name="image75.png"/>
            <a:graphic>
              <a:graphicData uri="http://schemas.openxmlformats.org/drawingml/2006/picture">
                <pic:pic>
                  <pic:nvPicPr>
                    <pic:cNvPr id="0" name="image75.png"/>
                    <pic:cNvPicPr preferRelativeResize="0"/>
                  </pic:nvPicPr>
                  <pic:blipFill>
                    <a:blip r:embed="rId85"/>
                    <a:srcRect b="0" l="0" r="0" t="0"/>
                    <a:stretch>
                      <a:fillRect/>
                    </a:stretch>
                  </pic:blipFill>
                  <pic:spPr>
                    <a:xfrm>
                      <a:off x="0" y="0"/>
                      <a:ext cx="105519" cy="2302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时刻输出的原始情绪得分，</w:t>
      </w:r>
      <w:r w:rsidDel="00000000" w:rsidR="00000000" w:rsidRPr="00000000">
        <w:rPr>
          <w:rFonts w:ascii="Arial" w:cs="Arial" w:eastAsia="Arial" w:hAnsi="Arial"/>
          <w:color w:val="1f1f1f"/>
        </w:rPr>
        <w:drawing>
          <wp:inline distB="19050" distT="19050" distL="19050" distR="19050">
            <wp:extent cx="114077" cy="228154"/>
            <wp:effectExtent b="0" l="0" r="0" t="0"/>
            <wp:docPr id="86" name="image66.png"/>
            <a:graphic>
              <a:graphicData uri="http://schemas.openxmlformats.org/drawingml/2006/picture">
                <pic:pic>
                  <pic:nvPicPr>
                    <pic:cNvPr id="0" name="image66.png"/>
                    <pic:cNvPicPr preferRelativeResize="0"/>
                  </pic:nvPicPr>
                  <pic:blipFill>
                    <a:blip r:embed="rId86"/>
                    <a:srcRect b="0" l="0" r="0" t="0"/>
                    <a:stretch>
                      <a:fillRect/>
                    </a:stretch>
                  </pic:blipFill>
                  <pic:spPr>
                    <a:xfrm>
                      <a:off x="0" y="0"/>
                      <a:ext cx="114077" cy="2281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是衰减常数，控制着信息被市场微观结构完全消化、套利空间彻底闭合的理论速度。这种基于指数内核平滑的 NLP 特征，在数学结构上完美契合了前文所述的 Hawkes 过程的激发机制，并且可以作为外生变量无缝拼接至 TCN 或 Transformer 等时间序列网络中，成为预测下一次中间价非理性跳跃（Jump）的强力前置维度。广泛的实证回测表明，将微观短期动量信号（如 LOB 的多档存量失衡）与即时文本情绪指数深度融合的多模态 AI 策略，能够显著削减策略的最大回撤风险，并在市场发生范式转换（Regime Shift）的瞬间捕捉到极短期的非理性定价空间 </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前沿 Alpha 模型与传统模型的深度横向对比分析</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为了全面评估上述各项底层理论与架构拓展在高频环境下的有效性，我们将传统的线性与计量经济学模型，与最前沿的深度学习架构（包括 DeepLOB、TCN、基于 Transformer 的增强变体如 T-KAN 及 LiT 等）在数个核心量化评估指标上进行了深度的横向交叉对比分析 </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在微观订单流预测与策略评估中，业界通用的核心基准指标包括：</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F1-Score / 预测精度：</w:t>
      </w:r>
      <w:r w:rsidDel="00000000" w:rsidR="00000000" w:rsidRPr="00000000">
        <w:rPr>
          <w:rFonts w:ascii="Arial Unicode MS" w:cs="Arial Unicode MS" w:eastAsia="Arial Unicode MS" w:hAnsi="Arial Unicode MS"/>
          <w:color w:val="1f1f1f"/>
          <w:rtl w:val="0"/>
        </w:rPr>
        <w:t xml:space="preserve"> 综合考量精确率（Precision）与召回率（Recall），衡量模型在预测中间价即时上涨、下跌或平盘（三分类任务）时的综合平衡准确率。</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Alpha 衰减抵抗力（Alpha Decay Resistance）：</w:t>
      </w:r>
      <w:r w:rsidDel="00000000" w:rsidR="00000000" w:rsidRPr="00000000">
        <w:rPr>
          <w:rFonts w:ascii="Arial Unicode MS" w:cs="Arial Unicode MS" w:eastAsia="Arial Unicode MS" w:hAnsi="Arial Unicode MS"/>
          <w:color w:val="1f1f1f"/>
          <w:rtl w:val="0"/>
        </w:rPr>
        <w:t xml:space="preserve"> 衡量随着预测视距（Prediction Horizon, 通常记为 </w:t>
      </w:r>
      <w:r w:rsidDel="00000000" w:rsidR="00000000" w:rsidRPr="00000000">
        <w:rPr>
          <w:rFonts w:ascii="Arial" w:cs="Arial" w:eastAsia="Arial" w:hAnsi="Arial"/>
          <w:color w:val="1f1f1f"/>
        </w:rPr>
        <w:drawing>
          <wp:inline distB="19050" distT="19050" distL="19050" distR="19050">
            <wp:extent cx="101947" cy="222430"/>
            <wp:effectExtent b="0" l="0" r="0" t="0"/>
            <wp:docPr id="8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01947" cy="2224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 Tick）的不断增加，模型预测信号的信息系数（IC）下降的速率。</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夏普比率（Sharpe Ratio）：</w:t>
      </w:r>
      <w:r w:rsidDel="00000000" w:rsidR="00000000" w:rsidRPr="00000000">
        <w:rPr>
          <w:rFonts w:ascii="Arial Unicode MS" w:cs="Arial Unicode MS" w:eastAsia="Arial Unicode MS" w:hAnsi="Arial Unicode MS"/>
          <w:color w:val="1f1f1f"/>
          <w:rtl w:val="0"/>
        </w:rPr>
        <w:t xml:space="preserve"> 经波动率调整后的超额收益率，直接反映高频策略在承受微观摩擦成本后，风险与收益的绝对对称性。</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模型架构类别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特征提取逻辑与数学底层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F1-Score 表现 (短视距 k=10)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Alpha 衰减特征 (长视距 k=100)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推理延迟与工程部署约束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夏普比率 (扣除微观摩擦后)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传统计量与线性模型 (如多档 OFI 回归)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 LASSO 正则化与 PCA 降维，依赖静态微观物理逻辑进行严格的线性回归拟合。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较低。受限于线性假设，无法捕捉 LOB 内部高度非线性的互激与反射效应。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衰减极其迅速。信号的半衰期极短，仅在事件发生后的几个微观 Tick 内有效。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极低。数学解析式计算使得延迟可达纳秒级，对执行系统极度友好。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边缘徘徊 (约 1.0 - 1.5)，在剧烈波动期难以覆盖昂贵的吃单冲击成本。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经典深度学习模型 (DeepLOB 架构)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空间维度使用多尺度 CNN 进行特征卷积，时间维度使用 LSTM 的门控记忆细胞进行递归前向传播。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良好。成功重塑了深度学习在 LOB 数据解析上的基准线，大幅领先线性模型。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衰减明显。LSTM 受限于长序列的反向传播梯度消失，难以跨越超长 Tick 维持记忆一致性。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中等。LSTM 固有的串行计算逻辑导致其无法在现代 GPU 上进行极致的并发加速。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可接受水平。但在遭遇极端流动性黑洞与结构突变时，模型存在较大回撤风险。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时序卷积网络 (TCN &amp; ResNet 变体)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完全抛弃递归结构，使用因果空洞卷积（Dilated Causal Convolutions）与残差连接构建指数级感受野。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优秀。大规模卷积操作对极高频的随机买卖噪声具有极佳的平滑与过滤作用。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衰减抵抗力强。庞大的并行感受野使其能够跨越局部噪声，稳定识别较长期的微观群聚模式。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较低。纯卷积操作可实现极高的算子并发执行，推理延迟显著优于 RNN/LSTM。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稳健 (&gt; 2.0)。能够有效规避部分由散户噪音引发的虚假微观破位信号。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多头注意力进阶变体 (Transformer / LiT / T-KAN)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摒弃局部感受野，基于 Query-Key-Value 矩阵内积的全局时空自注意力机制；或结合 B-Spline 函数捕获微观几何形状。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极高。能够精准且动态地捕捉 LOB 任意两档位之间、跨越任意历史时间的非局部复杂依赖关系。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衰减抵抗力极其卓越。即使在 </w:t>
            </w:r>
            <w:r w:rsidDel="00000000" w:rsidR="00000000" w:rsidRPr="00000000">
              <w:rPr>
                <w:rFonts w:ascii="Arial" w:cs="Arial" w:eastAsia="Arial" w:hAnsi="Arial"/>
                <w:color w:val="1f1f1f"/>
              </w:rPr>
              <w:drawing>
                <wp:inline distB="19050" distT="19050" distL="19050" distR="19050">
                  <wp:extent cx="624483" cy="227085"/>
                  <wp:effectExtent b="0" l="0" r="0" t="0"/>
                  <wp:docPr id="90" name="image70.png"/>
                  <a:graphic>
                    <a:graphicData uri="http://schemas.openxmlformats.org/drawingml/2006/picture">
                      <pic:pic>
                        <pic:nvPicPr>
                          <pic:cNvPr id="0" name="image70.png"/>
                          <pic:cNvPicPr preferRelativeResize="0"/>
                        </pic:nvPicPr>
                        <pic:blipFill>
                          <a:blip r:embed="rId87"/>
                          <a:srcRect b="0" l="0" r="0" t="0"/>
                          <a:stretch>
                            <a:fillRect/>
                          </a:stretch>
                        </pic:blipFill>
                        <pic:spPr>
                          <a:xfrm>
                            <a:off x="0" y="0"/>
                            <a:ext cx="624483" cy="2270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的长视距下依然保持高 IC，如 T-KAN 模型相对基准实现近 20% 的性能飞跃。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极高。平方级时间复杂度(</w:t>
            </w:r>
            <w:r w:rsidDel="00000000" w:rsidR="00000000" w:rsidRPr="00000000">
              <w:rPr>
                <w:rFonts w:ascii="Arial" w:cs="Arial" w:eastAsia="Arial" w:hAnsi="Arial"/>
                <w:color w:val="1f1f1f"/>
              </w:rPr>
              <w:drawing>
                <wp:inline distB="19050" distT="19050" distL="19050" distR="19050">
                  <wp:extent cx="531167" cy="227643"/>
                  <wp:effectExtent b="0" l="0" r="0" t="0"/>
                  <wp:docPr id="93" name="image73.png"/>
                  <a:graphic>
                    <a:graphicData uri="http://schemas.openxmlformats.org/drawingml/2006/picture">
                      <pic:pic>
                        <pic:nvPicPr>
                          <pic:cNvPr id="0" name="image73.png"/>
                          <pic:cNvPicPr preferRelativeResize="0"/>
                        </pic:nvPicPr>
                        <pic:blipFill>
                          <a:blip r:embed="rId88"/>
                          <a:srcRect b="0" l="0" r="0" t="0"/>
                          <a:stretch>
                            <a:fillRect/>
                          </a:stretch>
                        </pic:blipFill>
                        <pic:spPr>
                          <a:xfrm>
                            <a:off x="0" y="0"/>
                            <a:ext cx="531167" cy="2276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)的矩阵乘法极其消耗算力，实盘微秒级部署面临严峻的工程延迟挑战。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极高 (&gt; 2.5)。其卓越的预测胜率足以支撑策略进行极其激进的主动跨价差套利。</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深度洞察与高频模型博弈权衡</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通过上述深度的系统性横向比较，可以清晰地洞察到：微观结构定价模型的设计在高频交易领域，始终面临着一条无法逾越的边界——</w:t>
      </w:r>
      <w:r w:rsidDel="00000000" w:rsidR="00000000" w:rsidRPr="00000000">
        <w:rPr>
          <w:rFonts w:ascii="Arial Unicode MS" w:cs="Arial Unicode MS" w:eastAsia="Arial Unicode MS" w:hAnsi="Arial Unicode MS"/>
          <w:b w:val="1"/>
          <w:bCs w:val="1"/>
          <w:color w:val="1f1f1f"/>
          <w:rtl w:val="0"/>
        </w:rPr>
        <w:t xml:space="preserve">“表征容量（Representational Capacity）”与“推理延迟（Inference Latency）”的终极非线性权衡</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以基于纯自注意力机制的 Transformer 架构（如 Limit Order Book Transformer, LiT）为例，其之所以能够在长视距（如 </w:t>
      </w:r>
      <w:r w:rsidDel="00000000" w:rsidR="00000000" w:rsidRPr="00000000">
        <w:rPr>
          <w:rFonts w:ascii="Arial" w:cs="Arial" w:eastAsia="Arial" w:hAnsi="Arial"/>
          <w:color w:val="1f1f1f"/>
        </w:rPr>
        <w:drawing>
          <wp:inline distB="19050" distT="19050" distL="19050" distR="19050">
            <wp:extent cx="890960" cy="227479"/>
            <wp:effectExtent b="0" l="0" r="0" t="0"/>
            <wp:docPr id="11" name="image12.png"/>
            <a:graphic>
              <a:graphicData uri="http://schemas.openxmlformats.org/drawingml/2006/picture">
                <pic:pic>
                  <pic:nvPicPr>
                    <pic:cNvPr id="0" name="image12.png"/>
                    <pic:cNvPicPr preferRelativeResize="0"/>
                  </pic:nvPicPr>
                  <pic:blipFill>
                    <a:blip r:embed="rId89"/>
                    <a:srcRect b="0" l="0" r="0" t="0"/>
                    <a:stretch>
                      <a:fillRect/>
                    </a:stretch>
                  </pic:blipFill>
                  <pic:spPr>
                    <a:xfrm>
                      <a:off x="0" y="0"/>
                      <a:ext cx="890960" cy="2274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 Tick）的预测中展现出断层式的抗 Alpha 衰减能力，其深层数学原因在于：注意力权重矩阵在底层自动重构了类似于多元 Hawkes 过程的互激与抑制拓扑结构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。Transformer 不需要人工硬编码时间衰减距离，就能依靠数据驱动，让模型动态聚焦于导致当前流动性真空的最相关历史事件帧。然而，自注意力机制中序列长度平方级的矩阵相乘计算复杂度，对于那些要求“所见即所得”、毫秒必争的实盘执行引擎而言，是极其沉重的算力包袱。</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相对而言，TCN 架构通过因果空洞卷积的巧妙几何拓扑设计，在保留了媲美 Transformer 的长短期记忆获取能力的同时，完美兼容了高并发计算与极低延迟推理的工程诉求，从而成为了现阶段大量高频自营资金向深度学习迁移的黄金折中点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结论</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现代金融市场的订单流微观结构研究，已经从早期基于独立物理事件的粗略定性判别，进化为一门深度融合了随机微积分、非线性动力学与前沿人工智能拓扑图谱的精密科学。</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本报告对高频前沿拓展的核心维度进行了极其详尽的解构：在微观数据表征上，多档 MLOFI 通过 PCA 矩阵的正交化降维，深挖了跨资产的滞后交叉冲击与溢出效应；在排队力学层面，首中时间（FPT）的拉普拉斯逆变换推导，为订单簿深层微观队列的期权估值与成交概率提供了极其严格的解析准绳；在事件驱动动力学上，具备幂律重尾特征的多元 Hawkes 过程完美再现了市场在临界状态下的高频踩踏、长记忆性与聚集效应。</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在应用工程与预测端，以 TCN 与 Transformer（多头时空自注意力机制）为代表的新一代深度表征架构，彻底突破了传统线性回归与 RNN/LSTM 在处理 LOB 高维时序张量上的计算瓶颈，将 Alpha 的有效预测生命周期强行向后推延；与此同时，基于贝尔曼最优方程与 CARA 效用函数惩罚的深度强化学习（DRL）框架，结合了通过微秒级极致推理与指数衰减核过滤的自然语言情绪因子，成功塑造了具备真正环境自适应能力与极端风险规避能力的自动做市代理。面对不断进化的量化博弈生态与日益衰减的微观 Alpha 空间，唯有将最深刻的物理底层动力学数学模型，与最高效的深度特征映射网络进行深度的理论与工程耦合，方能在算力与智力的双重高频军备竞赛中确立系统性的压倒优势。</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订单流微观分类调研报告.docx</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Order-Flow Imbalance (MLOFI) - Emergent Mind, accessed April 9, 2026, </w:t>
      </w:r>
      <w:hyperlink r:id="rId90">
        <w:r w:rsidDel="00000000" w:rsidR="00000000" w:rsidRPr="00000000">
          <w:rPr>
            <w:rFonts w:ascii="Arial" w:cs="Arial" w:eastAsia="Arial" w:hAnsi="Arial"/>
            <w:color w:val="0000ee"/>
            <w:sz w:val="24"/>
            <w:szCs w:val="24"/>
            <w:u w:val="single"/>
            <w:rtl w:val="0"/>
          </w:rPr>
          <w:t xml:space="preserve">https://www.emergentmind.com/topics/multi-level-order-flow-imbalance-mlofi</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Cross-impact of order flow imbalance in equity markets - Taylor &amp; Francis, accessed April 9, 2026, </w:t>
      </w:r>
      <w:hyperlink r:id="rId91">
        <w:r w:rsidDel="00000000" w:rsidR="00000000" w:rsidRPr="00000000">
          <w:rPr>
            <w:rFonts w:ascii="Arial" w:cs="Arial" w:eastAsia="Arial" w:hAnsi="Arial"/>
            <w:color w:val="0000ee"/>
            <w:sz w:val="24"/>
            <w:szCs w:val="24"/>
            <w:u w:val="single"/>
            <w:rtl w:val="0"/>
          </w:rPr>
          <w:t xml:space="preserve">https://www.tandfonline.com/doi/pdf/10.1080/14697688.2023.2236159</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Cross-impact of order flow imbalance in equity markets - Taylor &amp; Francis, accessed April 9, 2026, </w:t>
      </w:r>
      <w:hyperlink r:id="rId92">
        <w:r w:rsidDel="00000000" w:rsidR="00000000" w:rsidRPr="00000000">
          <w:rPr>
            <w:rFonts w:ascii="Arial" w:cs="Arial" w:eastAsia="Arial" w:hAnsi="Arial"/>
            <w:color w:val="0000ee"/>
            <w:sz w:val="24"/>
            <w:szCs w:val="24"/>
            <w:u w:val="single"/>
            <w:rtl w:val="0"/>
          </w:rPr>
          <w:t xml:space="preserve">https://www.tandfonline.com/doi/full/10.1080/14697688.2023.2236159</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Order Flow Imbalance (MLOFI) - Emergent Mind, accessed April 9, 2026, </w:t>
      </w:r>
      <w:hyperlink r:id="rId93">
        <w:r w:rsidDel="00000000" w:rsidR="00000000" w:rsidRPr="00000000">
          <w:rPr>
            <w:rFonts w:ascii="Arial" w:cs="Arial" w:eastAsia="Arial" w:hAnsi="Arial"/>
            <w:color w:val="0000ee"/>
            <w:sz w:val="24"/>
            <w:szCs w:val="24"/>
            <w:u w:val="single"/>
            <w:rtl w:val="0"/>
          </w:rPr>
          <w:t xml:space="preserve">https://www.emergentmind.com/topics/multi-level-order-flow-imbalance-mlofi-1c024eb0-5945-49ee-8f7e-3391d0701df7</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Functional Principal Component Analysis for High-Dimensional Data - PMC - NIH, accessed April 9, 2026, </w:t>
      </w:r>
      <w:hyperlink r:id="rId94">
        <w:r w:rsidDel="00000000" w:rsidR="00000000" w:rsidRPr="00000000">
          <w:rPr>
            <w:rFonts w:ascii="Arial" w:cs="Arial" w:eastAsia="Arial" w:hAnsi="Arial"/>
            <w:color w:val="0000ee"/>
            <w:sz w:val="24"/>
            <w:szCs w:val="24"/>
            <w:u w:val="single"/>
            <w:rtl w:val="0"/>
          </w:rPr>
          <w:t xml:space="preserve">https://pmc.ncbi.nlm.nih.gov/articles/PMC4425352/</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MATHEMATICAL FOUNDATIONS AND ADVANCED EXTENSIONS OF PRINCIPAL COMPONENT ANALYSIS FOR DIMENSIONALITY REDUCTION IN MACHINE LEARNING - ResearchGate, accessed April 9, 2026, </w:t>
      </w:r>
      <w:hyperlink r:id="rId95">
        <w:r w:rsidDel="00000000" w:rsidR="00000000" w:rsidRPr="00000000">
          <w:rPr>
            <w:rFonts w:ascii="Arial" w:cs="Arial" w:eastAsia="Arial" w:hAnsi="Arial"/>
            <w:color w:val="0000ee"/>
            <w:sz w:val="24"/>
            <w:szCs w:val="24"/>
            <w:u w:val="single"/>
            <w:rtl w:val="0"/>
          </w:rPr>
          <w:t xml:space="preserve">https://www.researchgate.net/publication/392262893_MATHEMATICAL_FOUNDATIONS_AND_ADVANCED_EXTENSIONS_OF_PRINCIPAL_COMPONENT_ANALYSIS_FOR_DIMENSIONALITY_REDUCTION_IN_MACHINE_LEARNING</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Cross-Impact of Order Flow Imbalance in Equity Markets - arXiv, accessed April 9, 2026, </w:t>
      </w:r>
      <w:hyperlink r:id="rId96">
        <w:r w:rsidDel="00000000" w:rsidR="00000000" w:rsidRPr="00000000">
          <w:rPr>
            <w:rFonts w:ascii="Arial" w:cs="Arial" w:eastAsia="Arial" w:hAnsi="Arial"/>
            <w:color w:val="0000ee"/>
            <w:sz w:val="24"/>
            <w:szCs w:val="24"/>
            <w:u w:val="single"/>
            <w:rtl w:val="0"/>
          </w:rPr>
          <w:t xml:space="preserve">https://arxiv.org/html/2112.13213v4</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Dimensionality Reduction Evaluation for Multivariate Quantum Data - Scirp.org., accessed April 9, 2026, </w:t>
      </w:r>
      <w:hyperlink r:id="rId97">
        <w:r w:rsidDel="00000000" w:rsidR="00000000" w:rsidRPr="00000000">
          <w:rPr>
            <w:rFonts w:ascii="Arial" w:cs="Arial" w:eastAsia="Arial" w:hAnsi="Arial"/>
            <w:color w:val="0000ee"/>
            <w:sz w:val="24"/>
            <w:szCs w:val="24"/>
            <w:u w:val="single"/>
            <w:rtl w:val="0"/>
          </w:rPr>
          <w:t xml:space="preserve">https://www.scirp.org/journal/paperinformation?paperid=150637</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Cross-Impact of Order Flow Imbalance in Equity Markets - ResearchGate, accessed April 9, 2026, </w:t>
      </w:r>
      <w:hyperlink r:id="rId98">
        <w:r w:rsidDel="00000000" w:rsidR="00000000" w:rsidRPr="00000000">
          <w:rPr>
            <w:rFonts w:ascii="Arial" w:cs="Arial" w:eastAsia="Arial" w:hAnsi="Arial"/>
            <w:color w:val="0000ee"/>
            <w:sz w:val="24"/>
            <w:szCs w:val="24"/>
            <w:u w:val="single"/>
            <w:rtl w:val="0"/>
          </w:rPr>
          <w:t xml:space="preserve">https://www.researchgate.net/publication/357365614_Cross-Impact_of_Order_Flow_Imbalance_in_Equity_Markets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Cross-impact of order flow imbalance in equity markets - Taylor &amp; Francis, accessed April 9, 2026, </w:t>
      </w:r>
      <w:hyperlink r:id="rId99">
        <w:r w:rsidDel="00000000" w:rsidR="00000000" w:rsidRPr="00000000">
          <w:rPr>
            <w:rFonts w:ascii="Arial" w:cs="Arial" w:eastAsia="Arial" w:hAnsi="Arial"/>
            <w:color w:val="0000ee"/>
            <w:sz w:val="24"/>
            <w:szCs w:val="24"/>
            <w:u w:val="single"/>
            <w:rtl w:val="0"/>
          </w:rPr>
          <w:t xml:space="preserve">https://www.tandfonline.com/doi/abs/10.1080/14697688.2023.2236159</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Cross-Impact of Order Flow Imbalance in Equity Markets - IDEAS/RePEc, accessed April 9, 2026, </w:t>
      </w:r>
      <w:hyperlink r:id="rId100">
        <w:r w:rsidDel="00000000" w:rsidR="00000000" w:rsidRPr="00000000">
          <w:rPr>
            <w:rFonts w:ascii="Arial" w:cs="Arial" w:eastAsia="Arial" w:hAnsi="Arial"/>
            <w:color w:val="0000ee"/>
            <w:sz w:val="24"/>
            <w:szCs w:val="24"/>
            <w:u w:val="single"/>
            <w:rtl w:val="0"/>
          </w:rPr>
          <w:t xml:space="preserve">https://ideas.repec.org/p/arx/papers/2112.13213.html</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[2112.13213] Cross-Impact of Order Flow Imbalance in Equity Markets - arXiv, accessed April 9, 2026, </w:t>
      </w:r>
      <w:hyperlink r:id="rId101">
        <w:r w:rsidDel="00000000" w:rsidR="00000000" w:rsidRPr="00000000">
          <w:rPr>
            <w:rFonts w:ascii="Arial" w:cs="Arial" w:eastAsia="Arial" w:hAnsi="Arial"/>
            <w:color w:val="0000ee"/>
            <w:sz w:val="24"/>
            <w:szCs w:val="24"/>
            <w:u w:val="single"/>
            <w:rtl w:val="0"/>
          </w:rPr>
          <w:t xml:space="preserve">https://arxiv.org/abs/2112.13213</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Model for Queue Position Valuation in a Limit Order Book∗ - Ciamac Moallemi, accessed April 9, 2026, </w:t>
      </w:r>
      <w:hyperlink r:id="rId102">
        <w:r w:rsidDel="00000000" w:rsidR="00000000" w:rsidRPr="00000000">
          <w:rPr>
            <w:rFonts w:ascii="Arial" w:cs="Arial" w:eastAsia="Arial" w:hAnsi="Arial"/>
            <w:color w:val="0000ee"/>
            <w:sz w:val="24"/>
            <w:szCs w:val="24"/>
            <w:u w:val="single"/>
            <w:rtl w:val="0"/>
          </w:rPr>
          <w:t xml:space="preserve">https://moallemi.com/ciamac/papers/queue-value-2016.pdf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Fill Probabilities in a Limit Order Book with State-Dependent Stochastic Order Flows - arXiv, accessed April 9, 2026, </w:t>
      </w:r>
      <w:hyperlink r:id="rId103">
        <w:r w:rsidDel="00000000" w:rsidR="00000000" w:rsidRPr="00000000">
          <w:rPr>
            <w:rFonts w:ascii="Arial" w:cs="Arial" w:eastAsia="Arial" w:hAnsi="Arial"/>
            <w:color w:val="0000ee"/>
            <w:sz w:val="24"/>
            <w:szCs w:val="24"/>
            <w:u w:val="single"/>
            <w:rtl w:val="0"/>
          </w:rPr>
          <w:t xml:space="preserve">https://arxiv.org/pdf/2403.02572</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Stochastic Model for Limit Order Books - Stanford University, accessed April 9, 2026, </w:t>
      </w:r>
      <w:hyperlink r:id="rId104">
        <w:r w:rsidDel="00000000" w:rsidR="00000000" w:rsidRPr="00000000">
          <w:rPr>
            <w:rFonts w:ascii="Arial" w:cs="Arial" w:eastAsia="Arial" w:hAnsi="Arial"/>
            <w:color w:val="0000ee"/>
            <w:sz w:val="24"/>
            <w:szCs w:val="24"/>
            <w:u w:val="single"/>
            <w:rtl w:val="0"/>
          </w:rPr>
          <w:t xml:space="preserve">https://web.stanford.edu/class/msande444/2009/2009Projects/2009-1A/MS&amp;E%20444%20Final%20Paper.pdf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stochastic model for order book dynamics - Columbia University, accessed April 9, 2026, </w:t>
      </w:r>
      <w:hyperlink r:id="rId105">
        <w:r w:rsidDel="00000000" w:rsidR="00000000" w:rsidRPr="00000000">
          <w:rPr>
            <w:rFonts w:ascii="Arial" w:cs="Arial" w:eastAsia="Arial" w:hAnsi="Arial"/>
            <w:color w:val="0000ee"/>
            <w:sz w:val="24"/>
            <w:szCs w:val="24"/>
            <w:u w:val="single"/>
            <w:rtl w:val="0"/>
          </w:rPr>
          <w:t xml:space="preserve">https://www.columbia.edu/~ww2040/orderbook.pdf</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 Frequency Dynamics of Limit Order Markets - Stochastic modeling and Asymptotic Analysis, accessed April 9, 2026, </w:t>
      </w:r>
      <w:hyperlink r:id="rId106">
        <w:r w:rsidDel="00000000" w:rsidR="00000000" w:rsidRPr="00000000">
          <w:rPr>
            <w:rFonts w:ascii="Arial" w:cs="Arial" w:eastAsia="Arial" w:hAnsi="Arial"/>
            <w:color w:val="0000ee"/>
            <w:sz w:val="24"/>
            <w:szCs w:val="24"/>
            <w:u w:val="single"/>
            <w:rtl w:val="0"/>
          </w:rPr>
          <w:t xml:space="preserve">https://www.imperial.ac.uk/media/imperial-college/research-centres-and-groups/cfm-imperial-institute-of-quantitative-finance/events/imperial-eth-2016/Rama-Cont-1.pdf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Fill Probabilities in a Limit Order Book with Applications to Foreign Exchange Spot Markets - TU Delft Repository, accessed April 9, 2026, </w:t>
      </w:r>
      <w:hyperlink r:id="rId107">
        <w:r w:rsidDel="00000000" w:rsidR="00000000" w:rsidRPr="00000000">
          <w:rPr>
            <w:rFonts w:ascii="Arial" w:cs="Arial" w:eastAsia="Arial" w:hAnsi="Arial"/>
            <w:color w:val="0000ee"/>
            <w:sz w:val="24"/>
            <w:szCs w:val="24"/>
            <w:u w:val="single"/>
            <w:rtl w:val="0"/>
          </w:rPr>
          <w:t xml:space="preserve">https://repository.tudelft.nl/file/File_24c47635-11c6-4af4-995f-eff755b898a1</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Hawkes Processes in High-Frequency Trading - arXiv, accessed April 9, 2026, </w:t>
      </w:r>
      <w:hyperlink r:id="rId108">
        <w:r w:rsidDel="00000000" w:rsidR="00000000" w:rsidRPr="00000000">
          <w:rPr>
            <w:rFonts w:ascii="Arial" w:cs="Arial" w:eastAsia="Arial" w:hAnsi="Arial"/>
            <w:color w:val="0000ee"/>
            <w:sz w:val="24"/>
            <w:szCs w:val="24"/>
            <w:u w:val="single"/>
            <w:rtl w:val="0"/>
          </w:rPr>
          <w:t xml:space="preserve">https://arxiv.org/pdf/2503.14814</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Individual High-Frequency Traders' Buy–Sell Order Strategy Based on Multivariate Hawkes Process - PMC, accessed April 9, 2026, </w:t>
      </w:r>
      <w:hyperlink r:id="rId109">
        <w:r w:rsidDel="00000000" w:rsidR="00000000" w:rsidRPr="00000000">
          <w:rPr>
            <w:rFonts w:ascii="Arial" w:cs="Arial" w:eastAsia="Arial" w:hAnsi="Arial"/>
            <w:color w:val="0000ee"/>
            <w:sz w:val="24"/>
            <w:szCs w:val="24"/>
            <w:u w:val="single"/>
            <w:rtl w:val="0"/>
          </w:rPr>
          <w:t xml:space="preserve">https://pmc.ncbi.nlm.nih.gov/articles/PMC8871091/</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Applications of Hawkes' Process in Finance - Tilburg University, accessed April 9, 2026, </w:t>
      </w:r>
      <w:hyperlink r:id="rId110">
        <w:r w:rsidDel="00000000" w:rsidR="00000000" w:rsidRPr="00000000">
          <w:rPr>
            <w:rFonts w:ascii="Arial" w:cs="Arial" w:eastAsia="Arial" w:hAnsi="Arial"/>
            <w:color w:val="0000ee"/>
            <w:sz w:val="24"/>
            <w:szCs w:val="24"/>
            <w:u w:val="single"/>
            <w:rtl w:val="0"/>
          </w:rPr>
          <w:t xml:space="preserve">http://arno.uvt.nl/show.cgi?fid=151308</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Brief Introduction to Hawkes Processes | by Hey Amit | We Talk Data | Medium, accessed April 9, 2026, </w:t>
      </w:r>
      <w:hyperlink r:id="rId111">
        <w:r w:rsidDel="00000000" w:rsidR="00000000" w:rsidRPr="00000000">
          <w:rPr>
            <w:rFonts w:ascii="Arial" w:cs="Arial" w:eastAsia="Arial" w:hAnsi="Arial"/>
            <w:color w:val="0000ee"/>
            <w:sz w:val="24"/>
            <w:szCs w:val="24"/>
            <w:u w:val="single"/>
            <w:rtl w:val="0"/>
          </w:rPr>
          <w:t xml:space="preserve">https://medium.com/we-talk-data/a-brief-introduction-to-hawkes-processes-996d8da8e003</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Individual High-Frequency Traders' Buy–Sell Order Strategy Based on Multivariate Hawkes Process - MDPI, accessed April 9, 2026, </w:t>
      </w:r>
      <w:hyperlink r:id="rId112">
        <w:r w:rsidDel="00000000" w:rsidR="00000000" w:rsidRPr="00000000">
          <w:rPr>
            <w:rFonts w:ascii="Arial" w:cs="Arial" w:eastAsia="Arial" w:hAnsi="Arial"/>
            <w:color w:val="0000ee"/>
            <w:sz w:val="24"/>
            <w:szCs w:val="24"/>
            <w:u w:val="single"/>
            <w:rtl w:val="0"/>
          </w:rPr>
          <w:t xml:space="preserve">https://www.mdpi.com/1099-4300/24/2/214</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Non-parametric Methods for Estimation of Hawkes Process for High-frequency Financial Data, accessed April 9, 2026, </w:t>
      </w:r>
      <w:hyperlink r:id="rId113">
        <w:r w:rsidDel="00000000" w:rsidR="00000000" w:rsidRPr="00000000">
          <w:rPr>
            <w:rFonts w:ascii="Arial" w:cs="Arial" w:eastAsia="Arial" w:hAnsi="Arial"/>
            <w:color w:val="0000ee"/>
            <w:sz w:val="24"/>
            <w:szCs w:val="24"/>
            <w:u w:val="single"/>
            <w:rtl w:val="0"/>
          </w:rPr>
          <w:t xml:space="preserve">https://ethz.ch/content/dam/ethz/special-interest/mtec/chair-of-entrepreneurial-risks-dam/documents/dissertation/master%20thesis/Master_Thesis_%20Morzywolek.pdf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Hawkes Process with Power-Law Kernel - Emergent Mind, accessed April 9, 2026, </w:t>
      </w:r>
      <w:hyperlink r:id="rId114">
        <w:r w:rsidDel="00000000" w:rsidR="00000000" w:rsidRPr="00000000">
          <w:rPr>
            <w:rFonts w:ascii="Arial" w:cs="Arial" w:eastAsia="Arial" w:hAnsi="Arial"/>
            <w:color w:val="0000ee"/>
            <w:sz w:val="24"/>
            <w:szCs w:val="24"/>
            <w:u w:val="single"/>
            <w:rtl w:val="0"/>
          </w:rPr>
          <w:t xml:space="preserve">https://www.emergentmind.com/topics/hawkes-process-with-power-law-kernel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arXiv:1302.1405v2 [q-fin.ST] 5 Jun 2013, accessed April 9, 2026, </w:t>
      </w:r>
      <w:hyperlink r:id="rId115">
        <w:r w:rsidDel="00000000" w:rsidR="00000000" w:rsidRPr="00000000">
          <w:rPr>
            <w:rFonts w:ascii="Arial" w:cs="Arial" w:eastAsia="Arial" w:hAnsi="Arial"/>
            <w:color w:val="0000ee"/>
            <w:sz w:val="24"/>
            <w:szCs w:val="24"/>
            <w:u w:val="single"/>
            <w:rtl w:val="0"/>
          </w:rPr>
          <w:t xml:space="preserve">https://arxiv.org/pdf/1302.1405</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MLE of a multivariate Hawkes process - Cross Validated - Stats StackExchange, accessed April 9, 2026, </w:t>
      </w:r>
      <w:hyperlink r:id="rId116">
        <w:r w:rsidDel="00000000" w:rsidR="00000000" w:rsidRPr="00000000">
          <w:rPr>
            <w:rFonts w:ascii="Arial" w:cs="Arial" w:eastAsia="Arial" w:hAnsi="Arial"/>
            <w:color w:val="0000ee"/>
            <w:sz w:val="24"/>
            <w:szCs w:val="24"/>
            <w:u w:val="single"/>
            <w:rtl w:val="0"/>
          </w:rPr>
          <w:t xml:space="preserve">https://stats.stackexchange.com/questions/164488/mle-of-a-multivariate-hawkes-process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Hawkes Process-Driven Models for Limit Order Book Dynamics - University of Oxford, accessed April 9, 2026, </w:t>
      </w:r>
      <w:hyperlink r:id="rId117">
        <w:r w:rsidDel="00000000" w:rsidR="00000000" w:rsidRPr="00000000">
          <w:rPr>
            <w:rFonts w:ascii="Arial" w:cs="Arial" w:eastAsia="Arial" w:hAnsi="Arial"/>
            <w:color w:val="0000ee"/>
            <w:sz w:val="24"/>
            <w:szCs w:val="24"/>
            <w:u w:val="single"/>
            <w:rtl w:val="0"/>
          </w:rPr>
          <w:t xml:space="preserve">https://www.maths.ox.ac.uk/system/files/attachments/Hawkes%20Process-Driven%20Models%20for%20Limit%20Order%20Book%20Dynamics_0.pdf</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Hawkes process modelling of financial jumps A volatility forecasting approach - -ORCA - Cardiff University, accessed April 9, 2026, </w:t>
      </w:r>
      <w:hyperlink r:id="rId118">
        <w:r w:rsidDel="00000000" w:rsidR="00000000" w:rsidRPr="00000000">
          <w:rPr>
            <w:rFonts w:ascii="Arial" w:cs="Arial" w:eastAsia="Arial" w:hAnsi="Arial"/>
            <w:color w:val="0000ee"/>
            <w:sz w:val="24"/>
            <w:szCs w:val="24"/>
            <w:u w:val="single"/>
            <w:rtl w:val="0"/>
          </w:rPr>
          <w:t xml:space="preserve">https://orca.cardiff.ac.uk/id/eprint/178251/1/Pierre%20thesis%20april%202025%20pdf.pdf</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for Limit Order Books - arXiv, accessed April 9, 2026, </w:t>
      </w:r>
      <w:hyperlink r:id="rId119">
        <w:r w:rsidDel="00000000" w:rsidR="00000000" w:rsidRPr="00000000">
          <w:rPr>
            <w:rFonts w:ascii="Arial" w:cs="Arial" w:eastAsia="Arial" w:hAnsi="Arial"/>
            <w:color w:val="0000ee"/>
            <w:sz w:val="24"/>
            <w:szCs w:val="24"/>
            <w:u w:val="single"/>
            <w:rtl w:val="0"/>
          </w:rPr>
          <w:t xml:space="preserve">https://arxiv.org/pdf/1601.01987</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DeepLOB: Deep Convolutional Neural Networks for Limit Order Books - arXiv, accessed April 9, 2026, </w:t>
      </w:r>
      <w:hyperlink r:id="rId120">
        <w:r w:rsidDel="00000000" w:rsidR="00000000" w:rsidRPr="00000000">
          <w:rPr>
            <w:rFonts w:ascii="Arial" w:cs="Arial" w:eastAsia="Arial" w:hAnsi="Arial"/>
            <w:color w:val="0000ee"/>
            <w:sz w:val="24"/>
            <w:szCs w:val="24"/>
            <w:u w:val="single"/>
            <w:rtl w:val="0"/>
          </w:rPr>
          <w:t xml:space="preserve">https://arxiv.org/pdf/1808.03668</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 Limit Order Book Transformer - King's College London Research Portal, accessed April 9, 2026, </w:t>
      </w:r>
      <w:hyperlink r:id="rId121">
        <w:r w:rsidDel="00000000" w:rsidR="00000000" w:rsidRPr="00000000">
          <w:rPr>
            <w:rFonts w:ascii="Arial" w:cs="Arial" w:eastAsia="Arial" w:hAnsi="Arial"/>
            <w:color w:val="0000ee"/>
            <w:sz w:val="24"/>
            <w:szCs w:val="24"/>
            <w:u w:val="single"/>
            <w:rtl w:val="0"/>
          </w:rPr>
          <w:t xml:space="preserve">https://kclpure.kcl.ac.uk/portal/en/publications/lit-limit-order-book-transformer/</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[1808.03668] DeepLOB: Deep Convolutional Neural Networks for Limit Order Books - arXiv, accessed April 9, 2026, </w:t>
      </w:r>
      <w:hyperlink r:id="rId122">
        <w:r w:rsidDel="00000000" w:rsidR="00000000" w:rsidRPr="00000000">
          <w:rPr>
            <w:rFonts w:ascii="Arial" w:cs="Arial" w:eastAsia="Arial" w:hAnsi="Arial"/>
            <w:color w:val="0000ee"/>
            <w:sz w:val="24"/>
            <w:szCs w:val="24"/>
            <w:u w:val="single"/>
            <w:rtl w:val="0"/>
          </w:rPr>
          <w:t xml:space="preserve">https://arxiv.org/abs/1808.03668</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Comprehensive Understanding of LSTM Architecture: A Deep Dive into Long Short-Term Memory Networks | by Amrit Bisht | Medium, accessed April 9, 2026, </w:t>
      </w:r>
      <w:hyperlink r:id="rId123">
        <w:r w:rsidDel="00000000" w:rsidR="00000000" w:rsidRPr="00000000">
          <w:rPr>
            <w:rFonts w:ascii="Arial" w:cs="Arial" w:eastAsia="Arial" w:hAnsi="Arial"/>
            <w:color w:val="0000ee"/>
            <w:sz w:val="24"/>
            <w:szCs w:val="24"/>
            <w:u w:val="single"/>
            <w:rtl w:val="0"/>
          </w:rPr>
          <w:t xml:space="preserve">https://medium.com/@amritsinghbist/comprehensive-understanding-of-lstm-architecture-a-deep-dive-into-long-short-term-memory-networks-5405f97afc6b</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comparative analysis of LSTM models aided with attention and squeeze and excitation blocks for activity recognition - PMC, accessed April 9, 2026, </w:t>
      </w:r>
      <w:hyperlink r:id="rId124">
        <w:r w:rsidDel="00000000" w:rsidR="00000000" w:rsidRPr="00000000">
          <w:rPr>
            <w:rFonts w:ascii="Arial" w:cs="Arial" w:eastAsia="Arial" w:hAnsi="Arial"/>
            <w:color w:val="0000ee"/>
            <w:sz w:val="24"/>
            <w:szCs w:val="24"/>
            <w:u w:val="single"/>
            <w:rtl w:val="0"/>
          </w:rPr>
          <w:t xml:space="preserve">https://pmc.ncbi.nlm.nih.gov/articles/PMC11785954/</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DeepLOB: Deep Convolutional Neural Networks for Limit Order Books - ResearchGate, accessed April 9, 2026, </w:t>
      </w:r>
      <w:hyperlink r:id="rId125">
        <w:r w:rsidDel="00000000" w:rsidR="00000000" w:rsidRPr="00000000">
          <w:rPr>
            <w:rFonts w:ascii="Arial" w:cs="Arial" w:eastAsia="Arial" w:hAnsi="Arial"/>
            <w:color w:val="0000ee"/>
            <w:sz w:val="24"/>
            <w:szCs w:val="24"/>
            <w:u w:val="single"/>
            <w:rtl w:val="0"/>
          </w:rPr>
          <w:t xml:space="preserve">https://www.researchgate.net/publication/327011035_DeepLOB_Deep_Convolutional_Neural_Networks_for_Limit_Order_Books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Temporal Convolutional Network–Bidirectional Long Short-Term Memory (TCN-BiLSTM) Prediction Model for Temporal Faults in Industrial Equipment - MDPI, accessed April 9, 2026, </w:t>
      </w:r>
      <w:hyperlink r:id="rId126">
        <w:r w:rsidDel="00000000" w:rsidR="00000000" w:rsidRPr="00000000">
          <w:rPr>
            <w:rFonts w:ascii="Arial" w:cs="Arial" w:eastAsia="Arial" w:hAnsi="Arial"/>
            <w:color w:val="0000ee"/>
            <w:sz w:val="24"/>
            <w:szCs w:val="24"/>
            <w:u w:val="single"/>
            <w:rtl w:val="0"/>
          </w:rPr>
          <w:t xml:space="preserve">https://www.mdpi.com/2076-3417/15/4/1702</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Convolutional Networks Overview - Emergent Mind, accessed April 9, 2026, </w:t>
      </w:r>
      <w:hyperlink r:id="rId127">
        <w:r w:rsidDel="00000000" w:rsidR="00000000" w:rsidRPr="00000000">
          <w:rPr>
            <w:rFonts w:ascii="Arial" w:cs="Arial" w:eastAsia="Arial" w:hAnsi="Arial"/>
            <w:color w:val="0000ee"/>
            <w:sz w:val="24"/>
            <w:szCs w:val="24"/>
            <w:u w:val="single"/>
            <w:rtl w:val="0"/>
          </w:rPr>
          <w:t xml:space="preserve">https://www.emergentmind.com/topics/temporal-convolutional-networks-tcns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Convolutional Network — An Overview | by Amit Yadav - Medium, accessed April 9, 2026, </w:t>
      </w:r>
      <w:hyperlink r:id="rId128">
        <w:r w:rsidDel="00000000" w:rsidR="00000000" w:rsidRPr="00000000">
          <w:rPr>
            <w:rFonts w:ascii="Arial" w:cs="Arial" w:eastAsia="Arial" w:hAnsi="Arial"/>
            <w:color w:val="0000ee"/>
            <w:sz w:val="24"/>
            <w:szCs w:val="24"/>
            <w:u w:val="single"/>
            <w:rtl w:val="0"/>
          </w:rPr>
          <w:t xml:space="preserve">https://medium.com/@amit25173/temporal-convolutional-network-an-overview-4d2b6f03d6f8</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Deep Learning Prediction Model for Structural Deformation Based on Temporal Convolutional Networks - PMC, accessed April 9, 2026, </w:t>
      </w:r>
      <w:hyperlink r:id="rId129">
        <w:r w:rsidDel="00000000" w:rsidR="00000000" w:rsidRPr="00000000">
          <w:rPr>
            <w:rFonts w:ascii="Arial" w:cs="Arial" w:eastAsia="Arial" w:hAnsi="Arial"/>
            <w:color w:val="0000ee"/>
            <w:sz w:val="24"/>
            <w:szCs w:val="24"/>
            <w:u w:val="single"/>
            <w:rtl w:val="0"/>
          </w:rPr>
          <w:t xml:space="preserve">https://pmc.ncbi.nlm.nih.gov/articles/PMC8079221/</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Convolutional Networks - Thorir Mar Ingolfsson, accessed April 9, 2026, </w:t>
      </w:r>
      <w:hyperlink r:id="rId130">
        <w:r w:rsidDel="00000000" w:rsidR="00000000" w:rsidRPr="00000000">
          <w:rPr>
            <w:rFonts w:ascii="Arial" w:cs="Arial" w:eastAsia="Arial" w:hAnsi="Arial"/>
            <w:color w:val="0000ee"/>
            <w:sz w:val="24"/>
            <w:szCs w:val="24"/>
            <w:u w:val="single"/>
            <w:rtl w:val="0"/>
          </w:rPr>
          <w:t xml:space="preserve">https://thorirmar.com/post/temporal_convolutional_networks/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Convolutional Networks and Forecasting - Unit8, accessed April 9, 2026, </w:t>
      </w:r>
      <w:hyperlink r:id="rId131">
        <w:r w:rsidDel="00000000" w:rsidR="00000000" w:rsidRPr="00000000">
          <w:rPr>
            <w:rFonts w:ascii="Arial" w:cs="Arial" w:eastAsia="Arial" w:hAnsi="Arial"/>
            <w:color w:val="0000ee"/>
            <w:sz w:val="24"/>
            <w:szCs w:val="24"/>
            <w:u w:val="single"/>
            <w:rtl w:val="0"/>
          </w:rPr>
          <w:t xml:space="preserve">https://unit8.com/resources/temporal-convolutional-networks-and-forecasting/</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Diving Into Temporal Convolutional Networks - Luke Guerdan, accessed April 9, 2026, </w:t>
      </w:r>
      <w:hyperlink r:id="rId132">
        <w:r w:rsidDel="00000000" w:rsidR="00000000" w:rsidRPr="00000000">
          <w:rPr>
            <w:rFonts w:ascii="Arial" w:cs="Arial" w:eastAsia="Arial" w:hAnsi="Arial"/>
            <w:color w:val="0000ee"/>
            <w:sz w:val="24"/>
            <w:szCs w:val="24"/>
            <w:u w:val="single"/>
            <w:rtl w:val="0"/>
          </w:rPr>
          <w:t xml:space="preserve">https://lukeguerdan.com/blog/2019/intro-to-tcns/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Convolutional Networks (TCN) for Return Prediction: An Empirical Study on Model Failure | by Adam - Medium, accessed April 9, 2026, </w:t>
      </w:r>
      <w:hyperlink r:id="rId133">
        <w:r w:rsidDel="00000000" w:rsidR="00000000" w:rsidRPr="00000000">
          <w:rPr>
            <w:rFonts w:ascii="Arial" w:cs="Arial" w:eastAsia="Arial" w:hAnsi="Arial"/>
            <w:color w:val="0000ee"/>
            <w:sz w:val="24"/>
            <w:szCs w:val="24"/>
            <w:u w:val="single"/>
            <w:rtl w:val="0"/>
          </w:rPr>
          <w:t xml:space="preserve">https://medium.com/call-for-atlas/temporal-convolutional-neural-network-with-conditioning-for-broad-market-signals-9f0b0426b2b9</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 limit order book transformer - PMC, accessed April 9, 2026, </w:t>
      </w:r>
      <w:hyperlink r:id="rId134">
        <w:r w:rsidDel="00000000" w:rsidR="00000000" w:rsidRPr="00000000">
          <w:rPr>
            <w:rFonts w:ascii="Arial" w:cs="Arial" w:eastAsia="Arial" w:hAnsi="Arial"/>
            <w:color w:val="0000ee"/>
            <w:sz w:val="24"/>
            <w:szCs w:val="24"/>
            <w:u w:val="single"/>
            <w:rtl w:val="0"/>
          </w:rPr>
          <w:t xml:space="preserve">https://pmc.ncbi.nlm.nih.gov/articles/PMC12555381/</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Math Behind Multi-Head Attention in Transformers | Towards Data Science, accessed April 9, 2026, </w:t>
      </w:r>
      <w:hyperlink r:id="rId135">
        <w:r w:rsidDel="00000000" w:rsidR="00000000" w:rsidRPr="00000000">
          <w:rPr>
            <w:rFonts w:ascii="Arial" w:cs="Arial" w:eastAsia="Arial" w:hAnsi="Arial"/>
            <w:color w:val="0000ee"/>
            <w:sz w:val="24"/>
            <w:szCs w:val="24"/>
            <w:u w:val="single"/>
            <w:rtl w:val="0"/>
          </w:rPr>
          <w:t xml:space="preserve">https://towardsdatascience.com/the-math-behind-multi-head-attention-in-transformers-c26cba15f625/</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Spatial-Temporal Attention Mechanism - Emergent Mind, accessed April 9, 2026, </w:t>
      </w:r>
      <w:hyperlink r:id="rId136">
        <w:r w:rsidDel="00000000" w:rsidR="00000000" w:rsidRPr="00000000">
          <w:rPr>
            <w:rFonts w:ascii="Arial" w:cs="Arial" w:eastAsia="Arial" w:hAnsi="Arial"/>
            <w:color w:val="0000ee"/>
            <w:sz w:val="24"/>
            <w:szCs w:val="24"/>
            <w:u w:val="single"/>
            <w:rtl w:val="0"/>
          </w:rPr>
          <w:t xml:space="preserve">https://www.emergentmind.com/topics/spatial-temporal-attention-mechanism</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Spatial-Temporal Transformer Architecture using multi-channel signals for Sleep Stage Classification - PubMed, accessed April 9, 2026, </w:t>
      </w:r>
      <w:hyperlink r:id="rId137">
        <w:r w:rsidDel="00000000" w:rsidR="00000000" w:rsidRPr="00000000">
          <w:rPr>
            <w:rFonts w:ascii="Arial" w:cs="Arial" w:eastAsia="Arial" w:hAnsi="Arial"/>
            <w:color w:val="0000ee"/>
            <w:sz w:val="24"/>
            <w:szCs w:val="24"/>
            <w:u w:val="single"/>
            <w:rtl w:val="0"/>
          </w:rPr>
          <w:t xml:space="preserve">https://pubmed.ncbi.nlm.nih.gov/37578925/</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Approaches to Optimal Market Making - Semantic Scholar, accessed April 9, 2026, </w:t>
      </w:r>
      <w:hyperlink r:id="rId138">
        <w:r w:rsidDel="00000000" w:rsidR="00000000" w:rsidRPr="00000000">
          <w:rPr>
            <w:rFonts w:ascii="Arial" w:cs="Arial" w:eastAsia="Arial" w:hAnsi="Arial"/>
            <w:color w:val="0000ee"/>
            <w:sz w:val="24"/>
            <w:szCs w:val="24"/>
            <w:u w:val="single"/>
            <w:rtl w:val="0"/>
          </w:rPr>
          <w:t xml:space="preserve">https://pdfs.semanticscholar.org/2c46/056e459f9e6723607e93a931b6e0608e3343.pdf</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Approaches to Optimal Market Making - MDPI, accessed April 9, 2026, </w:t>
      </w:r>
      <w:hyperlink r:id="rId139">
        <w:r w:rsidDel="00000000" w:rsidR="00000000" w:rsidRPr="00000000">
          <w:rPr>
            <w:rFonts w:ascii="Arial" w:cs="Arial" w:eastAsia="Arial" w:hAnsi="Arial"/>
            <w:color w:val="0000ee"/>
            <w:sz w:val="24"/>
            <w:szCs w:val="24"/>
            <w:u w:val="single"/>
            <w:rtl w:val="0"/>
          </w:rPr>
          <w:t xml:space="preserve">https://www.mdpi.com/2227-7390/9/21/2689</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Reinforcement Learning and Electronic Market Making - Imperial College London, accessed April 9, 2026, </w:t>
      </w:r>
      <w:hyperlink r:id="rId140">
        <w:r w:rsidDel="00000000" w:rsidR="00000000" w:rsidRPr="00000000">
          <w:rPr>
            <w:rFonts w:ascii="Arial" w:cs="Arial" w:eastAsia="Arial" w:hAnsi="Arial"/>
            <w:color w:val="0000ee"/>
            <w:sz w:val="24"/>
            <w:szCs w:val="24"/>
            <w:u w:val="single"/>
            <w:rtl w:val="0"/>
          </w:rPr>
          <w:t xml:space="preserve">https://www.imperial.ac.uk/media/imperial-college/faculty-of-natural-sciences/department-of-mathematics/math-finance/Chenyu-Liu.pdf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Markov Decision Processes (MDP) and Bellman Equations - Deep Learning Wizard, accessed April 9, 2026, </w:t>
      </w:r>
      <w:hyperlink r:id="rId141">
        <w:r w:rsidDel="00000000" w:rsidR="00000000" w:rsidRPr="00000000">
          <w:rPr>
            <w:rFonts w:ascii="Arial" w:cs="Arial" w:eastAsia="Arial" w:hAnsi="Arial"/>
            <w:color w:val="0000ee"/>
            <w:sz w:val="24"/>
            <w:szCs w:val="24"/>
            <w:u w:val="single"/>
            <w:rtl w:val="0"/>
          </w:rPr>
          <w:t xml:space="preserve">https://www.deeplearningwizard.com/deep_learning/deep_reinforcement_learning_pytorch/bellman_mdp/</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Summary and Real-World Considerations - Foundations of Reinforcement Learning with Applications in Finance, accessed April 9, 2026, </w:t>
      </w:r>
      <w:hyperlink r:id="rId142">
        <w:r w:rsidDel="00000000" w:rsidR="00000000" w:rsidRPr="00000000">
          <w:rPr>
            <w:rFonts w:ascii="Arial" w:cs="Arial" w:eastAsia="Arial" w:hAnsi="Arial"/>
            <w:color w:val="0000ee"/>
            <w:sz w:val="24"/>
            <w:szCs w:val="24"/>
            <w:u w:val="single"/>
            <w:rtl w:val="0"/>
          </w:rPr>
          <w:t xml:space="preserve">https://stanford.edu/~ashlearn/RLForFinanceBook/chapter16.pdf</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reinforcement learning approach to improve the performance of the Avellaneda-Stoikov market-making algorithm | PLOS One - Research journals, accessed April 9, 2026, </w:t>
      </w:r>
      <w:hyperlink r:id="rId143">
        <w:r w:rsidDel="00000000" w:rsidR="00000000" w:rsidRPr="00000000">
          <w:rPr>
            <w:rFonts w:ascii="Arial" w:cs="Arial" w:eastAsia="Arial" w:hAnsi="Arial"/>
            <w:color w:val="0000ee"/>
            <w:sz w:val="24"/>
            <w:szCs w:val="24"/>
            <w:u w:val="single"/>
            <w:rtl w:val="0"/>
          </w:rPr>
          <w:t xml:space="preserve">https://journals.plos.org/plosone/article?id=10.1371/journal.pone.0277042</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for Market Making - Diva-portal.org, accessed April 9, 2026, </w:t>
      </w:r>
      <w:hyperlink r:id="rId144">
        <w:r w:rsidDel="00000000" w:rsidR="00000000" w:rsidRPr="00000000">
          <w:rPr>
            <w:rFonts w:ascii="Arial" w:cs="Arial" w:eastAsia="Arial" w:hAnsi="Arial"/>
            <w:color w:val="0000ee"/>
            <w:sz w:val="24"/>
            <w:szCs w:val="24"/>
            <w:u w:val="single"/>
            <w:rtl w:val="0"/>
          </w:rPr>
          <w:t xml:space="preserve">https://www.diva-portal.org/smash/get/diva2:1695877/FULLTEXT01.pdf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for High-Frequency Market Making, accessed April 9, 2026, </w:t>
      </w:r>
      <w:hyperlink r:id="rId145">
        <w:r w:rsidDel="00000000" w:rsidR="00000000" w:rsidRPr="00000000">
          <w:rPr>
            <w:rFonts w:ascii="Arial" w:cs="Arial" w:eastAsia="Arial" w:hAnsi="Arial"/>
            <w:color w:val="0000ee"/>
            <w:sz w:val="24"/>
            <w:szCs w:val="24"/>
            <w:u w:val="single"/>
            <w:rtl w:val="0"/>
          </w:rPr>
          <w:t xml:space="preserve">https://www.esann.org/sites/default/files/proceedings/legacy/es2018-50.pdf</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for high-frequency market making - ResearchGate, accessed April 9, 2026, </w:t>
      </w:r>
      <w:hyperlink r:id="rId146">
        <w:r w:rsidDel="00000000" w:rsidR="00000000" w:rsidRPr="00000000">
          <w:rPr>
            <w:rFonts w:ascii="Arial" w:cs="Arial" w:eastAsia="Arial" w:hAnsi="Arial"/>
            <w:color w:val="0000ee"/>
            <w:sz w:val="24"/>
            <w:szCs w:val="24"/>
            <w:u w:val="single"/>
            <w:rtl w:val="0"/>
          </w:rPr>
          <w:t xml:space="preserve">https://www.researchgate.net/publication/349140171_Reinforcement_learning_for_high-frequency_market_making</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Generating Alpha: A Hybrid AI-Driven Trading System Integrating Technical Analysis, Machine Learning and Financial Sentiment for Regime-Adaptive Equity StrategiesThis paper presents the full version of a work accepted for publication in the International Conference on Computing Systems and Intelligent Applications (ComSIA 2026), to appear in Springer Lecture Notes in Networks and Systems (LNNS - arXiv, accessed April 9, 2026, </w:t>
      </w:r>
      <w:hyperlink r:id="rId147">
        <w:r w:rsidDel="00000000" w:rsidR="00000000" w:rsidRPr="00000000">
          <w:rPr>
            <w:rFonts w:ascii="Arial" w:cs="Arial" w:eastAsia="Arial" w:hAnsi="Arial"/>
            <w:color w:val="0000ee"/>
            <w:sz w:val="24"/>
            <w:szCs w:val="24"/>
            <w:u w:val="single"/>
            <w:rtl w:val="0"/>
          </w:rPr>
          <w:t xml:space="preserve">https://arxiv.org/html/2601.19504v1</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Sentiment Analysis in HFT: Using NLP to Predict Market Movements from News &amp; Tweets, accessed April 9, 2026, </w:t>
      </w:r>
      <w:hyperlink r:id="rId148">
        <w:r w:rsidDel="00000000" w:rsidR="00000000" w:rsidRPr="00000000">
          <w:rPr>
            <w:rFonts w:ascii="Arial" w:cs="Arial" w:eastAsia="Arial" w:hAnsi="Arial"/>
            <w:color w:val="0000ee"/>
            <w:sz w:val="24"/>
            <w:szCs w:val="24"/>
            <w:u w:val="single"/>
            <w:rtl w:val="0"/>
          </w:rPr>
          <w:t xml:space="preserve">https://towardsai.net/p/artificial-intelligence/sentiment-analysis-in-hft-using-nlp-to-predict-market-movements-from-news-tweets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Medium Frequency Trading Strategies: The Bridge Between High and Low Frequency Trading | by IIQF Review I IIQF Reviews, accessed April 9, 2026, </w:t>
      </w:r>
      <w:hyperlink r:id="rId149">
        <w:r w:rsidDel="00000000" w:rsidR="00000000" w:rsidRPr="00000000">
          <w:rPr>
            <w:rFonts w:ascii="Arial" w:cs="Arial" w:eastAsia="Arial" w:hAnsi="Arial"/>
            <w:color w:val="0000ee"/>
            <w:sz w:val="24"/>
            <w:szCs w:val="24"/>
            <w:u w:val="single"/>
            <w:rtl w:val="0"/>
          </w:rPr>
          <w:t xml:space="preserve">https://medium.com/@alister.scott/medium-frequency-trading-strategies-the-bridge-between-high-and-low-frequency-trading-5c5cdeea65a4</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Portfolio Construction with News Sentiment Using Large Language Model 1 - ACFR - AUT, accessed April 9, 2026, </w:t>
      </w:r>
      <w:hyperlink r:id="rId150">
        <w:r w:rsidDel="00000000" w:rsidR="00000000" w:rsidRPr="00000000">
          <w:rPr>
            <w:rFonts w:ascii="Arial" w:cs="Arial" w:eastAsia="Arial" w:hAnsi="Arial"/>
            <w:color w:val="0000ee"/>
            <w:sz w:val="24"/>
            <w:szCs w:val="24"/>
            <w:u w:val="single"/>
            <w:rtl w:val="0"/>
          </w:rPr>
          <w:t xml:space="preserve">https://acfr.aut.ac.nz/__data/assets/pdf_file/0010/812773/_Portfolio-Construction-with-News-Sentiment.pdf</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natural language processing based technique for sentiment analysis of college english corpus - PMC, accessed April 9, 2026, </w:t>
      </w:r>
      <w:hyperlink r:id="rId151">
        <w:r w:rsidDel="00000000" w:rsidR="00000000" w:rsidRPr="00000000">
          <w:rPr>
            <w:rFonts w:ascii="Arial" w:cs="Arial" w:eastAsia="Arial" w:hAnsi="Arial"/>
            <w:color w:val="0000ee"/>
            <w:sz w:val="24"/>
            <w:szCs w:val="24"/>
            <w:u w:val="single"/>
            <w:rtl w:val="0"/>
          </w:rPr>
          <w:t xml:space="preserve">https://pmc.ncbi.nlm.nih.gov/articles/PMC10280647/</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and Analyst Sentiment - MFS, accessed April 9, 2026, </w:t>
      </w:r>
      <w:hyperlink r:id="rId152">
        <w:r w:rsidDel="00000000" w:rsidR="00000000" w:rsidRPr="00000000">
          <w:rPr>
            <w:rFonts w:ascii="Arial" w:cs="Arial" w:eastAsia="Arial" w:hAnsi="Arial"/>
            <w:color w:val="0000ee"/>
            <w:sz w:val="24"/>
            <w:szCs w:val="24"/>
            <w:u w:val="single"/>
            <w:rtl w:val="0"/>
          </w:rPr>
          <w:t xml:space="preserve">https://www.mfs.com/en-us/investment-professional/insights/portfolio-insights/ai-and-analyst-sentiment.html</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Multi-Level Sentiment Analysis Framework for Financial Texts - arXiv, accessed April 9, 2026, </w:t>
      </w:r>
      <w:hyperlink r:id="rId153">
        <w:r w:rsidDel="00000000" w:rsidR="00000000" w:rsidRPr="00000000">
          <w:rPr>
            <w:rFonts w:ascii="Arial" w:cs="Arial" w:eastAsia="Arial" w:hAnsi="Arial"/>
            <w:color w:val="0000ee"/>
            <w:sz w:val="24"/>
            <w:szCs w:val="24"/>
            <w:u w:val="single"/>
            <w:rtl w:val="0"/>
          </w:rPr>
          <w:t xml:space="preserve">https://arxiv.org/html/2504.02429v1</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 Just Made Trading Signals Microsecond-Level Easy — 100 Factors in 40µs | by DolphinDB | Medium, accessed April 9, 2026, </w:t>
      </w:r>
      <w:hyperlink r:id="rId154">
        <w:r w:rsidDel="00000000" w:rsidR="00000000" w:rsidRPr="00000000">
          <w:rPr>
            <w:rFonts w:ascii="Arial" w:cs="Arial" w:eastAsia="Arial" w:hAnsi="Arial"/>
            <w:color w:val="0000ee"/>
            <w:sz w:val="24"/>
            <w:szCs w:val="24"/>
            <w:u w:val="single"/>
            <w:rtl w:val="0"/>
          </w:rPr>
          <w:t xml:space="preserve">https://medium.com/@DolphinDB_Inc/we-just-made-trading-signals-microsecond-level-easy-100-factors-in-40%C2%B5s-d13c78f41dac</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Exponential Decay Temporal Kernel - Emergent Mind, accessed April 9, 2026, </w:t>
      </w:r>
      <w:hyperlink r:id="rId155">
        <w:r w:rsidDel="00000000" w:rsidR="00000000" w:rsidRPr="00000000">
          <w:rPr>
            <w:rFonts w:ascii="Arial" w:cs="Arial" w:eastAsia="Arial" w:hAnsi="Arial"/>
            <w:color w:val="0000ee"/>
            <w:sz w:val="24"/>
            <w:szCs w:val="24"/>
            <w:u w:val="single"/>
            <w:rtl w:val="0"/>
          </w:rPr>
          <w:t xml:space="preserve">https://www.emergentmind.com/topics/exponential-decay-temporal-kernel</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portfolio management using artificial intelligence: literature review - Frontiers, accessed April 9, 2026, </w:t>
      </w:r>
      <w:hyperlink r:id="rId156">
        <w:r w:rsidDel="00000000" w:rsidR="00000000" w:rsidRPr="00000000">
          <w:rPr>
            <w:rFonts w:ascii="Arial" w:cs="Arial" w:eastAsia="Arial" w:hAnsi="Arial"/>
            <w:color w:val="0000ee"/>
            <w:sz w:val="24"/>
            <w:szCs w:val="24"/>
            <w:u w:val="single"/>
            <w:rtl w:val="0"/>
          </w:rPr>
          <w:t xml:space="preserve">https://www.frontiersin.org/journals/artificial-intelligence/articles/10.3389/frai.2024.1371502/full</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the Effect of Sentiment in High-Frequency Financial Markets - Publications - Trinity College Dublin, accessed April 9, 2026, </w:t>
      </w:r>
      <w:hyperlink r:id="rId157">
        <w:r w:rsidDel="00000000" w:rsidR="00000000" w:rsidRPr="00000000">
          <w:rPr>
            <w:rFonts w:ascii="Arial" w:cs="Arial" w:eastAsia="Arial" w:hAnsi="Arial"/>
            <w:color w:val="0000ee"/>
            <w:sz w:val="24"/>
            <w:szCs w:val="24"/>
            <w:u w:val="single"/>
            <w:rtl w:val="0"/>
          </w:rPr>
          <w:t xml:space="preserve">https://publications.scss.tcd.ie/theses/diss/2018/TCD-SCSS-DISSERTATION-2018-006.pdf</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High-Frequency Stock Movement with Differential Transformer Neural Network, accessed April 9, 2026, </w:t>
      </w:r>
      <w:hyperlink r:id="rId158">
        <w:r w:rsidDel="00000000" w:rsidR="00000000" w:rsidRPr="00000000">
          <w:rPr>
            <w:rFonts w:ascii="Arial" w:cs="Arial" w:eastAsia="Arial" w:hAnsi="Arial"/>
            <w:color w:val="0000ee"/>
            <w:sz w:val="24"/>
            <w:szCs w:val="24"/>
            <w:u w:val="single"/>
            <w:rtl w:val="0"/>
          </w:rPr>
          <w:t xml:space="preserve">https://www.mdpi.com/2079-9292/12/13/2943</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Kolmogorov-Arnold Networks (T-KAN) for High-Frequency Limit Order Book Forecasting: Efficiency, Interpretability, and Alpha Decay - arXiv, accessed April 9, 2026, </w:t>
      </w:r>
      <w:hyperlink r:id="rId159">
        <w:r w:rsidDel="00000000" w:rsidR="00000000" w:rsidRPr="00000000">
          <w:rPr>
            <w:rFonts w:ascii="Arial" w:cs="Arial" w:eastAsia="Arial" w:hAnsi="Arial"/>
            <w:color w:val="0000ee"/>
            <w:sz w:val="24"/>
            <w:szCs w:val="24"/>
            <w:u w:val="single"/>
            <w:rtl w:val="0"/>
          </w:rPr>
          <w:t xml:space="preserve">https://arxiv.org/html/2601.02310v1</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Lightweight Neural Architecture Search for Temporal Convolutional Networks at the Edge - arXiv, accessed April 9, 2026, </w:t>
      </w:r>
      <w:hyperlink r:id="rId160">
        <w:r w:rsidDel="00000000" w:rsidR="00000000" w:rsidRPr="00000000">
          <w:rPr>
            <w:rFonts w:ascii="Arial" w:cs="Arial" w:eastAsia="Arial" w:hAnsi="Arial"/>
            <w:color w:val="0000ee"/>
            <w:sz w:val="24"/>
            <w:szCs w:val="24"/>
            <w:u w:val="single"/>
            <w:rtl w:val="0"/>
          </w:rPr>
          <w:t xml:space="preserve">https://arxiv.org/pdf/2301.10281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3.png"/><Relationship Id="rId41" Type="http://schemas.openxmlformats.org/officeDocument/2006/relationships/image" Target="media/image9.png"/><Relationship Id="rId44" Type="http://schemas.openxmlformats.org/officeDocument/2006/relationships/image" Target="media/image8.png"/><Relationship Id="rId43" Type="http://schemas.openxmlformats.org/officeDocument/2006/relationships/image" Target="media/image3.png"/><Relationship Id="rId46" Type="http://schemas.openxmlformats.org/officeDocument/2006/relationships/image" Target="media/image10.png"/><Relationship Id="rId45" Type="http://schemas.openxmlformats.org/officeDocument/2006/relationships/image" Target="media/image16.png"/><Relationship Id="rId107" Type="http://schemas.openxmlformats.org/officeDocument/2006/relationships/hyperlink" Target="https://repository.tudelft.nl/file/File_24c47635-11c6-4af4-995f-eff755b898a1" TargetMode="External"/><Relationship Id="rId106" Type="http://schemas.openxmlformats.org/officeDocument/2006/relationships/hyperlink" Target="https://www.imperial.ac.uk/media/imperial-college/research-centres-and-groups/cfm-imperial-institute-of-quantitative-finance/events/imperial-eth-2016/Rama-Cont-1.pdf" TargetMode="External"/><Relationship Id="rId105" Type="http://schemas.openxmlformats.org/officeDocument/2006/relationships/hyperlink" Target="https://www.columbia.edu/~ww2040/orderbook.pdf" TargetMode="External"/><Relationship Id="rId104" Type="http://schemas.openxmlformats.org/officeDocument/2006/relationships/hyperlink" Target="https://web.stanford.edu/class/msande444/2009/2009Projects/2009-1A/MS&amp;E%20444%20Final%20Paper.pdf" TargetMode="External"/><Relationship Id="rId109" Type="http://schemas.openxmlformats.org/officeDocument/2006/relationships/hyperlink" Target="https://pmc.ncbi.nlm.nih.gov/articles/PMC8871091/" TargetMode="External"/><Relationship Id="rId108" Type="http://schemas.openxmlformats.org/officeDocument/2006/relationships/hyperlink" Target="https://arxiv.org/pdf/2503.14814" TargetMode="External"/><Relationship Id="rId48" Type="http://schemas.openxmlformats.org/officeDocument/2006/relationships/image" Target="media/image21.png"/><Relationship Id="rId47" Type="http://schemas.openxmlformats.org/officeDocument/2006/relationships/image" Target="media/image18.png"/><Relationship Id="rId49" Type="http://schemas.openxmlformats.org/officeDocument/2006/relationships/image" Target="media/image46.png"/><Relationship Id="rId103" Type="http://schemas.openxmlformats.org/officeDocument/2006/relationships/hyperlink" Target="https://arxiv.org/pdf/2403.02572" TargetMode="External"/><Relationship Id="rId102" Type="http://schemas.openxmlformats.org/officeDocument/2006/relationships/hyperlink" Target="https://moallemi.com/ciamac/papers/queue-value-2016.pdf" TargetMode="External"/><Relationship Id="rId101" Type="http://schemas.openxmlformats.org/officeDocument/2006/relationships/hyperlink" Target="https://arxiv.org/abs/2112.13213" TargetMode="External"/><Relationship Id="rId100" Type="http://schemas.openxmlformats.org/officeDocument/2006/relationships/hyperlink" Target="https://ideas.repec.org/p/arx/papers/2112.13213.html" TargetMode="External"/><Relationship Id="rId31" Type="http://schemas.openxmlformats.org/officeDocument/2006/relationships/image" Target="media/image57.png"/><Relationship Id="rId30" Type="http://schemas.openxmlformats.org/officeDocument/2006/relationships/image" Target="media/image74.png"/><Relationship Id="rId33" Type="http://schemas.openxmlformats.org/officeDocument/2006/relationships/image" Target="media/image15.png"/><Relationship Id="rId32" Type="http://schemas.openxmlformats.org/officeDocument/2006/relationships/image" Target="media/image61.png"/><Relationship Id="rId35" Type="http://schemas.openxmlformats.org/officeDocument/2006/relationships/image" Target="media/image7.png"/><Relationship Id="rId34" Type="http://schemas.openxmlformats.org/officeDocument/2006/relationships/image" Target="media/image5.png"/><Relationship Id="rId37" Type="http://schemas.openxmlformats.org/officeDocument/2006/relationships/image" Target="media/image22.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37.png"/><Relationship Id="rId20" Type="http://schemas.openxmlformats.org/officeDocument/2006/relationships/image" Target="media/image84.png"/><Relationship Id="rId22" Type="http://schemas.openxmlformats.org/officeDocument/2006/relationships/image" Target="media/image83.png"/><Relationship Id="rId21" Type="http://schemas.openxmlformats.org/officeDocument/2006/relationships/image" Target="media/image81.png"/><Relationship Id="rId24" Type="http://schemas.openxmlformats.org/officeDocument/2006/relationships/image" Target="media/image24.png"/><Relationship Id="rId23" Type="http://schemas.openxmlformats.org/officeDocument/2006/relationships/image" Target="media/image60.png"/><Relationship Id="rId129" Type="http://schemas.openxmlformats.org/officeDocument/2006/relationships/hyperlink" Target="https://pmc.ncbi.nlm.nih.gov/articles/PMC8079221/" TargetMode="External"/><Relationship Id="rId128" Type="http://schemas.openxmlformats.org/officeDocument/2006/relationships/hyperlink" Target="https://medium.com/@amit25173/temporal-convolutional-network-an-overview-4d2b6f03d6f8" TargetMode="External"/><Relationship Id="rId127" Type="http://schemas.openxmlformats.org/officeDocument/2006/relationships/hyperlink" Target="https://www.emergentmind.com/topics/temporal-convolutional-networks-tcns" TargetMode="External"/><Relationship Id="rId126" Type="http://schemas.openxmlformats.org/officeDocument/2006/relationships/hyperlink" Target="https://www.mdpi.com/2076-3417/15/4/1702" TargetMode="External"/><Relationship Id="rId26" Type="http://schemas.openxmlformats.org/officeDocument/2006/relationships/image" Target="media/image56.png"/><Relationship Id="rId121" Type="http://schemas.openxmlformats.org/officeDocument/2006/relationships/hyperlink" Target="https://kclpure.kcl.ac.uk/portal/en/publications/lit-limit-order-book-transformer/" TargetMode="External"/><Relationship Id="rId25" Type="http://schemas.openxmlformats.org/officeDocument/2006/relationships/image" Target="media/image55.png"/><Relationship Id="rId120" Type="http://schemas.openxmlformats.org/officeDocument/2006/relationships/hyperlink" Target="https://arxiv.org/pdf/1808.03668" TargetMode="External"/><Relationship Id="rId28" Type="http://schemas.openxmlformats.org/officeDocument/2006/relationships/image" Target="media/image62.png"/><Relationship Id="rId27" Type="http://schemas.openxmlformats.org/officeDocument/2006/relationships/image" Target="media/image14.png"/><Relationship Id="rId125" Type="http://schemas.openxmlformats.org/officeDocument/2006/relationships/hyperlink" Target="https://www.researchgate.net/publication/327011035_DeepLOB_Deep_Convolutional_Neural_Networks_for_Limit_Order_Books" TargetMode="External"/><Relationship Id="rId29" Type="http://schemas.openxmlformats.org/officeDocument/2006/relationships/image" Target="media/image58.png"/><Relationship Id="rId124" Type="http://schemas.openxmlformats.org/officeDocument/2006/relationships/hyperlink" Target="https://pmc.ncbi.nlm.nih.gov/articles/PMC11785954/" TargetMode="External"/><Relationship Id="rId123" Type="http://schemas.openxmlformats.org/officeDocument/2006/relationships/hyperlink" Target="https://medium.com/@amritsinghbist/comprehensive-understanding-of-lstm-architecture-a-deep-dive-into-long-short-term-memory-networks-5405f97afc6b" TargetMode="External"/><Relationship Id="rId122" Type="http://schemas.openxmlformats.org/officeDocument/2006/relationships/hyperlink" Target="https://arxiv.org/abs/1808.03668" TargetMode="External"/><Relationship Id="rId95" Type="http://schemas.openxmlformats.org/officeDocument/2006/relationships/hyperlink" Target="https://www.researchgate.net/publication/392262893_MATHEMATICAL_FOUNDATIONS_AND_ADVANCED_EXTENSIONS_OF_PRINCIPAL_COMPONENT_ANALYSIS_FOR_DIMENSIONALITY_REDUCTION_IN_MACHINE_LEARNING" TargetMode="External"/><Relationship Id="rId94" Type="http://schemas.openxmlformats.org/officeDocument/2006/relationships/hyperlink" Target="https://pmc.ncbi.nlm.nih.gov/articles/PMC4425352/" TargetMode="External"/><Relationship Id="rId97" Type="http://schemas.openxmlformats.org/officeDocument/2006/relationships/hyperlink" Target="https://www.scirp.org/journal/paperinformation?paperid=150637" TargetMode="External"/><Relationship Id="rId96" Type="http://schemas.openxmlformats.org/officeDocument/2006/relationships/hyperlink" Target="https://arxiv.org/html/2112.13213v4" TargetMode="External"/><Relationship Id="rId11" Type="http://schemas.openxmlformats.org/officeDocument/2006/relationships/image" Target="media/image63.png"/><Relationship Id="rId99" Type="http://schemas.openxmlformats.org/officeDocument/2006/relationships/hyperlink" Target="https://www.tandfonline.com/doi/abs/10.1080/14697688.2023.2236159" TargetMode="External"/><Relationship Id="rId10" Type="http://schemas.openxmlformats.org/officeDocument/2006/relationships/image" Target="media/image4.png"/><Relationship Id="rId98" Type="http://schemas.openxmlformats.org/officeDocument/2006/relationships/hyperlink" Target="https://www.researchgate.net/publication/357365614_Cross-Impact_of_Order_Flow_Imbalance_in_Equity_Markets" TargetMode="External"/><Relationship Id="rId13" Type="http://schemas.openxmlformats.org/officeDocument/2006/relationships/image" Target="media/image77.png"/><Relationship Id="rId12" Type="http://schemas.openxmlformats.org/officeDocument/2006/relationships/image" Target="media/image78.png"/><Relationship Id="rId91" Type="http://schemas.openxmlformats.org/officeDocument/2006/relationships/hyperlink" Target="https://www.tandfonline.com/doi/pdf/10.1080/14697688.2023.2236159" TargetMode="External"/><Relationship Id="rId90" Type="http://schemas.openxmlformats.org/officeDocument/2006/relationships/hyperlink" Target="https://www.emergentmind.com/topics/multi-level-order-flow-imbalance-mlofi" TargetMode="External"/><Relationship Id="rId93" Type="http://schemas.openxmlformats.org/officeDocument/2006/relationships/hyperlink" Target="https://www.emergentmind.com/topics/multi-level-order-flow-imbalance-mlofi-1c024eb0-5945-49ee-8f7e-3391d0701df7" TargetMode="External"/><Relationship Id="rId92" Type="http://schemas.openxmlformats.org/officeDocument/2006/relationships/hyperlink" Target="https://www.tandfonline.com/doi/full/10.1080/14697688.2023.2236159" TargetMode="External"/><Relationship Id="rId118" Type="http://schemas.openxmlformats.org/officeDocument/2006/relationships/hyperlink" Target="https://orca.cardiff.ac.uk/id/eprint/178251/1/Pierre%20thesis%20april%202025%20pdf.pdf" TargetMode="External"/><Relationship Id="rId117" Type="http://schemas.openxmlformats.org/officeDocument/2006/relationships/hyperlink" Target="https://www.maths.ox.ac.uk/system/files/attachments/Hawkes%20Process-Driven%20Models%20for%20Limit%20Order%20Book%20Dynamics_0.pdf" TargetMode="External"/><Relationship Id="rId116" Type="http://schemas.openxmlformats.org/officeDocument/2006/relationships/hyperlink" Target="https://stats.stackexchange.com/questions/164488/mle-of-a-multivariate-hawkes-process" TargetMode="External"/><Relationship Id="rId115" Type="http://schemas.openxmlformats.org/officeDocument/2006/relationships/hyperlink" Target="https://arxiv.org/pdf/1302.1405" TargetMode="External"/><Relationship Id="rId119" Type="http://schemas.openxmlformats.org/officeDocument/2006/relationships/hyperlink" Target="https://arxiv.org/pdf/1601.01987" TargetMode="External"/><Relationship Id="rId15" Type="http://schemas.openxmlformats.org/officeDocument/2006/relationships/image" Target="media/image69.png"/><Relationship Id="rId110" Type="http://schemas.openxmlformats.org/officeDocument/2006/relationships/hyperlink" Target="http://arno.uvt.nl/show.cgi?fid=151308" TargetMode="External"/><Relationship Id="rId14" Type="http://schemas.openxmlformats.org/officeDocument/2006/relationships/image" Target="media/image71.png"/><Relationship Id="rId17" Type="http://schemas.openxmlformats.org/officeDocument/2006/relationships/image" Target="media/image72.png"/><Relationship Id="rId16" Type="http://schemas.openxmlformats.org/officeDocument/2006/relationships/image" Target="media/image80.png"/><Relationship Id="rId19" Type="http://schemas.openxmlformats.org/officeDocument/2006/relationships/image" Target="media/image67.png"/><Relationship Id="rId114" Type="http://schemas.openxmlformats.org/officeDocument/2006/relationships/hyperlink" Target="https://www.emergentmind.com/topics/hawkes-process-with-power-law-kernel" TargetMode="External"/><Relationship Id="rId18" Type="http://schemas.openxmlformats.org/officeDocument/2006/relationships/image" Target="media/image82.png"/><Relationship Id="rId113" Type="http://schemas.openxmlformats.org/officeDocument/2006/relationships/hyperlink" Target="https://ethz.ch/content/dam/ethz/special-interest/mtec/chair-of-entrepreneurial-risks-dam/documents/dissertation/master%20thesis/Master_Thesis_%20Morzywolek.pdf" TargetMode="External"/><Relationship Id="rId112" Type="http://schemas.openxmlformats.org/officeDocument/2006/relationships/hyperlink" Target="https://www.mdpi.com/1099-4300/24/2/214" TargetMode="External"/><Relationship Id="rId111" Type="http://schemas.openxmlformats.org/officeDocument/2006/relationships/hyperlink" Target="https://medium.com/we-talk-data/a-brief-introduction-to-hawkes-processes-996d8da8e003" TargetMode="External"/><Relationship Id="rId84" Type="http://schemas.openxmlformats.org/officeDocument/2006/relationships/image" Target="media/image76.png"/><Relationship Id="rId83" Type="http://schemas.openxmlformats.org/officeDocument/2006/relationships/image" Target="media/image33.png"/><Relationship Id="rId86" Type="http://schemas.openxmlformats.org/officeDocument/2006/relationships/image" Target="media/image66.png"/><Relationship Id="rId85" Type="http://schemas.openxmlformats.org/officeDocument/2006/relationships/image" Target="media/image75.png"/><Relationship Id="rId88" Type="http://schemas.openxmlformats.org/officeDocument/2006/relationships/image" Target="media/image73.png"/><Relationship Id="rId150" Type="http://schemas.openxmlformats.org/officeDocument/2006/relationships/hyperlink" Target="https://acfr.aut.ac.nz/__data/assets/pdf_file/0010/812773/_Portfolio-Construction-with-News-Sentiment.pdf" TargetMode="External"/><Relationship Id="rId87" Type="http://schemas.openxmlformats.org/officeDocument/2006/relationships/image" Target="media/image70.png"/><Relationship Id="rId89" Type="http://schemas.openxmlformats.org/officeDocument/2006/relationships/image" Target="media/image12.png"/><Relationship Id="rId80" Type="http://schemas.openxmlformats.org/officeDocument/2006/relationships/image" Target="media/image42.png"/><Relationship Id="rId82" Type="http://schemas.openxmlformats.org/officeDocument/2006/relationships/image" Target="media/image28.png"/><Relationship Id="rId81"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edium.com/@alister.scott/medium-frequency-trading-strategies-the-bridge-between-high-and-low-frequency-trading-5c5cdeea65a4" TargetMode="External"/><Relationship Id="rId4" Type="http://schemas.openxmlformats.org/officeDocument/2006/relationships/numbering" Target="numbering.xml"/><Relationship Id="rId148" Type="http://schemas.openxmlformats.org/officeDocument/2006/relationships/hyperlink" Target="https://towardsai.net/p/artificial-intelligence/sentiment-analysis-in-hft-using-nlp-to-predict-market-movements-from-news-tweets" TargetMode="External"/><Relationship Id="rId9" Type="http://schemas.openxmlformats.org/officeDocument/2006/relationships/image" Target="media/image2.png"/><Relationship Id="rId143" Type="http://schemas.openxmlformats.org/officeDocument/2006/relationships/hyperlink" Target="https://journals.plos.org/plosone/article?id=10.1371/journal.pone.0277042" TargetMode="External"/><Relationship Id="rId142" Type="http://schemas.openxmlformats.org/officeDocument/2006/relationships/hyperlink" Target="https://stanford.edu/~ashlearn/RLForFinanceBook/chapter16.pdf" TargetMode="External"/><Relationship Id="rId141" Type="http://schemas.openxmlformats.org/officeDocument/2006/relationships/hyperlink" Target="https://www.deeplearningwizard.com/deep_learning/deep_reinforcement_learning_pytorch/bellman_mdp/" TargetMode="External"/><Relationship Id="rId140" Type="http://schemas.openxmlformats.org/officeDocument/2006/relationships/hyperlink" Target="https://www.imperial.ac.uk/media/imperial-college/faculty-of-natural-sciences/department-of-mathematics/math-finance/Chenyu-Liu.pdf" TargetMode="External"/><Relationship Id="rId5" Type="http://schemas.openxmlformats.org/officeDocument/2006/relationships/styles" Target="styles.xml"/><Relationship Id="rId147" Type="http://schemas.openxmlformats.org/officeDocument/2006/relationships/hyperlink" Target="https://arxiv.org/html/2601.19504v1" TargetMode="External"/><Relationship Id="rId6" Type="http://schemas.openxmlformats.org/officeDocument/2006/relationships/image" Target="media/image68.png"/><Relationship Id="rId146" Type="http://schemas.openxmlformats.org/officeDocument/2006/relationships/hyperlink" Target="https://www.researchgate.net/publication/349140171_Reinforcement_learning_for_high-frequency_market_making" TargetMode="External"/><Relationship Id="rId7" Type="http://schemas.openxmlformats.org/officeDocument/2006/relationships/image" Target="media/image59.png"/><Relationship Id="rId145" Type="http://schemas.openxmlformats.org/officeDocument/2006/relationships/hyperlink" Target="https://www.esann.org/sites/default/files/proceedings/legacy/es2018-50.pdf" TargetMode="External"/><Relationship Id="rId8" Type="http://schemas.openxmlformats.org/officeDocument/2006/relationships/image" Target="media/image50.png"/><Relationship Id="rId144" Type="http://schemas.openxmlformats.org/officeDocument/2006/relationships/hyperlink" Target="https://www.diva-portal.org/smash/get/diva2:1695877/FULLTEXT01.pdf" TargetMode="External"/><Relationship Id="rId73" Type="http://schemas.openxmlformats.org/officeDocument/2006/relationships/image" Target="media/image49.png"/><Relationship Id="rId72" Type="http://schemas.openxmlformats.org/officeDocument/2006/relationships/image" Target="media/image44.png"/><Relationship Id="rId75" Type="http://schemas.openxmlformats.org/officeDocument/2006/relationships/image" Target="media/image26.png"/><Relationship Id="rId74" Type="http://schemas.openxmlformats.org/officeDocument/2006/relationships/image" Target="media/image47.png"/><Relationship Id="rId77" Type="http://schemas.openxmlformats.org/officeDocument/2006/relationships/image" Target="media/image30.png"/><Relationship Id="rId76" Type="http://schemas.openxmlformats.org/officeDocument/2006/relationships/image" Target="media/image38.png"/><Relationship Id="rId79" Type="http://schemas.openxmlformats.org/officeDocument/2006/relationships/image" Target="media/image43.png"/><Relationship Id="rId78" Type="http://schemas.openxmlformats.org/officeDocument/2006/relationships/image" Target="media/image41.png"/><Relationship Id="rId71" Type="http://schemas.openxmlformats.org/officeDocument/2006/relationships/image" Target="media/image39.png"/><Relationship Id="rId70" Type="http://schemas.openxmlformats.org/officeDocument/2006/relationships/image" Target="media/image64.png"/><Relationship Id="rId139" Type="http://schemas.openxmlformats.org/officeDocument/2006/relationships/hyperlink" Target="https://www.mdpi.com/2227-7390/9/21/2689" TargetMode="External"/><Relationship Id="rId138" Type="http://schemas.openxmlformats.org/officeDocument/2006/relationships/hyperlink" Target="https://pdfs.semanticscholar.org/2c46/056e459f9e6723607e93a931b6e0608e3343.pdf" TargetMode="External"/><Relationship Id="rId137" Type="http://schemas.openxmlformats.org/officeDocument/2006/relationships/hyperlink" Target="https://pubmed.ncbi.nlm.nih.gov/37578925/" TargetMode="External"/><Relationship Id="rId132" Type="http://schemas.openxmlformats.org/officeDocument/2006/relationships/hyperlink" Target="https://lukeguerdan.com/blog/2019/intro-to-tcns/" TargetMode="External"/><Relationship Id="rId131" Type="http://schemas.openxmlformats.org/officeDocument/2006/relationships/hyperlink" Target="https://unit8.com/resources/temporal-convolutional-networks-and-forecasting/" TargetMode="External"/><Relationship Id="rId130" Type="http://schemas.openxmlformats.org/officeDocument/2006/relationships/hyperlink" Target="https://thorirmar.com/post/temporal_convolutional_networks/" TargetMode="External"/><Relationship Id="rId136" Type="http://schemas.openxmlformats.org/officeDocument/2006/relationships/hyperlink" Target="https://www.emergentmind.com/topics/spatial-temporal-attention-mechanism" TargetMode="External"/><Relationship Id="rId135" Type="http://schemas.openxmlformats.org/officeDocument/2006/relationships/hyperlink" Target="https://towardsdatascience.com/the-math-behind-multi-head-attention-in-transformers-c26cba15f625/" TargetMode="External"/><Relationship Id="rId134" Type="http://schemas.openxmlformats.org/officeDocument/2006/relationships/hyperlink" Target="https://pmc.ncbi.nlm.nih.gov/articles/PMC12555381/" TargetMode="External"/><Relationship Id="rId133" Type="http://schemas.openxmlformats.org/officeDocument/2006/relationships/hyperlink" Target="https://medium.com/call-for-atlas/temporal-convolutional-neural-network-with-conditioning-for-broad-market-signals-9f0b0426b2b9" TargetMode="External"/><Relationship Id="rId62" Type="http://schemas.openxmlformats.org/officeDocument/2006/relationships/image" Target="media/image35.png"/><Relationship Id="rId61" Type="http://schemas.openxmlformats.org/officeDocument/2006/relationships/image" Target="media/image20.png"/><Relationship Id="rId64" Type="http://schemas.openxmlformats.org/officeDocument/2006/relationships/image" Target="media/image52.png"/><Relationship Id="rId63" Type="http://schemas.openxmlformats.org/officeDocument/2006/relationships/image" Target="media/image48.png"/><Relationship Id="rId66" Type="http://schemas.openxmlformats.org/officeDocument/2006/relationships/image" Target="media/image54.png"/><Relationship Id="rId65" Type="http://schemas.openxmlformats.org/officeDocument/2006/relationships/image" Target="media/image65.png"/><Relationship Id="rId68" Type="http://schemas.openxmlformats.org/officeDocument/2006/relationships/image" Target="media/image51.png"/><Relationship Id="rId67" Type="http://schemas.openxmlformats.org/officeDocument/2006/relationships/image" Target="media/image79.png"/><Relationship Id="rId60" Type="http://schemas.openxmlformats.org/officeDocument/2006/relationships/image" Target="media/image19.png"/><Relationship Id="rId69" Type="http://schemas.openxmlformats.org/officeDocument/2006/relationships/image" Target="media/image53.png"/><Relationship Id="rId51" Type="http://schemas.openxmlformats.org/officeDocument/2006/relationships/image" Target="media/image32.png"/><Relationship Id="rId50" Type="http://schemas.openxmlformats.org/officeDocument/2006/relationships/image" Target="media/image23.png"/><Relationship Id="rId53" Type="http://schemas.openxmlformats.org/officeDocument/2006/relationships/image" Target="media/image29.png"/><Relationship Id="rId52" Type="http://schemas.openxmlformats.org/officeDocument/2006/relationships/image" Target="media/image40.png"/><Relationship Id="rId55" Type="http://schemas.openxmlformats.org/officeDocument/2006/relationships/image" Target="media/image31.png"/><Relationship Id="rId54" Type="http://schemas.openxmlformats.org/officeDocument/2006/relationships/image" Target="media/image45.png"/><Relationship Id="rId160" Type="http://schemas.openxmlformats.org/officeDocument/2006/relationships/hyperlink" Target="https://arxiv.org/pdf/2301.10281" TargetMode="External"/><Relationship Id="rId57" Type="http://schemas.openxmlformats.org/officeDocument/2006/relationships/image" Target="media/image27.png"/><Relationship Id="rId56" Type="http://schemas.openxmlformats.org/officeDocument/2006/relationships/image" Target="media/image25.png"/><Relationship Id="rId159" Type="http://schemas.openxmlformats.org/officeDocument/2006/relationships/hyperlink" Target="https://arxiv.org/html/2601.02310v1" TargetMode="External"/><Relationship Id="rId59" Type="http://schemas.openxmlformats.org/officeDocument/2006/relationships/image" Target="media/image17.png"/><Relationship Id="rId154" Type="http://schemas.openxmlformats.org/officeDocument/2006/relationships/hyperlink" Target="https://medium.com/@DolphinDB_Inc/we-just-made-trading-signals-microsecond-level-easy-100-factors-in-40%C2%B5s-d13c78f41dac" TargetMode="External"/><Relationship Id="rId58" Type="http://schemas.openxmlformats.org/officeDocument/2006/relationships/image" Target="media/image36.png"/><Relationship Id="rId153" Type="http://schemas.openxmlformats.org/officeDocument/2006/relationships/hyperlink" Target="https://arxiv.org/html/2504.02429v1" TargetMode="External"/><Relationship Id="rId152" Type="http://schemas.openxmlformats.org/officeDocument/2006/relationships/hyperlink" Target="https://www.mfs.com/en-us/investment-professional/insights/portfolio-insights/ai-and-analyst-sentiment.html" TargetMode="External"/><Relationship Id="rId151" Type="http://schemas.openxmlformats.org/officeDocument/2006/relationships/hyperlink" Target="https://pmc.ncbi.nlm.nih.gov/articles/PMC10280647/" TargetMode="External"/><Relationship Id="rId158" Type="http://schemas.openxmlformats.org/officeDocument/2006/relationships/hyperlink" Target="https://www.mdpi.com/2079-9292/12/13/2943" TargetMode="External"/><Relationship Id="rId157" Type="http://schemas.openxmlformats.org/officeDocument/2006/relationships/hyperlink" Target="https://publications.scss.tcd.ie/theses/diss/2018/TCD-SCSS-DISSERTATION-2018-006.pdf" TargetMode="External"/><Relationship Id="rId156" Type="http://schemas.openxmlformats.org/officeDocument/2006/relationships/hyperlink" Target="https://www.frontiersin.org/journals/artificial-intelligence/articles/10.3389/frai.2024.1371502/full" TargetMode="External"/><Relationship Id="rId155" Type="http://schemas.openxmlformats.org/officeDocument/2006/relationships/hyperlink" Target="https://www.emergentmind.com/topics/exponential-decay-temporal-ker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