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深度调研OFI因子的数学构建方法</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限价订单簿微观动力学与订单流不平衡理论起源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代高频交易与算法交易的语境下，资产价格的发现过程已不再被视为宏观经济变量的直接映射，而是被理解为离散微观事件序列驱动的动态系统。传统的金融计量模型多聚焦于成交数据（Trades），试图通过买卖方向的净额来刻画市场情绪。然而，成交数据仅代表了流动性消耗的最终结果，忽略了限价订单簿（Limit Order Book, LOB）中大规模的挂单（Limit Orders）与撤单（Cancellations）行为，而这些行为往往包含了更具前瞻性的流动性供给意图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。订单流不平衡（Order Flow Imbalance, OFI）因子的诞生，标志着量化研究从“成交驱动”向“订单流驱动”的范式转移。其核心逻辑在于，通过精确量化限价订单簿各价格层级的净变化，能够更直接地捕捉到驱动中价（Mid-price）变动的微观物理动力。</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传统的订单簿指标如订单簿失衡（Order Book Imbalance, OBI）侧重于静态存量的对比，衡量某一时刻买单侧与卖单侧挂单总量的比率。尽管 OBI 能够反映当前市场的潜在压力，但它极易受到虚假挂单（Spoofing）和瞬时撤单的干扰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。相比之下，OFI 是一个增量聚合指标，它关注的是在特定时间区间内，由限价单提交、市价单执行和订单撤销共同引起的队列规模净变化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。根据微观结构理论，价格变动的本质是流动性供需在最佳买卖价位（Best Bid and Offer, BBO）上的动态失衡：当买方对流动性的消耗与撤销总额小于新提交的限价单时，买方队列扩张，反之则收缩。这种动态过程不仅解释了即时价格变动，也通过价格冲击系数与市场深度的倒数关系，揭示了日内波动率季节性的本质原因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Level-1 OFI 的基本数学构建与分支逻辑</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Level-1 OFI 是所有高阶订单流因子的数学基石，其研究对象严格锁定在订单簿的第一层，即最优买价（Best Bid）和最优卖价（Best Ask）。其构建过程实质上是将非平稳的原始 LOB 更新事件流映射为一个具有平稳性特征的标量序列。</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离散事件映射机制</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假设在事件时间 </w:t>
      </w:r>
      <w:r w:rsidDel="00000000" w:rsidR="00000000" w:rsidRPr="00000000">
        <w:rPr>
          <w:rFonts w:ascii="Google Sans" w:cs="Google Sans" w:eastAsia="Google Sans" w:hAnsi="Google Sans"/>
          <w:color w:val="1f1f1f"/>
        </w:rPr>
        <w:drawing>
          <wp:inline distB="19050" distT="19050" distL="19050" distR="19050">
            <wp:extent cx="110654" cy="221308"/>
            <wp:effectExtent b="0" l="0" r="0" t="0"/>
            <wp:docPr id="67"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110654" cy="221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，订单簿的状态由四元组描述：最佳买价 </w:t>
      </w:r>
      <w:r w:rsidDel="00000000" w:rsidR="00000000" w:rsidRPr="00000000">
        <w:rPr>
          <w:rFonts w:ascii="Google Sans" w:cs="Google Sans" w:eastAsia="Google Sans" w:hAnsi="Google Sans"/>
          <w:color w:val="1f1f1f"/>
        </w:rPr>
        <w:drawing>
          <wp:inline distB="19050" distT="19050" distL="19050" distR="19050">
            <wp:extent cx="208582" cy="227544"/>
            <wp:effectExtent b="0" l="0" r="0" t="0"/>
            <wp:docPr id="69"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208582" cy="227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、买价对应量 </w:t>
      </w:r>
      <w:r w:rsidDel="00000000" w:rsidR="00000000" w:rsidRPr="00000000">
        <w:rPr>
          <w:rFonts w:ascii="Google Sans" w:cs="Google Sans" w:eastAsia="Google Sans" w:hAnsi="Google Sans"/>
          <w:color w:val="1f1f1f"/>
        </w:rPr>
        <w:drawing>
          <wp:inline distB="19050" distT="19050" distL="19050" distR="19050">
            <wp:extent cx="168920" cy="225227"/>
            <wp:effectExtent b="0" l="0" r="0" t="0"/>
            <wp:docPr id="68"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168920" cy="225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、最佳卖价 </w:t>
      </w:r>
      <w:r w:rsidDel="00000000" w:rsidR="00000000" w:rsidRPr="00000000">
        <w:rPr>
          <w:rFonts w:ascii="Google Sans" w:cs="Google Sans" w:eastAsia="Google Sans" w:hAnsi="Google Sans"/>
          <w:color w:val="1f1f1f"/>
        </w:rPr>
        <w:drawing>
          <wp:inline distB="19050" distT="19050" distL="19050" distR="19050">
            <wp:extent cx="221456" cy="231085"/>
            <wp:effectExtent b="0" l="0" r="0" t="0"/>
            <wp:docPr id="71"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221456" cy="2310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及卖价对应量 </w:t>
      </w:r>
      <w:r w:rsidDel="00000000" w:rsidR="00000000" w:rsidRPr="00000000">
        <w:rPr>
          <w:rFonts w:ascii="Google Sans" w:cs="Google Sans" w:eastAsia="Google Sans" w:hAnsi="Google Sans"/>
          <w:color w:val="1f1f1f"/>
        </w:rPr>
        <w:drawing>
          <wp:inline distB="19050" distT="19050" distL="19050" distR="19050">
            <wp:extent cx="168920" cy="225227"/>
            <wp:effectExtent b="0" l="0" r="0" t="0"/>
            <wp:docPr id="70"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168920" cy="225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。每一次状态更新（无论是由挂单、撤单还是成交引起）都会产生一个单步贡献值 </w:t>
      </w:r>
      <w:r w:rsidDel="00000000" w:rsidR="00000000" w:rsidRPr="00000000">
        <w:rPr>
          <w:rFonts w:ascii="Google Sans" w:cs="Google Sans" w:eastAsia="Google Sans" w:hAnsi="Google Sans"/>
          <w:color w:val="1f1f1f"/>
        </w:rPr>
        <w:drawing>
          <wp:inline distB="19050" distT="19050" distL="19050" distR="19050">
            <wp:extent cx="172566" cy="230088"/>
            <wp:effectExtent b="0" l="0" r="0" t="0"/>
            <wp:docPr id="7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172566" cy="2300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。为了准确捕捉流动性的流向，需要对买侧和卖侧的变化进行分支讨论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对于买侧贡献 </w:t>
      </w:r>
      <w:r w:rsidDel="00000000" w:rsidR="00000000" w:rsidRPr="00000000">
        <w:rPr>
          <w:rFonts w:ascii="Google Sans" w:cs="Google Sans" w:eastAsia="Google Sans" w:hAnsi="Google Sans"/>
          <w:color w:val="1f1f1f"/>
        </w:rPr>
        <w:drawing>
          <wp:inline distB="19050" distT="19050" distL="19050" distR="19050">
            <wp:extent cx="354583" cy="230000"/>
            <wp:effectExtent b="0" l="0" r="0" t="0"/>
            <wp:docPr id="72"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354583" cy="230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，其逻辑定义如下：</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若当前最佳买价高于前一时刻（</w:t>
      </w:r>
      <w:r w:rsidDel="00000000" w:rsidR="00000000" w:rsidRPr="00000000">
        <w:rPr>
          <w:rFonts w:ascii="Google Sans" w:cs="Google Sans" w:eastAsia="Google Sans" w:hAnsi="Google Sans"/>
          <w:color w:val="1f1f1f"/>
        </w:rPr>
        <w:drawing>
          <wp:inline distB="19050" distT="19050" distL="19050" distR="19050">
            <wp:extent cx="824508" cy="227450"/>
            <wp:effectExtent b="0" l="0" r="0" t="0"/>
            <wp:docPr id="7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824508" cy="227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），意味着旧的价格层级已不再是最佳买价，新的买入压力以 </w:t>
      </w:r>
      <w:r w:rsidDel="00000000" w:rsidR="00000000" w:rsidRPr="00000000">
        <w:rPr>
          <w:rFonts w:ascii="Google Sans" w:cs="Google Sans" w:eastAsia="Google Sans" w:hAnsi="Google Sans"/>
          <w:color w:val="1f1f1f"/>
        </w:rPr>
        <w:drawing>
          <wp:inline distB="19050" distT="19050" distL="19050" distR="19050">
            <wp:extent cx="168920" cy="225227"/>
            <wp:effectExtent b="0" l="0" r="0" t="0"/>
            <wp:docPr id="74"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168920" cy="225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的规模注入，此时 </w:t>
      </w:r>
      <w:r w:rsidDel="00000000" w:rsidR="00000000" w:rsidRPr="00000000">
        <w:rPr>
          <w:rFonts w:ascii="Google Sans" w:cs="Google Sans" w:eastAsia="Google Sans" w:hAnsi="Google Sans"/>
          <w:color w:val="1f1f1f"/>
        </w:rPr>
        <w:drawing>
          <wp:inline distB="19050" distT="19050" distL="19050" distR="19050">
            <wp:extent cx="769367" cy="227960"/>
            <wp:effectExtent b="0" l="0" r="0" t="0"/>
            <wp:docPr id="78"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769367" cy="227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若价格未发生变化（</w:t>
      </w:r>
      <w:r w:rsidDel="00000000" w:rsidR="00000000" w:rsidRPr="00000000">
        <w:rPr>
          <w:rFonts w:ascii="Google Sans" w:cs="Google Sans" w:eastAsia="Google Sans" w:hAnsi="Google Sans"/>
          <w:color w:val="1f1f1f"/>
        </w:rPr>
        <w:drawing>
          <wp:inline distB="19050" distT="19050" distL="19050" distR="19050">
            <wp:extent cx="824508" cy="227450"/>
            <wp:effectExtent b="0" l="0" r="0" t="0"/>
            <wp:docPr id="76"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824508" cy="227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），则买侧压力的变化表现为存量的增减，即 </w:t>
      </w:r>
      <w:r w:rsidDel="00000000" w:rsidR="00000000" w:rsidRPr="00000000">
        <w:rPr>
          <w:rFonts w:ascii="Google Sans" w:cs="Google Sans" w:eastAsia="Google Sans" w:hAnsi="Google Sans"/>
          <w:color w:val="1f1f1f"/>
        </w:rPr>
        <w:drawing>
          <wp:inline distB="19050" distT="19050" distL="19050" distR="19050">
            <wp:extent cx="1328661" cy="229409"/>
            <wp:effectExtent b="0" l="0" r="0" t="0"/>
            <wp:docPr id="77"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1328661" cy="229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若最佳买价下跌（</w:t>
      </w:r>
      <w:r w:rsidDel="00000000" w:rsidR="00000000" w:rsidRPr="00000000">
        <w:rPr>
          <w:rFonts w:ascii="Google Sans" w:cs="Google Sans" w:eastAsia="Google Sans" w:hAnsi="Google Sans"/>
          <w:color w:val="1f1f1f"/>
        </w:rPr>
        <w:drawing>
          <wp:inline distB="19050" distT="19050" distL="19050" distR="19050">
            <wp:extent cx="824508" cy="227450"/>
            <wp:effectExtent b="0" l="0" r="0" t="0"/>
            <wp:docPr id="79"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824508" cy="227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），说明原有的买侧队列已被消耗或撤单，买侧压力减小，贡献为 </w:t>
      </w:r>
      <w:r w:rsidDel="00000000" w:rsidR="00000000" w:rsidRPr="00000000">
        <w:rPr>
          <w:rFonts w:ascii="Google Sans" w:cs="Google Sans" w:eastAsia="Google Sans" w:hAnsi="Google Sans"/>
          <w:color w:val="1f1f1f"/>
        </w:rPr>
        <w:drawing>
          <wp:inline distB="19050" distT="19050" distL="19050" distR="19050">
            <wp:extent cx="477441" cy="229172"/>
            <wp:effectExtent b="0" l="0" r="0" t="0"/>
            <wp:docPr id="80"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477441" cy="229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同理，卖侧贡献 </w:t>
      </w:r>
      <w:r w:rsidDel="00000000" w:rsidR="00000000" w:rsidRPr="00000000">
        <w:rPr>
          <w:rFonts w:ascii="Google Sans" w:cs="Google Sans" w:eastAsia="Google Sans" w:hAnsi="Google Sans"/>
          <w:color w:val="1f1f1f"/>
        </w:rPr>
        <w:drawing>
          <wp:inline distB="19050" distT="19050" distL="19050" distR="19050">
            <wp:extent cx="367456" cy="226127"/>
            <wp:effectExtent b="0" l="0" r="0" t="0"/>
            <wp:docPr id="81"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367456" cy="226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的定义体现了相反的供需逻辑：</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若最佳卖价上涨（</w:t>
      </w:r>
      <w:r w:rsidDel="00000000" w:rsidR="00000000" w:rsidRPr="00000000">
        <w:rPr>
          <w:rFonts w:ascii="Google Sans" w:cs="Google Sans" w:eastAsia="Google Sans" w:hAnsi="Google Sans"/>
          <w:color w:val="1f1f1f"/>
        </w:rPr>
        <w:drawing>
          <wp:inline distB="19050" distT="19050" distL="19050" distR="19050">
            <wp:extent cx="837382" cy="228377"/>
            <wp:effectExtent b="0" l="0" r="0" t="0"/>
            <wp:docPr id="82"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837382" cy="2283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），卖压减小，贡献为 </w:t>
      </w:r>
      <w:r w:rsidDel="00000000" w:rsidR="00000000" w:rsidRPr="00000000">
        <w:rPr>
          <w:rFonts w:ascii="Google Sans" w:cs="Google Sans" w:eastAsia="Google Sans" w:hAnsi="Google Sans"/>
          <w:color w:val="1f1f1f"/>
        </w:rPr>
        <w:drawing>
          <wp:inline distB="19050" distT="19050" distL="19050" distR="19050">
            <wp:extent cx="333970" cy="229008"/>
            <wp:effectExtent b="0" l="0" r="0" t="0"/>
            <wp:docPr id="83"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333970" cy="2290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若价格持平（</w:t>
      </w:r>
      <w:r w:rsidDel="00000000" w:rsidR="00000000" w:rsidRPr="00000000">
        <w:rPr>
          <w:rFonts w:ascii="Google Sans" w:cs="Google Sans" w:eastAsia="Google Sans" w:hAnsi="Google Sans"/>
          <w:color w:val="1f1f1f"/>
        </w:rPr>
        <w:drawing>
          <wp:inline distB="19050" distT="19050" distL="19050" distR="19050">
            <wp:extent cx="837382" cy="228377"/>
            <wp:effectExtent b="0" l="0" r="0" t="0"/>
            <wp:docPr id="84" name="image57.png"/>
            <a:graphic>
              <a:graphicData uri="http://schemas.openxmlformats.org/drawingml/2006/picture">
                <pic:pic>
                  <pic:nvPicPr>
                    <pic:cNvPr id="0" name="image57.png"/>
                    <pic:cNvPicPr preferRelativeResize="0"/>
                  </pic:nvPicPr>
                  <pic:blipFill>
                    <a:blip r:embed="rId22"/>
                    <a:srcRect b="0" l="0" r="0" t="0"/>
                    <a:stretch>
                      <a:fillRect/>
                    </a:stretch>
                  </pic:blipFill>
                  <pic:spPr>
                    <a:xfrm>
                      <a:off x="0" y="0"/>
                      <a:ext cx="837382" cy="2283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），贡献为 </w:t>
      </w:r>
      <w:r w:rsidDel="00000000" w:rsidR="00000000" w:rsidRPr="00000000">
        <w:rPr>
          <w:rFonts w:ascii="Google Sans" w:cs="Google Sans" w:eastAsia="Google Sans" w:hAnsi="Google Sans"/>
          <w:color w:val="1f1f1f"/>
        </w:rPr>
        <w:drawing>
          <wp:inline distB="19050" distT="19050" distL="19050" distR="19050">
            <wp:extent cx="728216" cy="229963"/>
            <wp:effectExtent b="0" l="0" r="0" t="0"/>
            <wp:docPr id="85" name="image61.png"/>
            <a:graphic>
              <a:graphicData uri="http://schemas.openxmlformats.org/drawingml/2006/picture">
                <pic:pic>
                  <pic:nvPicPr>
                    <pic:cNvPr id="0" name="image61.png"/>
                    <pic:cNvPicPr preferRelativeResize="0"/>
                  </pic:nvPicPr>
                  <pic:blipFill>
                    <a:blip r:embed="rId23"/>
                    <a:srcRect b="0" l="0" r="0" t="0"/>
                    <a:stretch>
                      <a:fillRect/>
                    </a:stretch>
                  </pic:blipFill>
                  <pic:spPr>
                    <a:xfrm>
                      <a:off x="0" y="0"/>
                      <a:ext cx="728216" cy="229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若最佳卖价下跌（</w:t>
      </w:r>
      <w:r w:rsidDel="00000000" w:rsidR="00000000" w:rsidRPr="00000000">
        <w:rPr>
          <w:rFonts w:ascii="Google Sans" w:cs="Google Sans" w:eastAsia="Google Sans" w:hAnsi="Google Sans"/>
          <w:color w:val="1f1f1f"/>
        </w:rPr>
        <w:drawing>
          <wp:inline distB="19050" distT="19050" distL="19050" distR="19050">
            <wp:extent cx="837382" cy="228377"/>
            <wp:effectExtent b="0" l="0" r="0" t="0"/>
            <wp:docPr id="86" name="image66.png"/>
            <a:graphic>
              <a:graphicData uri="http://schemas.openxmlformats.org/drawingml/2006/picture">
                <pic:pic>
                  <pic:nvPicPr>
                    <pic:cNvPr id="0" name="image66.png"/>
                    <pic:cNvPicPr preferRelativeResize="0"/>
                  </pic:nvPicPr>
                  <pic:blipFill>
                    <a:blip r:embed="rId24"/>
                    <a:srcRect b="0" l="0" r="0" t="0"/>
                    <a:stretch>
                      <a:fillRect/>
                    </a:stretch>
                  </pic:blipFill>
                  <pic:spPr>
                    <a:xfrm>
                      <a:off x="0" y="0"/>
                      <a:ext cx="837382" cy="2283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），新的卖压介入，贡献为 </w:t>
      </w:r>
      <w:r w:rsidDel="00000000" w:rsidR="00000000" w:rsidRPr="00000000">
        <w:rPr>
          <w:rFonts w:ascii="Google Sans" w:cs="Google Sans" w:eastAsia="Google Sans" w:hAnsi="Google Sans"/>
          <w:color w:val="1f1f1f"/>
        </w:rPr>
        <w:drawing>
          <wp:inline distB="19050" distT="19050" distL="19050" distR="19050">
            <wp:extent cx="312390" cy="227193"/>
            <wp:effectExtent b="0" l="0" r="0" t="0"/>
            <wp:docPr id="57"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312390" cy="227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单步 OFI 贡献值 </w:t>
      </w:r>
      <w:r w:rsidDel="00000000" w:rsidR="00000000" w:rsidRPr="00000000">
        <w:rPr>
          <w:rFonts w:ascii="Google Sans" w:cs="Google Sans" w:eastAsia="Google Sans" w:hAnsi="Google Sans"/>
          <w:color w:val="1f1f1f"/>
        </w:rPr>
        <w:drawing>
          <wp:inline distB="19050" distT="19050" distL="19050" distR="19050">
            <wp:extent cx="172566" cy="230088"/>
            <wp:effectExtent b="0" l="0" r="0" t="0"/>
            <wp:docPr id="58"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172566" cy="2300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最终定义为买卖两端流量的净差：</w:t>
      </w:r>
      <w:r w:rsidDel="00000000" w:rsidR="00000000" w:rsidRPr="00000000">
        <w:rPr>
          <w:rFonts w:ascii="Google Sans" w:cs="Google Sans" w:eastAsia="Google Sans" w:hAnsi="Google Sans"/>
          <w:color w:val="1f1f1f"/>
        </w:rPr>
        <w:drawing>
          <wp:inline distB="19050" distT="19050" distL="19050" distR="19050">
            <wp:extent cx="1365799" cy="229225"/>
            <wp:effectExtent b="0" l="0" r="0" t="0"/>
            <wp:docPr id="59"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1365799" cy="2292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时间序列聚合与参数化</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在具体的量化策略中，单步贡献需在特定的观察窗口 </w:t>
      </w:r>
      <w:r w:rsidDel="00000000" w:rsidR="00000000" w:rsidRPr="00000000">
        <w:rPr>
          <w:rFonts w:ascii="Google Sans" w:cs="Google Sans" w:eastAsia="Google Sans" w:hAnsi="Google Sans"/>
          <w:color w:val="1f1f1f"/>
        </w:rPr>
        <w:drawing>
          <wp:inline distB="19050" distT="19050" distL="19050" distR="19050">
            <wp:extent cx="649337" cy="229178"/>
            <wp:effectExtent b="0" l="0" r="0" t="0"/>
            <wp:docPr id="60"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649337" cy="2291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内进行聚合。该窗口可以基于物理时间（如 10 秒、1 分钟）、成交量桶（Volume Buckets）或事件计数（Tick-based）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08675" cy="943504"/>
            <wp:effectExtent b="0" l="0" r="0" t="0"/>
            <wp:docPr id="61"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5708675" cy="94350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实证分析表明，Level-1 OFI 与中价变化 </w:t>
      </w:r>
      <w:r w:rsidDel="00000000" w:rsidR="00000000" w:rsidRPr="00000000">
        <w:rPr>
          <w:rFonts w:ascii="Google Sans" w:cs="Google Sans" w:eastAsia="Google Sans" w:hAnsi="Google Sans"/>
          <w:color w:val="1f1f1f"/>
        </w:rPr>
        <w:drawing>
          <wp:inline distB="19050" distT="19050" distL="19050" distR="19050">
            <wp:extent cx="327869" cy="231437"/>
            <wp:effectExtent b="0" l="0" r="0" t="0"/>
            <wp:docPr id="62" name="image63.png"/>
            <a:graphic>
              <a:graphicData uri="http://schemas.openxmlformats.org/drawingml/2006/picture">
                <pic:pic>
                  <pic:nvPicPr>
                    <pic:cNvPr id="0" name="image63.png"/>
                    <pic:cNvPicPr preferRelativeResize="0"/>
                  </pic:nvPicPr>
                  <pic:blipFill>
                    <a:blip r:embed="rId29"/>
                    <a:srcRect b="0" l="0" r="0" t="0"/>
                    <a:stretch>
                      <a:fillRect/>
                    </a:stretch>
                  </pic:blipFill>
                  <pic:spPr>
                    <a:xfrm>
                      <a:off x="0" y="0"/>
                      <a:ext cx="327869" cy="231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之间存在极强的线性相关性，在 50 只美股样本的回归测试中，其对价格变动的解释力 </w:t>
      </w:r>
      <w:r w:rsidDel="00000000" w:rsidR="00000000" w:rsidRPr="00000000">
        <w:rPr>
          <w:rFonts w:ascii="Google Sans" w:cs="Google Sans" w:eastAsia="Google Sans" w:hAnsi="Google Sans"/>
          <w:color w:val="1f1f1f"/>
        </w:rPr>
        <w:drawing>
          <wp:inline distB="19050" distT="19050" distL="19050" distR="19050">
            <wp:extent cx="215131" cy="224484"/>
            <wp:effectExtent b="0" l="0" r="0" t="0"/>
            <wp:docPr id="63"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215131" cy="2244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平均达到 65%，这一数值远高于基于成交数据的交易不平衡指标（其 </w:t>
      </w:r>
      <w:r w:rsidDel="00000000" w:rsidR="00000000" w:rsidRPr="00000000">
        <w:rPr>
          <w:rFonts w:ascii="Google Sans" w:cs="Google Sans" w:eastAsia="Google Sans" w:hAnsi="Google Sans"/>
          <w:color w:val="1f1f1f"/>
        </w:rPr>
        <w:drawing>
          <wp:inline distB="19050" distT="19050" distL="19050" distR="19050">
            <wp:extent cx="215131" cy="224484"/>
            <wp:effectExtent b="0" l="0" r="0" t="0"/>
            <wp:docPr id="64"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215131" cy="2244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仅为 32% 左右）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线性价格冲击模型与市场深度的关联分析</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Rama Cont 等学者提出的线性价格冲击模型是 OFI 理论的核心，它不仅提供了一个预测方程，更揭示了价格变动斜率背后的经济学含义。</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价格冲击系数的解析</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回归方程 </w:t>
      </w:r>
      <w:r w:rsidDel="00000000" w:rsidR="00000000" w:rsidRPr="00000000">
        <w:rPr>
          <w:rFonts w:ascii="Google Sans" w:cs="Google Sans" w:eastAsia="Google Sans" w:hAnsi="Google Sans"/>
          <w:color w:val="1f1f1f"/>
        </w:rPr>
        <w:drawing>
          <wp:inline distB="19050" distT="19050" distL="19050" distR="19050">
            <wp:extent cx="1672828" cy="228113"/>
            <wp:effectExtent b="0" l="0" r="0" t="0"/>
            <wp:docPr id="65"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1672828" cy="228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中的系数 </w:t>
      </w:r>
      <w:r w:rsidDel="00000000" w:rsidR="00000000" w:rsidRPr="00000000">
        <w:rPr>
          <w:rFonts w:ascii="Google Sans" w:cs="Google Sans" w:eastAsia="Google Sans" w:hAnsi="Google Sans"/>
          <w:color w:val="1f1f1f"/>
        </w:rPr>
        <w:drawing>
          <wp:inline distB="19050" distT="19050" distL="19050" distR="19050">
            <wp:extent cx="114077" cy="228154"/>
            <wp:effectExtent b="0" l="0" r="0" t="0"/>
            <wp:docPr id="66"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114077" cy="228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被定义为价格冲击系数（Price Impact Coefficient）。该系数衡量了单位订单流不平衡所能引起的价格变化量（通常以 tick 为单位）。模型预测并证实了 </w:t>
      </w:r>
      <w:r w:rsidDel="00000000" w:rsidR="00000000" w:rsidRPr="00000000">
        <w:rPr>
          <w:rFonts w:ascii="Google Sans" w:cs="Google Sans" w:eastAsia="Google Sans" w:hAnsi="Google Sans"/>
          <w:color w:val="1f1f1f"/>
        </w:rPr>
        <w:drawing>
          <wp:inline distB="19050" distT="19050" distL="19050" distR="19050">
            <wp:extent cx="114077" cy="228154"/>
            <wp:effectExtent b="0" l="0" r="0" t="0"/>
            <wp:docPr id="11"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114077" cy="228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与市场深度（Market Depth）之间存在显著的负相关关系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08675" cy="638533"/>
            <wp:effectExtent b="0" l="0" r="0" t="0"/>
            <wp:docPr id="1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08675" cy="63853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296093" cy="229233"/>
            <wp:effectExtent b="0" l="0" r="0" t="0"/>
            <wp:docPr id="1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296093" cy="2292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代表平均市场深度。这一倒数关系意味着，当订单簿深度减半时，同样的订单流失衡将产生两倍的价格冲击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。这种微观机制完美地解释了市场波动的日内特征：在开盘和收盘阶段，由于算法交易者的参与和信息披露，市场深度往往处于低位，导致即便订单流波动不大，价格也会出现剧烈跳跃，从而表现出较高的 </w:t>
      </w:r>
      <w:r w:rsidDel="00000000" w:rsidR="00000000" w:rsidRPr="00000000">
        <w:rPr>
          <w:rFonts w:ascii="Google Sans" w:cs="Google Sans" w:eastAsia="Google Sans" w:hAnsi="Google Sans"/>
          <w:color w:val="1f1f1f"/>
        </w:rPr>
        <w:drawing>
          <wp:inline distB="19050" distT="19050" distL="19050" distR="19050">
            <wp:extent cx="114077" cy="228154"/>
            <wp:effectExtent b="0" l="0" r="0" t="0"/>
            <wp:docPr id="14"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114077" cy="228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值和波动率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下表列出了线性价格冲击模型在不同维度下的实证统计特征：</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统计指标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典型数值范围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经济学含义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回归 </w:t>
            </w:r>
            <w:r w:rsidDel="00000000" w:rsidR="00000000" w:rsidRPr="00000000">
              <w:rPr>
                <w:rFonts w:ascii="Google Sans" w:cs="Google Sans" w:eastAsia="Google Sans" w:hAnsi="Google Sans"/>
                <w:b w:val="1"/>
                <w:bCs w:val="1"/>
                <w:color w:val="1f1f1f"/>
              </w:rPr>
              <w:drawing>
                <wp:inline distB="19050" distT="19050" distL="19050" distR="19050">
                  <wp:extent cx="215131" cy="224484"/>
                  <wp:effectExtent b="0" l="0" r="0" t="0"/>
                  <wp:docPr id="15"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215131" cy="22448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0.60 - 0.70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OFI 对短期价格波动的解释强度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典型 </w:t>
            </w:r>
            <w:r w:rsidDel="00000000" w:rsidR="00000000" w:rsidRPr="00000000">
              <w:rPr>
                <w:rFonts w:ascii="Google Sans" w:cs="Google Sans" w:eastAsia="Google Sans" w:hAnsi="Google Sans"/>
                <w:b w:val="1"/>
                <w:bCs w:val="1"/>
                <w:color w:val="1f1f1f"/>
              </w:rPr>
              <w:drawing>
                <wp:inline distB="19050" distT="19050" distL="19050" distR="19050">
                  <wp:extent cx="114077" cy="228154"/>
                  <wp:effectExtent b="0" l="0" r="0" t="0"/>
                  <wp:docPr id="16"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114077" cy="22815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系数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0.02 - 0.06 (ticks/share)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市场流动性成本的直接量化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时间尺度稳健性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50ms - 5min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OFI 线性特征在不同频段的适用性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日内季节性规律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开盘最高，收盘较低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市场深度对价格发现过程的调节作用</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多级订单流不平衡（MLOFI）的向量化构建</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随着市场复杂度的提升，仅仅关注 Level-1 的数据已不足以捕捉深层隐藏的执行意图。多级订单流不平衡（MLOFI）将视角扩展到限价订单簿的前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1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层（通常 </w:t>
      </w:r>
      <w:r w:rsidDel="00000000" w:rsidR="00000000" w:rsidRPr="00000000">
        <w:rPr>
          <w:rFonts w:ascii="Google Sans" w:cs="Google Sans" w:eastAsia="Google Sans" w:hAnsi="Google Sans"/>
          <w:color w:val="1f1f1f"/>
        </w:rPr>
        <w:drawing>
          <wp:inline distB="19050" distT="19050" distL="19050" distR="19050">
            <wp:extent cx="629320" cy="228843"/>
            <wp:effectExtent b="0" l="0" r="0" t="0"/>
            <wp:docPr id="18"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629320" cy="228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），旨在提取更完整的流动性图谱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队列平移效应的数学处理</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在构建 MLOFI 时，一个核心难题是处理层级间的平移（Queue Shifting）。例如，当一个新的买单进入最佳买卖价差（Inside Spread）时，原本的 Level-1 队列将整体下沉为 Level-2。如果简单地对各层独立应用 Level-1 的计算公式，将会产生严重的逻辑错误和重复计数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为了准确计算第 </w:t>
      </w:r>
      <w:r w:rsidDel="00000000" w:rsidR="00000000" w:rsidRPr="00000000">
        <w:rPr>
          <w:rFonts w:ascii="Google Sans" w:cs="Google Sans" w:eastAsia="Google Sans" w:hAnsi="Google Sans"/>
          <w:color w:val="1f1f1f"/>
        </w:rPr>
        <w:drawing>
          <wp:inline distB="19050" distT="19050" distL="19050" distR="19050">
            <wp:extent cx="161925" cy="228600"/>
            <wp:effectExtent b="0" l="0" r="0" t="0"/>
            <wp:docPr id="19"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层的订单流贡献 </w:t>
      </w:r>
      <w:r w:rsidDel="00000000" w:rsidR="00000000" w:rsidRPr="00000000">
        <w:rPr>
          <w:rFonts w:ascii="Google Sans" w:cs="Google Sans" w:eastAsia="Google Sans" w:hAnsi="Google Sans"/>
          <w:color w:val="1f1f1f"/>
        </w:rPr>
        <w:drawing>
          <wp:inline distB="19050" distT="19050" distL="19050" distR="19050">
            <wp:extent cx="412477" cy="230220"/>
            <wp:effectExtent b="0" l="0" r="0" t="0"/>
            <wp:docPr id="20"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412477" cy="230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，需要考虑三种典型情境：</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价位内部更新</w:t>
      </w:r>
      <w:r w:rsidDel="00000000" w:rsidR="00000000" w:rsidRPr="00000000">
        <w:rPr>
          <w:rFonts w:ascii="Google Sans" w:cs="Google Sans" w:eastAsia="Google Sans" w:hAnsi="Google Sans"/>
          <w:color w:val="1f1f1f"/>
          <w:rtl w:val="0"/>
        </w:rPr>
        <w:t xml:space="preserve">：若第 </w:t>
      </w:r>
      <w:r w:rsidDel="00000000" w:rsidR="00000000" w:rsidRPr="00000000">
        <w:rPr>
          <w:rFonts w:ascii="Google Sans" w:cs="Google Sans" w:eastAsia="Google Sans" w:hAnsi="Google Sans"/>
          <w:color w:val="1f1f1f"/>
        </w:rPr>
        <w:drawing>
          <wp:inline distB="19050" distT="19050" distL="19050" distR="19050">
            <wp:extent cx="161925" cy="228600"/>
            <wp:effectExtent b="0" l="0" r="0" t="0"/>
            <wp:docPr id="1"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层的价格 </w:t>
      </w:r>
      <w:r w:rsidDel="00000000" w:rsidR="00000000" w:rsidRPr="00000000">
        <w:rPr>
          <w:rFonts w:ascii="Google Sans" w:cs="Google Sans" w:eastAsia="Google Sans" w:hAnsi="Google Sans"/>
          <w:color w:val="1f1f1f"/>
        </w:rPr>
        <w:drawing>
          <wp:inline distB="19050" distT="19050" distL="19050" distR="19050">
            <wp:extent cx="266477" cy="228409"/>
            <wp:effectExtent b="0" l="0" r="0" t="0"/>
            <wp:docPr id="2"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266477" cy="228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等于前一时刻，则贡献为规模之差 </w:t>
      </w:r>
      <w:r w:rsidDel="00000000" w:rsidR="00000000" w:rsidRPr="00000000">
        <w:rPr>
          <w:rFonts w:ascii="Google Sans" w:cs="Google Sans" w:eastAsia="Google Sans" w:hAnsi="Google Sans"/>
          <w:color w:val="1f1f1f"/>
        </w:rPr>
        <w:drawing>
          <wp:inline distB="19050" distT="19050" distL="19050" distR="19050">
            <wp:extent cx="770632" cy="228335"/>
            <wp:effectExtent b="0" l="0" r="0" t="0"/>
            <wp:docPr id="3"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770632" cy="2283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价位跃迁/新层级产生</w:t>
      </w:r>
      <w:r w:rsidDel="00000000" w:rsidR="00000000" w:rsidRPr="00000000">
        <w:rPr>
          <w:rFonts w:ascii="Google Sans" w:cs="Google Sans" w:eastAsia="Google Sans" w:hAnsi="Google Sans"/>
          <w:color w:val="1f1f1f"/>
          <w:rtl w:val="0"/>
        </w:rPr>
        <w:t xml:space="preserve">：当更高层级（如 </w:t>
      </w:r>
      <w:r w:rsidDel="00000000" w:rsidR="00000000" w:rsidRPr="00000000">
        <w:rPr>
          <w:rFonts w:ascii="Google Sans" w:cs="Google Sans" w:eastAsia="Google Sans" w:hAnsi="Google Sans"/>
          <w:color w:val="1f1f1f"/>
        </w:rPr>
        <w:drawing>
          <wp:inline distB="19050" distT="19050" distL="19050" distR="19050">
            <wp:extent cx="479525" cy="230172"/>
            <wp:effectExtent b="0" l="0" r="0" t="0"/>
            <wp:docPr id="4"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479525" cy="230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层）的价格变动导致第 </w:t>
      </w:r>
      <w:r w:rsidDel="00000000" w:rsidR="00000000" w:rsidRPr="00000000">
        <w:rPr>
          <w:rFonts w:ascii="Google Sans" w:cs="Google Sans" w:eastAsia="Google Sans" w:hAnsi="Google Sans"/>
          <w:color w:val="1f1f1f"/>
        </w:rPr>
        <w:drawing>
          <wp:inline distB="19050" distT="19050" distL="19050" distR="19050">
            <wp:extent cx="161925" cy="228600"/>
            <wp:effectExtent b="0" l="0" r="0" t="0"/>
            <wp:docPr id="5"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层承接了原有的 </w:t>
      </w:r>
      <w:r w:rsidDel="00000000" w:rsidR="00000000" w:rsidRPr="00000000">
        <w:rPr>
          <w:rFonts w:ascii="Google Sans" w:cs="Google Sans" w:eastAsia="Google Sans" w:hAnsi="Google Sans"/>
          <w:color w:val="1f1f1f"/>
        </w:rPr>
        <w:drawing>
          <wp:inline distB="19050" distT="19050" distL="19050" distR="19050">
            <wp:extent cx="479525" cy="230172"/>
            <wp:effectExtent b="0" l="0" r="0" t="0"/>
            <wp:docPr id="6"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479525" cy="230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层或 </w:t>
      </w:r>
      <w:r w:rsidDel="00000000" w:rsidR="00000000" w:rsidRPr="00000000">
        <w:rPr>
          <w:rFonts w:ascii="Google Sans" w:cs="Google Sans" w:eastAsia="Google Sans" w:hAnsi="Google Sans"/>
          <w:color w:val="1f1f1f"/>
        </w:rPr>
        <w:drawing>
          <wp:inline distB="19050" distT="19050" distL="19050" distR="19050">
            <wp:extent cx="479525" cy="230172"/>
            <wp:effectExtent b="0" l="0" r="0" t="0"/>
            <wp:docPr id="7"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479525" cy="230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层的队列时，必须通过追踪队列的物理移动而非单纯的价格层级来计算净流入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撤单与消耗</w:t>
      </w:r>
      <w:r w:rsidDel="00000000" w:rsidR="00000000" w:rsidRPr="00000000">
        <w:rPr>
          <w:rFonts w:ascii="Google Sans" w:cs="Google Sans" w:eastAsia="Google Sans" w:hAnsi="Google Sans"/>
          <w:color w:val="1f1f1f"/>
          <w:rtl w:val="0"/>
        </w:rPr>
        <w:t xml:space="preserve">：若第 </w:t>
      </w:r>
      <w:r w:rsidDel="00000000" w:rsidR="00000000" w:rsidRPr="00000000">
        <w:rPr>
          <w:rFonts w:ascii="Google Sans" w:cs="Google Sans" w:eastAsia="Google Sans" w:hAnsi="Google Sans"/>
          <w:color w:val="1f1f1f"/>
        </w:rPr>
        <w:drawing>
          <wp:inline distB="19050" distT="19050" distL="19050" distR="19050">
            <wp:extent cx="161925" cy="228600"/>
            <wp:effectExtent b="0" l="0" r="0" t="0"/>
            <wp:docPr id="8"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层的挂单被完全消耗或撤单，导致其价格层级发生位移，此时需将原规模标记为流出。</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向量表征与深度归一化</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最终，MLOFI 被表述为一个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9"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维向量 </w:t>
      </w:r>
      <w:r w:rsidDel="00000000" w:rsidR="00000000" w:rsidRPr="00000000">
        <w:rPr>
          <w:rFonts w:ascii="Google Sans" w:cs="Google Sans" w:eastAsia="Google Sans" w:hAnsi="Google Sans"/>
          <w:color w:val="1f1f1f"/>
        </w:rPr>
        <w:drawing>
          <wp:inline distB="19050" distT="19050" distL="19050" distR="19050">
            <wp:extent cx="2795511" cy="228984"/>
            <wp:effectExtent b="0" l="0" r="0" t="0"/>
            <wp:docPr id="10"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2795511" cy="228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。为了消除不同资产间以及同资产不同时段规模差异的影响，通常需要使用窗口内的平均总深度 </w:t>
      </w:r>
      <w:r w:rsidDel="00000000" w:rsidR="00000000" w:rsidRPr="00000000">
        <w:rPr>
          <w:rFonts w:ascii="Google Sans" w:cs="Google Sans" w:eastAsia="Google Sans" w:hAnsi="Google Sans"/>
          <w:color w:val="1f1f1f"/>
        </w:rPr>
        <w:drawing>
          <wp:inline distB="19050" distT="19050" distL="19050" distR="19050">
            <wp:extent cx="145926" cy="233481"/>
            <wp:effectExtent b="0" l="0" r="0" t="0"/>
            <wp:docPr id="3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145926" cy="233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进行缩放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08675" cy="867261"/>
            <wp:effectExtent b="0" l="0" r="0" t="0"/>
            <wp:docPr id="34"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5708675" cy="86726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这种归一化构建使得 MLOFI 成为一个无量纲的强度指标，极大地增强了其在跨资产统计学习模型中的泛化能力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集成 OFI（Integrated OFI）与降维技术</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多级 OFI 虽然包含更多信息，但其向量维度较高且各维度之间存在极强的共线性（相关性通常高于 75%），直接输入预测模型易导致参数估计不稳定及过拟合现象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。因此，通过降维技术构建单一的“集成 OFI”变量成为业界的主流做法。</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主成分分析（PCA）降维方案</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实证研究发现，前 10 级 OFI 的变动具有高度的同步性。在对 50 只标的资产的测试中，第一主成分（PC1）平均能解释超过 89% 的总体方差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。集成 OFI 的数学构建如下：</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计算前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35"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层 OFI 向量的协方差矩阵。</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提取第一特征向量 </w:t>
      </w:r>
      <w:r w:rsidDel="00000000" w:rsidR="00000000" w:rsidRPr="00000000">
        <w:rPr>
          <w:rFonts w:ascii="Google Sans" w:cs="Google Sans" w:eastAsia="Google Sans" w:hAnsi="Google Sans"/>
          <w:color w:val="1f1f1f"/>
        </w:rPr>
        <w:drawing>
          <wp:inline distB="19050" distT="19050" distL="19050" distR="19050">
            <wp:extent cx="227037" cy="227037"/>
            <wp:effectExtent b="0" l="0" r="0" t="0"/>
            <wp:docPr id="36"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227037" cy="227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对 </w:t>
      </w:r>
      <w:r w:rsidDel="00000000" w:rsidR="00000000" w:rsidRPr="00000000">
        <w:rPr>
          <w:rFonts w:ascii="Google Sans" w:cs="Google Sans" w:eastAsia="Google Sans" w:hAnsi="Google Sans"/>
          <w:color w:val="1f1f1f"/>
        </w:rPr>
        <w:drawing>
          <wp:inline distB="19050" distT="19050" distL="19050" distR="19050">
            <wp:extent cx="227037" cy="227037"/>
            <wp:effectExtent b="0" l="0" r="0" t="0"/>
            <wp:docPr id="37"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227037" cy="227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进行 </w:t>
      </w:r>
      <w:r w:rsidDel="00000000" w:rsidR="00000000" w:rsidRPr="00000000">
        <w:rPr>
          <w:rFonts w:ascii="Google Sans" w:cs="Google Sans" w:eastAsia="Google Sans" w:hAnsi="Google Sans"/>
          <w:color w:val="1f1f1f"/>
        </w:rPr>
        <w:drawing>
          <wp:inline distB="19050" distT="19050" distL="19050" distR="19050">
            <wp:extent cx="128736" cy="220690"/>
            <wp:effectExtent b="0" l="0" r="0" t="0"/>
            <wp:docPr id="38"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128736" cy="2206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范数归一化处理，确保各层级权重之和为 1：</w:t>
      </w:r>
      <w:r w:rsidDel="00000000" w:rsidR="00000000" w:rsidRPr="00000000">
        <w:rPr>
          <w:rFonts w:ascii="Google Sans" w:cs="Google Sans" w:eastAsia="Google Sans" w:hAnsi="Google Sans"/>
          <w:color w:val="1f1f1f"/>
        </w:rPr>
        <w:drawing>
          <wp:inline distB="19050" distT="19050" distL="19050" distR="19050">
            <wp:extent cx="864171" cy="265899"/>
            <wp:effectExtent b="0" l="0" r="0" t="0"/>
            <wp:docPr id="39"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864171" cy="2658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最终集成变量定义为向量投影：</w:t>
      </w:r>
      <w:r w:rsidDel="00000000" w:rsidR="00000000" w:rsidRPr="00000000">
        <w:rPr>
          <w:rFonts w:ascii="Google Sans" w:cs="Google Sans" w:eastAsia="Google Sans" w:hAnsi="Google Sans"/>
          <w:color w:val="1f1f1f"/>
        </w:rPr>
        <w:drawing>
          <wp:inline distB="19050" distT="19050" distL="19050" distR="19050">
            <wp:extent cx="1403147" cy="238630"/>
            <wp:effectExtent b="0" l="0" r="0" t="0"/>
            <wp:docPr id="40"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1403147" cy="2386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权重分布的微观含义</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集成 OFI 的权重向量 </w:t>
      </w:r>
      <w:r w:rsidDel="00000000" w:rsidR="00000000" w:rsidRPr="00000000">
        <w:rPr>
          <w:rFonts w:ascii="Google Sans" w:cs="Google Sans" w:eastAsia="Google Sans" w:hAnsi="Google Sans"/>
          <w:color w:val="1f1f1f"/>
        </w:rPr>
        <w:drawing>
          <wp:inline distB="19050" distT="19050" distL="19050" distR="19050">
            <wp:extent cx="227037" cy="217577"/>
            <wp:effectExtent b="0" l="0" r="0" t="0"/>
            <wp:docPr id="41"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227037" cy="2175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实际上反映了不同深度订单流对价格发现的贡献密度。通常情况下，Level-1 占据最大权重，但随着市场波动加剧，深层权重的占比会显著提升，这反映了知情交易者在深层布置订单以规避即时价格冲击的策略倾向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下表对比了不同维度 OFI 构建方法的效能：</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构建方法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数学形式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优势</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局限性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Best-level OFI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标量累加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逻辑简单，计算开销极低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丢失深层流动性意图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 MLOFI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98983" cy="227409"/>
                  <wp:effectExtent b="0" l="0" r="0" t="0"/>
                  <wp:docPr id="42"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维向量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信息最完整，捕捉层级互动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维度灾难，共线性严重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Integrated PCA-OFI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投影标量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鲁棒性强，解释力高，过滤噪声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权重计算依赖历史数据窗口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Layered Weighted OFI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预设衰减权重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无需动态校准，符合物理直觉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无法自适应市场状态切换</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高级权重变体与非线性特征提取</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在基础的线性构建之上，研究者通过引入非线性算子和时间衰减函数，进一步挖掘订单流中潜伏的高阶信号。</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非线性规模加权函数</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在微观层面，订单规模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32" name="image65.png"/>
            <a:graphic>
              <a:graphicData uri="http://schemas.openxmlformats.org/drawingml/2006/picture">
                <pic:pic>
                  <pic:nvPicPr>
                    <pic:cNvPr id="0" name="image65.png"/>
                    <pic:cNvPicPr preferRelativeResize="0"/>
                  </pic:nvPicPr>
                  <pic:blipFill>
                    <a:blip r:embed="rId51"/>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对价格的冲击并非简单的线性增长。小额订单的累积往往比较大额订单更有持续性。为此，引入非线性指数 </w:t>
      </w:r>
      <w:r w:rsidDel="00000000" w:rsidR="00000000" w:rsidRPr="00000000">
        <w:rPr>
          <w:rFonts w:ascii="Google Sans" w:cs="Google Sans" w:eastAsia="Google Sans" w:hAnsi="Google Sans"/>
          <w:color w:val="1f1f1f"/>
        </w:rPr>
        <w:drawing>
          <wp:inline distB="19050" distT="19050" distL="19050" distR="19050">
            <wp:extent cx="97557" cy="234137"/>
            <wp:effectExtent b="0" l="0" r="0" t="0"/>
            <wp:docPr id="23"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97557" cy="234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对每笔订单规模进行加权构建：</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08675" cy="600412"/>
            <wp:effectExtent b="0" l="0" r="0" t="0"/>
            <wp:docPr id="24"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708675" cy="60041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139676" cy="223481"/>
            <wp:effectExtent b="0" l="0" r="0" t="0"/>
            <wp:docPr id="25"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139676" cy="223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代表交易方向。实证显示，当 </w:t>
      </w:r>
      <w:r w:rsidDel="00000000" w:rsidR="00000000" w:rsidRPr="00000000">
        <w:rPr>
          <w:rFonts w:ascii="Google Sans" w:cs="Google Sans" w:eastAsia="Google Sans" w:hAnsi="Google Sans"/>
          <w:color w:val="1f1f1f"/>
        </w:rPr>
        <w:drawing>
          <wp:inline distB="19050" distT="19050" distL="19050" distR="19050">
            <wp:extent cx="579090" cy="227839"/>
            <wp:effectExtent b="0" l="0" r="0" t="0"/>
            <wp:docPr id="26"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579090" cy="2278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时，该指标对价格的解释能力达到最优。这一发现与宏观视角的“平方根冲击定律”在数学逻辑上高度一致，证明了微观订单流不平衡是宏观冲击规律的微观动力源泉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指数衰减与记忆内核</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由于市场参与者的记忆效应随时间衰减，构建具有时间衰减特性的 OFI 能够更敏锐地捕捉即时趋势。通过在聚合过程中引入指数衰减内核 </w:t>
      </w:r>
      <w:r w:rsidDel="00000000" w:rsidR="00000000" w:rsidRPr="00000000">
        <w:rPr>
          <w:rFonts w:ascii="Google Sans" w:cs="Google Sans" w:eastAsia="Google Sans" w:hAnsi="Google Sans"/>
          <w:color w:val="1f1f1f"/>
        </w:rPr>
        <w:drawing>
          <wp:inline distB="19050" distT="19050" distL="19050" distR="19050">
            <wp:extent cx="896541" cy="228904"/>
            <wp:effectExtent b="0" l="0" r="0" t="0"/>
            <wp:docPr id="27"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896541" cy="228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，可以将 OFI 改造为一种具有平滑效应的振荡器信号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。这种构建方式在处理高频撤单（Flickering Liquidity）时表现优异，因为它能够自动降低那些迅速出现又消失的虚假流量的权重，保留具有时间持续性的真实意图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随机过程建模：霍克斯与 OU 框架下的 OFI</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为了进一步刻画订单流的动力学结构，学术界引入了点过程（Point Processes）和随机微分方程（SDE）框架，将 OFI 从静态指标提升为动态概率模型。</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霍克斯过程（Hawkes Process）的自激励建模</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订单流具有明显的“成群结队”特征。通过霍克斯过程建模，可以捕捉 OFI 的自激励属性。</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构建逻辑</w:t>
      </w:r>
      <w:r w:rsidDel="00000000" w:rsidR="00000000" w:rsidRPr="00000000">
        <w:rPr>
          <w:rFonts w:ascii="Google Sans" w:cs="Google Sans" w:eastAsia="Google Sans" w:hAnsi="Google Sans"/>
          <w:color w:val="1f1f1f"/>
          <w:rtl w:val="0"/>
        </w:rPr>
        <w:t xml:space="preserve">：定义买侧和卖侧事件的到达率为强度函数 </w:t>
      </w:r>
      <w:r w:rsidDel="00000000" w:rsidR="00000000" w:rsidRPr="00000000">
        <w:rPr>
          <w:rFonts w:ascii="Google Sans" w:cs="Google Sans" w:eastAsia="Google Sans" w:hAnsi="Google Sans"/>
          <w:color w:val="1f1f1f"/>
        </w:rPr>
        <w:drawing>
          <wp:inline distB="19050" distT="19050" distL="19050" distR="19050">
            <wp:extent cx="317600" cy="230982"/>
            <wp:effectExtent b="0" l="0" r="0" t="0"/>
            <wp:docPr id="28"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317600" cy="2309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317600" cy="230982"/>
            <wp:effectExtent b="0" l="0" r="0" t="0"/>
            <wp:docPr id="29"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317600" cy="2309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依赖于历史事件的加权累积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内核选择</w:t>
      </w:r>
      <w:r w:rsidDel="00000000" w:rsidR="00000000" w:rsidRPr="00000000">
        <w:rPr>
          <w:rFonts w:ascii="Google Sans" w:cs="Google Sans" w:eastAsia="Google Sans" w:hAnsi="Google Sans"/>
          <w:color w:val="1f1f1f"/>
          <w:rtl w:val="0"/>
        </w:rPr>
        <w:t xml:space="preserve">：使用指数之和（Sum of Exponentials）内核能够同时捕捉毫秒级的微观反应和分钟级的趋势持续性。实证表明，这种建模方式在预测未来几秒内的 OFI 分布方面显著优于简单的自回归模型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均值回归与 OU 过程在期货 OFI 中的应用</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在针对股指期货（如 CSI 300 期货）的研究中，由于期货价格与现货之间存在套利机制，其订单流往往表现出更强的均值回归特性。</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模型形式</w:t>
      </w:r>
      <w:r w:rsidDel="00000000" w:rsidR="00000000" w:rsidRPr="00000000">
        <w:rPr>
          <w:rFonts w:ascii="Google Sans" w:cs="Google Sans" w:eastAsia="Google Sans" w:hAnsi="Google Sans"/>
          <w:color w:val="1f1f1f"/>
          <w:rtl w:val="0"/>
        </w:rPr>
        <w:t xml:space="preserve">：将价格变动建模为受 OFI 驱动的 Ornstein-Uhlenbeck 过程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经济含义</w:t>
      </w:r>
      <w:r w:rsidDel="00000000" w:rsidR="00000000" w:rsidRPr="00000000">
        <w:rPr>
          <w:rFonts w:ascii="Google Sans" w:cs="Google Sans" w:eastAsia="Google Sans" w:hAnsi="Google Sans"/>
          <w:color w:val="1f1f1f"/>
          <w:rtl w:val="0"/>
        </w:rPr>
        <w:t xml:space="preserve">：在此框架下，OFI 被视为一种短期的市场冲击，其影响具有记忆性（Memory）但最终会由于流动性提供者的反向报单而回归均值。这种模型推导出的“响应比率”（Response Ratio）类似于高频领域的夏普比率，是评估高频触发策略的重要指标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跨资产与跨市场 OFI 的协同构建方法</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现代市场的显著特征是高度互联。单只资产的价格不仅取决于自身的订单流，还受到相关资产（如关联股票、股指期货、ETF）订单流的交叉冲击（Cross-impact）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跨资产冲击矩阵的数学表达</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对于包含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0"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只资产的系统，可以构建向量自回归模型或交叉影响矩阵：</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08675" cy="543230"/>
            <wp:effectExtent b="0" l="0" r="0" t="0"/>
            <wp:docPr id="31"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5708675" cy="54323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150912" cy="226368"/>
            <wp:effectExtent b="0" l="0" r="0" t="0"/>
            <wp:docPr id="21"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150912" cy="22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是一个 </w:t>
      </w:r>
      <w:r w:rsidDel="00000000" w:rsidR="00000000" w:rsidRPr="00000000">
        <w:rPr>
          <w:rFonts w:ascii="Google Sans" w:cs="Google Sans" w:eastAsia="Google Sans" w:hAnsi="Google Sans"/>
          <w:color w:val="1f1f1f"/>
        </w:rPr>
        <w:drawing>
          <wp:inline distB="19050" distT="19050" distL="19050" distR="19050">
            <wp:extent cx="561678" cy="228479"/>
            <wp:effectExtent b="0" l="0" r="0" t="0"/>
            <wp:docPr id="22" name="image23.png"/>
            <a:graphic>
              <a:graphicData uri="http://schemas.openxmlformats.org/drawingml/2006/picture">
                <pic:pic>
                  <pic:nvPicPr>
                    <pic:cNvPr id="0" name="image23.png"/>
                    <pic:cNvPicPr preferRelativeResize="0"/>
                  </pic:nvPicPr>
                  <pic:blipFill>
                    <a:blip r:embed="rId61"/>
                    <a:srcRect b="0" l="0" r="0" t="0"/>
                    <a:stretch>
                      <a:fillRect/>
                    </a:stretch>
                  </pic:blipFill>
                  <pic:spPr>
                    <a:xfrm>
                      <a:off x="0" y="0"/>
                      <a:ext cx="561678" cy="228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的冲击矩阵。对角线元素 </w:t>
      </w:r>
      <w:r w:rsidDel="00000000" w:rsidR="00000000" w:rsidRPr="00000000">
        <w:rPr>
          <w:rFonts w:ascii="Google Sans" w:cs="Google Sans" w:eastAsia="Google Sans" w:hAnsi="Google Sans"/>
          <w:color w:val="1f1f1f"/>
        </w:rPr>
        <w:drawing>
          <wp:inline distB="19050" distT="19050" distL="19050" distR="19050">
            <wp:extent cx="202629" cy="231576"/>
            <wp:effectExtent b="0" l="0" r="0" t="0"/>
            <wp:docPr id="49"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202629" cy="2315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代表自冲击，非对角线元素 </w:t>
      </w:r>
      <w:r w:rsidDel="00000000" w:rsidR="00000000" w:rsidRPr="00000000">
        <w:rPr>
          <w:rFonts w:ascii="Google Sans" w:cs="Google Sans" w:eastAsia="Google Sans" w:hAnsi="Google Sans"/>
          <w:color w:val="1f1f1f"/>
        </w:rPr>
        <w:drawing>
          <wp:inline distB="19050" distT="19050" distL="19050" distR="19050">
            <wp:extent cx="218628" cy="228134"/>
            <wp:effectExtent b="0" l="0" r="0" t="0"/>
            <wp:docPr id="50" name="image30.png"/>
            <a:graphic>
              <a:graphicData uri="http://schemas.openxmlformats.org/drawingml/2006/picture">
                <pic:pic>
                  <pic:nvPicPr>
                    <pic:cNvPr id="0" name="image30.png"/>
                    <pic:cNvPicPr preferRelativeResize="0"/>
                  </pic:nvPicPr>
                  <pic:blipFill>
                    <a:blip r:embed="rId63"/>
                    <a:srcRect b="0" l="0" r="0" t="0"/>
                    <a:stretch>
                      <a:fillRect/>
                    </a:stretch>
                  </pic:blipFill>
                  <pic:spPr>
                    <a:xfrm>
                      <a:off x="0" y="0"/>
                      <a:ext cx="218628" cy="228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量化了资产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51"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的订单流失衡对资产 </w:t>
      </w:r>
      <w:r w:rsidDel="00000000" w:rsidR="00000000" w:rsidRPr="00000000">
        <w:rPr>
          <w:rFonts w:ascii="Google Sans" w:cs="Google Sans" w:eastAsia="Google Sans" w:hAnsi="Google Sans"/>
          <w:color w:val="1f1f1f"/>
        </w:rPr>
        <w:drawing>
          <wp:inline distB="19050" distT="19050" distL="19050" distR="19050">
            <wp:extent cx="63624" cy="218140"/>
            <wp:effectExtent b="0" l="0" r="0" t="0"/>
            <wp:docPr id="52" name="image62.png"/>
            <a:graphic>
              <a:graphicData uri="http://schemas.openxmlformats.org/drawingml/2006/picture">
                <pic:pic>
                  <pic:nvPicPr>
                    <pic:cNvPr id="0" name="image62.png"/>
                    <pic:cNvPicPr preferRelativeResize="0"/>
                  </pic:nvPicPr>
                  <pic:blipFill>
                    <a:blip r:embed="rId65"/>
                    <a:srcRect b="0" l="0" r="0" t="0"/>
                    <a:stretch>
                      <a:fillRect/>
                    </a:stretch>
                  </pic:blipFill>
                  <pic:spPr>
                    <a:xfrm>
                      <a:off x="0" y="0"/>
                      <a:ext cx="63624" cy="218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价格的影响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冗余性发现与信息集成</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一个关键的洞察是：</w:t>
      </w:r>
      <w:r w:rsidDel="00000000" w:rsidR="00000000" w:rsidRPr="00000000">
        <w:rPr>
          <w:rFonts w:ascii="Google Sans" w:cs="Google Sans" w:eastAsia="Google Sans" w:hAnsi="Google Sans"/>
          <w:b w:val="1"/>
          <w:bCs w:val="1"/>
          <w:color w:val="1f1f1f"/>
          <w:rtl w:val="0"/>
        </w:rPr>
        <w:t xml:space="preserve">一旦整合了单只资产的多级订单流（MLOFI），跨资产的同步（Contemporaneous）影响项往往会失去统计显著性</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。这表明单只股票的深层订单簿已经有效地吸收并反映了来自市场整体或关联资产的即时信息流。然而，在</w:t>
      </w:r>
      <w:r w:rsidDel="00000000" w:rsidR="00000000" w:rsidRPr="00000000">
        <w:rPr>
          <w:rFonts w:ascii="Google Sans" w:cs="Google Sans" w:eastAsia="Google Sans" w:hAnsi="Google Sans"/>
          <w:b w:val="1"/>
          <w:bCs w:val="1"/>
          <w:color w:val="1f1f1f"/>
          <w:rtl w:val="0"/>
        </w:rPr>
        <w:t xml:space="preserve">滞后项</w:t>
      </w:r>
      <w:r w:rsidDel="00000000" w:rsidR="00000000" w:rsidRPr="00000000">
        <w:rPr>
          <w:rFonts w:ascii="Google Sans" w:cs="Google Sans" w:eastAsia="Google Sans" w:hAnsi="Google Sans"/>
          <w:color w:val="1f1f1f"/>
          <w:rtl w:val="0"/>
        </w:rPr>
        <w:t xml:space="preserve">（Lagged Cross-impact）方面，跨资产 OFI 依然具有强大的预测力，尤其是在领先-滞后关系明显的期货与现货市场之间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稀疏性处理：LASSO 在跨市场构建中的作用</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在处理多达数百只资产的跨市场模型时，系数矩阵 </w:t>
      </w:r>
      <w:r w:rsidDel="00000000" w:rsidR="00000000" w:rsidRPr="00000000">
        <w:rPr>
          <w:rFonts w:ascii="Google Sans" w:cs="Google Sans" w:eastAsia="Google Sans" w:hAnsi="Google Sans"/>
          <w:color w:val="1f1f1f"/>
        </w:rPr>
        <w:drawing>
          <wp:inline distB="19050" distT="19050" distL="19050" distR="19050">
            <wp:extent cx="150912" cy="226368"/>
            <wp:effectExtent b="0" l="0" r="0" t="0"/>
            <wp:docPr id="53"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150912" cy="22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的维度极高。通过引入 </w:t>
      </w:r>
      <w:r w:rsidDel="00000000" w:rsidR="00000000" w:rsidRPr="00000000">
        <w:rPr>
          <w:rFonts w:ascii="Google Sans" w:cs="Google Sans" w:eastAsia="Google Sans" w:hAnsi="Google Sans"/>
          <w:color w:val="1f1f1f"/>
        </w:rPr>
        <w:drawing>
          <wp:inline distB="19050" distT="19050" distL="19050" distR="19050">
            <wp:extent cx="128736" cy="220690"/>
            <wp:effectExtent b="0" l="0" r="0" t="0"/>
            <wp:docPr id="54"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128736" cy="2206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正则化（LASSO），可以识别出真正具有经济关联的少数交叉项。研究发现，跨市场影响主要集中在同行业领头羊与跟随者之间，或者指数期货与高权重成分股之间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结构化过滤与噪声管理：现代微观环境下的挑战</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在高频环境下，原始 OFI 信号中包含了大量由延迟套利算法产生的“噪音更新”。如果不对这些更新进行数学过滤，OFI 的预测信号将被稀释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三大过滤机制对比</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过滤维度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数学实现逻辑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对信号清晰度的影响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存续时间 (Lifetime)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剔除存续时间 </w:t>
            </w:r>
            <w:r w:rsidDel="00000000" w:rsidR="00000000" w:rsidRPr="00000000">
              <w:rPr>
                <w:rFonts w:ascii="Google Sans" w:cs="Google Sans" w:eastAsia="Google Sans" w:hAnsi="Google Sans"/>
                <w:color w:val="1f1f1f"/>
              </w:rPr>
              <w:drawing>
                <wp:inline distB="19050" distT="19050" distL="19050" distR="19050">
                  <wp:extent cx="605433" cy="217577"/>
                  <wp:effectExtent b="0" l="0" r="0" t="0"/>
                  <wp:docPr id="55"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605433" cy="2175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的订单贡献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显著减少闪烁单干扰，提升阿尔法纯度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更新计数 (Update Count)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仅在特定价位累积 </w:t>
            </w:r>
            <w:r w:rsidDel="00000000" w:rsidR="00000000" w:rsidRPr="00000000">
              <w:rPr>
                <w:rFonts w:ascii="Google Sans" w:cs="Google Sans" w:eastAsia="Google Sans" w:hAnsi="Google Sans"/>
                <w:color w:val="1f1f1f"/>
              </w:rPr>
              <w:drawing>
                <wp:inline distB="19050" distT="19050" distL="19050" distR="19050">
                  <wp:extent cx="169738" cy="226318"/>
                  <wp:effectExtent b="0" l="0" r="0" t="0"/>
                  <wp:docPr id="56" name="image64.png"/>
                  <a:graphic>
                    <a:graphicData uri="http://schemas.openxmlformats.org/drawingml/2006/picture">
                      <pic:pic>
                        <pic:nvPicPr>
                          <pic:cNvPr id="0" name="image64.png"/>
                          <pic:cNvPicPr preferRelativeResize="0"/>
                        </pic:nvPicPr>
                        <pic:blipFill>
                          <a:blip r:embed="rId67"/>
                          <a:srcRect b="0" l="0" r="0" t="0"/>
                          <a:stretch>
                            <a:fillRect/>
                          </a:stretch>
                        </pic:blipFill>
                        <pic:spPr>
                          <a:xfrm>
                            <a:off x="0" y="0"/>
                            <a:ext cx="169738" cy="226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次更新后计入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过滤偶发性的小额散户报单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延迟阈值 (Inter-delay)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排除时间间隔极短的连续批量更新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识别并过滤高频做市商的非方向性补货行为</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实证结果显示，结构化过滤虽然会略微降低模型的 </w:t>
      </w:r>
      <w:r w:rsidDel="00000000" w:rsidR="00000000" w:rsidRPr="00000000">
        <w:rPr>
          <w:rFonts w:ascii="Google Sans" w:cs="Google Sans" w:eastAsia="Google Sans" w:hAnsi="Google Sans"/>
          <w:color w:val="1f1f1f"/>
        </w:rPr>
        <w:drawing>
          <wp:inline distB="19050" distT="19050" distL="19050" distR="19050">
            <wp:extent cx="215131" cy="224484"/>
            <wp:effectExtent b="0" l="0" r="0" t="0"/>
            <wp:docPr id="46"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215131" cy="2244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（由于样本量减少），但能显著提升预测信号的因果强度（Causal Excitation Strength），使模型在实盘执行中的滑点预测更为精准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物理学视角：动量、动能与活跃深度框架下的 OFI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最新的研究尝试脱离纯统计范式，借鉴统计物理学的粒子动力学来重新构建 OFI 因子，将其视为受外力驱动的物理系统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活跃深度（Active Depth）的测算</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物理模型首先定义“活跃区域”。不同于固定取前 10 档，该方法通过计算订单撤销/提交与中价变动之间的相关性峰值，动态确定一个最优的深度阈值 </w:t>
      </w:r>
      <w:r w:rsidDel="00000000" w:rsidR="00000000" w:rsidRPr="00000000">
        <w:rPr>
          <w:rFonts w:ascii="Google Sans" w:cs="Google Sans" w:eastAsia="Google Sans" w:hAnsi="Google Sans"/>
          <w:color w:val="1f1f1f"/>
        </w:rPr>
        <w:drawing>
          <wp:inline distB="19050" distT="19050" distL="19050" distR="19050">
            <wp:extent cx="118690" cy="237380"/>
            <wp:effectExtent b="0" l="0" r="0" t="0"/>
            <wp:docPr id="47" name="image34.png"/>
            <a:graphic>
              <a:graphicData uri="http://schemas.openxmlformats.org/drawingml/2006/picture">
                <pic:pic>
                  <pic:nvPicPr>
                    <pic:cNvPr id="0" name="image34.png"/>
                    <pic:cNvPicPr preferRelativeResize="0"/>
                  </pic:nvPicPr>
                  <pic:blipFill>
                    <a:blip r:embed="rId68"/>
                    <a:srcRect b="0" l="0" r="0" t="0"/>
                    <a:stretch>
                      <a:fillRect/>
                    </a:stretch>
                  </pic:blipFill>
                  <pic:spPr>
                    <a:xfrm>
                      <a:off x="0" y="0"/>
                      <a:ext cx="118690" cy="237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实证差异</w:t>
      </w:r>
      <w:r w:rsidDel="00000000" w:rsidR="00000000" w:rsidRPr="00000000">
        <w:rPr>
          <w:rFonts w:ascii="Google Sans" w:cs="Google Sans" w:eastAsia="Google Sans" w:hAnsi="Google Sans"/>
          <w:color w:val="1f1f1f"/>
          <w:rtl w:val="0"/>
        </w:rPr>
        <w:t xml:space="preserve">：在比特币市场，由于其最小价格变动单位相对价格极小，活跃深度往往延伸至较深层级（如 50 档）；而对于高价低波动股票，活跃深度可能仅局限于前 2 档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物理指标的公式化构建</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基于活跃深度，可以推导出一系列具有明确物理含义的微观指标：</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订单流速度 (Velocity)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558924" cy="227359"/>
            <wp:effectExtent b="0" l="0" r="0" t="0"/>
            <wp:docPr id="48"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558924" cy="2273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，衡量价格在单位订单流驱动下的位移效率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订单流质量 (Mass)</w:t>
      </w:r>
      <w:r w:rsidDel="00000000" w:rsidR="00000000" w:rsidRPr="00000000">
        <w:rPr>
          <w:rFonts w:ascii="Google Sans" w:cs="Google Sans" w:eastAsia="Google Sans" w:hAnsi="Google Sans"/>
          <w:color w:val="1f1f1f"/>
          <w:rtl w:val="0"/>
        </w:rPr>
        <w:t xml:space="preserve">：活跃区域内的挂单规模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43" name="image65.png"/>
            <a:graphic>
              <a:graphicData uri="http://schemas.openxmlformats.org/drawingml/2006/picture">
                <pic:pic>
                  <pic:nvPicPr>
                    <pic:cNvPr id="0" name="image65.png"/>
                    <pic:cNvPicPr preferRelativeResize="0"/>
                  </pic:nvPicPr>
                  <pic:blipFill>
                    <a:blip r:embed="rId51"/>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市场动量 (Momentum)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1082650" cy="237423"/>
            <wp:effectExtent b="0" l="0" r="0" t="0"/>
            <wp:docPr id="44"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1082650" cy="237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，捕捉订单流的方向性惯性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市场动能 (Kinetic Energy)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1196426" cy="237386"/>
            <wp:effectExtent b="0" l="0" r="0" t="0"/>
            <wp:docPr id="45" name="image46.png"/>
            <a:graphic>
              <a:graphicData uri="http://schemas.openxmlformats.org/drawingml/2006/picture">
                <pic:pic>
                  <pic:nvPicPr>
                    <pic:cNvPr id="0" name="image46.png"/>
                    <pic:cNvPicPr preferRelativeResize="0"/>
                  </pic:nvPicPr>
                  <pic:blipFill>
                    <a:blip r:embed="rId71"/>
                    <a:srcRect b="0" l="0" r="0" t="0"/>
                    <a:stretch>
                      <a:fillRect/>
                    </a:stretch>
                  </pic:blipFill>
                  <pic:spPr>
                    <a:xfrm>
                      <a:off x="0" y="0"/>
                      <a:ext cx="1196426" cy="237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，其数值大小与瞬时波动率高度正相关，是预测尾部风险的重要前导指标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这种物理视角下的构建方法在预测波动率和极端价格跳跃（如比特币闪崩）方面展现出比传统线性 OFI 更好的前瞻性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神经网络驱动的特征工程与自适应权重</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在量化交易的最新前沿，OFI 因子的构建正从人工定义转向自适应学习。通过深度学习架构，模型可以自动学习不同市场状态下的最优聚合逻辑。</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卷积与注意力机制的应用</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卷积层 (CNN)</w:t>
      </w:r>
      <w:r w:rsidDel="00000000" w:rsidR="00000000" w:rsidRPr="00000000">
        <w:rPr>
          <w:rFonts w:ascii="Google Sans" w:cs="Google Sans" w:eastAsia="Google Sans" w:hAnsi="Google Sans"/>
          <w:color w:val="1f1f1f"/>
          <w:rtl w:val="0"/>
        </w:rPr>
        <w:t xml:space="preserve">：将多级订单簿的状态序列视为二维图像，提取跨层级的空间特征。这种方法能识别出“墙单消失”或“深度偏移”等复杂的视觉化模式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注意力权重 (Attention)</w:t>
      </w:r>
      <w:r w:rsidDel="00000000" w:rsidR="00000000" w:rsidRPr="00000000">
        <w:rPr>
          <w:rFonts w:ascii="Google Sans" w:cs="Google Sans" w:eastAsia="Google Sans" w:hAnsi="Google Sans"/>
          <w:color w:val="1f1f1f"/>
          <w:rtl w:val="0"/>
        </w:rPr>
        <w:t xml:space="preserve">：引入 Transformer 架构中的注意力机制，动态分配不同历史时刻及不同价格层级的权重。不同于 PCA 的静态权重，注意力权重能识别出当前的买卖压力是否主要集中在 Level-1 还是深层，从而在波动剧烈时自动将模型视角切换至更具防御性的深层数据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神经隐马尔可夫模型（Neural HMM）</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通过将递归神经网络（RNN）与隐马尔可夫模型结合，可以构建出能识别市场制度切换（Regime Switching）的 OFI 指标。该模型在不同的市场制度（如流动性枯竭、趋势上涨、区间震荡）下会自动调整 OFI 因子的参数，从而解决传统线性模型在极端行情下失效的问题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结论：订单流不平衡因子的构建范式总结与展望</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订单流不平衡（OFI）因子的数学构建是一个从简单标量计算到复杂多维建模的过程。其核心价值在于它捕捉了市场最本质的能量来源——每一笔订单带来的流动性边界变动。</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通过本次深度调研，我们可以将 OFI 构建的演进路径归纳为以下三个阶段：</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线性基石阶段</w:t>
      </w:r>
      <w:r w:rsidDel="00000000" w:rsidR="00000000" w:rsidRPr="00000000">
        <w:rPr>
          <w:rFonts w:ascii="Google Sans" w:cs="Google Sans" w:eastAsia="Google Sans" w:hAnsi="Google Sans"/>
          <w:color w:val="1f1f1f"/>
          <w:rtl w:val="0"/>
        </w:rPr>
        <w:t xml:space="preserve">：以 Rama Cont 的 Level-1 离散事件映射为核心，确立了 OFI 与价格冲击之间的倒数深度关系。这一阶段的公式为基础执行策略提供了坚实的微观理论支撑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多维集成阶段</w:t>
      </w:r>
      <w:r w:rsidDel="00000000" w:rsidR="00000000" w:rsidRPr="00000000">
        <w:rPr>
          <w:rFonts w:ascii="Google Sans" w:cs="Google Sans" w:eastAsia="Google Sans" w:hAnsi="Google Sans"/>
          <w:color w:val="1f1f1f"/>
          <w:rtl w:val="0"/>
        </w:rPr>
        <w:t xml:space="preserve">：通过向量化 MLOFI 和 PCA 降维技术，将整个订单簿的深度信息压缩为高信噪比的集成因子，成功解决了深层流动性意图的提取难题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自适应与物理建模阶段</w:t>
      </w:r>
      <w:r w:rsidDel="00000000" w:rsidR="00000000" w:rsidRPr="00000000">
        <w:rPr>
          <w:rFonts w:ascii="Google Sans" w:cs="Google Sans" w:eastAsia="Google Sans" w:hAnsi="Google Sans"/>
          <w:color w:val="1f1f1f"/>
          <w:rtl w:val="0"/>
        </w:rPr>
        <w:t xml:space="preserve">：引入非线性加权、霍克斯过程、物理动能指标以及神经网络注意力机制，使 OFI 能够捕捉非线性冲击、自激励效应和跨资产的动态反馈。这一阶段的构建方法正逐渐成为头部对冲基金和高频做市商的核心竞争力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未来 OFI 因子的发展将更深地嵌入到跨市场协同与大规模机器学习框架中。随着算力的提升，实时计算具有千级资产维度、多级深度并包含复杂时间衰减内核的 OFI 向量将成为可能。对于专业投资者而言，理解并掌握这些数学构建方法，是深入洞察现代电子交易市场微观真相的必经之路。</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Stochastic Models of Limit Order Markets Arseniy Kukanov - Columbia Academic Commons, accessed April 13, 2026, </w:t>
      </w:r>
      <w:hyperlink r:id="rId72">
        <w:r w:rsidDel="00000000" w:rsidR="00000000" w:rsidRPr="00000000">
          <w:rPr>
            <w:rFonts w:ascii="Google Sans" w:cs="Google Sans" w:eastAsia="Google Sans" w:hAnsi="Google Sans"/>
            <w:color w:val="0000ee"/>
            <w:sz w:val="24"/>
            <w:szCs w:val="24"/>
            <w:u w:val="single"/>
            <w:rtl w:val="0"/>
          </w:rPr>
          <w:t xml:space="preserve">https://academiccommons.columbia.edu/doi/10.7916/D8P84K5S/download</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Order Flow Imbalance Models? - Cube Exchange, accessed April 13, 2026, </w:t>
      </w:r>
      <w:hyperlink r:id="rId73">
        <w:r w:rsidDel="00000000" w:rsidR="00000000" w:rsidRPr="00000000">
          <w:rPr>
            <w:rFonts w:ascii="Google Sans" w:cs="Google Sans" w:eastAsia="Google Sans" w:hAnsi="Google Sans"/>
            <w:color w:val="0000ee"/>
            <w:sz w:val="24"/>
            <w:szCs w:val="24"/>
            <w:u w:val="single"/>
            <w:rtl w:val="0"/>
          </w:rPr>
          <w:t xml:space="preserve">https://www.cube.exchange/what-is/order-flow-imbalance-models</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Book Filtration and Directional Signal Extraction at High Frequency - arXiv, accessed April 13, 2026, </w:t>
      </w:r>
      <w:hyperlink r:id="rId74">
        <w:r w:rsidDel="00000000" w:rsidR="00000000" w:rsidRPr="00000000">
          <w:rPr>
            <w:rFonts w:ascii="Google Sans" w:cs="Google Sans" w:eastAsia="Google Sans" w:hAnsi="Google Sans"/>
            <w:color w:val="0000ee"/>
            <w:sz w:val="24"/>
            <w:szCs w:val="24"/>
            <w:u w:val="single"/>
            <w:rtl w:val="0"/>
          </w:rPr>
          <w:t xml:space="preserve">https://arxiv.org/html/2507.22712v1</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Multi-Level Order-Flow Imbalance (MLOFI) - Emergent Mind, accessed April 13, 2026, </w:t>
      </w:r>
      <w:hyperlink r:id="rId75">
        <w:r w:rsidDel="00000000" w:rsidR="00000000" w:rsidRPr="00000000">
          <w:rPr>
            <w:rFonts w:ascii="Google Sans" w:cs="Google Sans" w:eastAsia="Google Sans" w:hAnsi="Google Sans"/>
            <w:color w:val="0000ee"/>
            <w:sz w:val="24"/>
            <w:szCs w:val="24"/>
            <w:u w:val="single"/>
            <w:rtl w:val="0"/>
          </w:rPr>
          <w:t xml:space="preserve">https://www.emergentmind.com/topics/order-flow-imbalance-mlofi</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Book Filtration and Directional Signal Extraction at High Frequency - ResearchGate, accessed April 13, 2026,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https://www.researchgate.net/publication/394121299_Order_Book_Filtration_and_Directional_Signal_Extraction_at_High_Frequency</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Price Impact Model Overview - Emergent Mind, accessed April 13, 2026, </w:t>
      </w:r>
      <w:hyperlink r:id="rId77">
        <w:r w:rsidDel="00000000" w:rsidR="00000000" w:rsidRPr="00000000">
          <w:rPr>
            <w:rFonts w:ascii="Google Sans" w:cs="Google Sans" w:eastAsia="Google Sans" w:hAnsi="Google Sans"/>
            <w:color w:val="0000ee"/>
            <w:sz w:val="24"/>
            <w:szCs w:val="24"/>
            <w:u w:val="single"/>
            <w:rtl w:val="0"/>
          </w:rPr>
          <w:t xml:space="preserve">https://www.emergentmind.com/topics/linear-price-impact-model</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Cross-impact of order flow imbalance in equity markets - Taylor &amp; Francis, accessed April 13, 2026, </w:t>
      </w:r>
      <w:hyperlink r:id="rId78">
        <w:r w:rsidDel="00000000" w:rsidR="00000000" w:rsidRPr="00000000">
          <w:rPr>
            <w:rFonts w:ascii="Google Sans" w:cs="Google Sans" w:eastAsia="Google Sans" w:hAnsi="Google Sans"/>
            <w:color w:val="0000ee"/>
            <w:sz w:val="24"/>
            <w:szCs w:val="24"/>
            <w:u w:val="single"/>
            <w:rtl w:val="0"/>
          </w:rPr>
          <w:t xml:space="preserve">https://www.tandfonline.com/doi/full/10.1080/14697688.2023.2236159</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Cross-impact of order flow imbalance in equity ... - Taylor &amp; Francis, accessed April 13, 2026, </w:t>
      </w:r>
      <w:hyperlink r:id="rId79">
        <w:r w:rsidDel="00000000" w:rsidR="00000000" w:rsidRPr="00000000">
          <w:rPr>
            <w:rFonts w:ascii="Google Sans" w:cs="Google Sans" w:eastAsia="Google Sans" w:hAnsi="Google Sans"/>
            <w:color w:val="0000ee"/>
            <w:sz w:val="24"/>
            <w:szCs w:val="24"/>
            <w:u w:val="single"/>
            <w:rtl w:val="0"/>
          </w:rPr>
          <w:t xml:space="preserve">https://www.tandfonline.com/doi/pdf/10.1080/14697688.2023.2236159</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Mathematical Execution Behind Prediction Market Alpha: How Quants Extract Edge from Binary Contracts - Navnoor Bawa, accessed April 13, 2026, </w:t>
      </w:r>
      <w:hyperlink r:id="rId80">
        <w:r w:rsidDel="00000000" w:rsidR="00000000" w:rsidRPr="00000000">
          <w:rPr>
            <w:rFonts w:ascii="Google Sans" w:cs="Google Sans" w:eastAsia="Google Sans" w:hAnsi="Google Sans"/>
            <w:color w:val="0000ee"/>
            <w:sz w:val="24"/>
            <w:szCs w:val="24"/>
            <w:u w:val="single"/>
            <w:rtl w:val="0"/>
          </w:rPr>
          <w:t xml:space="preserve">https://navnoorbawa.substack.com/p/the-mathematical-execution-behind</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 Impact of Order Flow Imbalance | PDF | Volatility (Finance ..., accessed April 13, 2026, </w:t>
      </w:r>
      <w:hyperlink r:id="rId81">
        <w:r w:rsidDel="00000000" w:rsidR="00000000" w:rsidRPr="00000000">
          <w:rPr>
            <w:rFonts w:ascii="Google Sans" w:cs="Google Sans" w:eastAsia="Google Sans" w:hAnsi="Google Sans"/>
            <w:color w:val="0000ee"/>
            <w:sz w:val="24"/>
            <w:szCs w:val="24"/>
            <w:u w:val="single"/>
            <w:rtl w:val="0"/>
          </w:rPr>
          <w:t xml:space="preserve">https://www.scribd.com/document/815190826/The-Price-Impact-of-Order-Book-Events</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Multi-Level Order-Flow Imbalance Analysis | PDF | Ordinary Least Squares - Scribd, accessed April 13, 2026, </w:t>
      </w:r>
      <w:hyperlink r:id="rId82">
        <w:r w:rsidDel="00000000" w:rsidR="00000000" w:rsidRPr="00000000">
          <w:rPr>
            <w:rFonts w:ascii="Google Sans" w:cs="Google Sans" w:eastAsia="Google Sans" w:hAnsi="Google Sans"/>
            <w:color w:val="0000ee"/>
            <w:sz w:val="24"/>
            <w:szCs w:val="24"/>
            <w:u w:val="single"/>
            <w:rtl w:val="0"/>
          </w:rPr>
          <w:t xml:space="preserve">https://www.scribd.com/document/692468012/1907-06230v1-Multi-Level-Order-Flow-Imbalance-in-a-Limit-Order-Book</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Cross-Impact of Order Flow Imbalance in Equity Markets - ResearchGate, accessed April 13, 2026, </w:t>
      </w:r>
      <w:hyperlink r:id="rId83">
        <w:r w:rsidDel="00000000" w:rsidR="00000000" w:rsidRPr="00000000">
          <w:rPr>
            <w:rFonts w:ascii="Google Sans" w:cs="Google Sans" w:eastAsia="Google Sans" w:hAnsi="Google Sans"/>
            <w:color w:val="0000ee"/>
            <w:sz w:val="24"/>
            <w:szCs w:val="24"/>
            <w:u w:val="single"/>
            <w:rtl w:val="0"/>
          </w:rPr>
          <w:t xml:space="preserve">https://www.researchgate.net/publication/357365614_Cross-Impact_of_Order_Flow_Imbalance_in_Equity_Markets</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ByteGen: A Tokenizer-Free Generative Model for Orderbook Events in Byte Space - arXiv, accessed April 13, 2026, </w:t>
      </w:r>
      <w:hyperlink r:id="rId84">
        <w:r w:rsidDel="00000000" w:rsidR="00000000" w:rsidRPr="00000000">
          <w:rPr>
            <w:rFonts w:ascii="Google Sans" w:cs="Google Sans" w:eastAsia="Google Sans" w:hAnsi="Google Sans"/>
            <w:color w:val="0000ee"/>
            <w:sz w:val="24"/>
            <w:szCs w:val="24"/>
            <w:u w:val="single"/>
            <w:rtl w:val="0"/>
          </w:rPr>
          <w:t xml:space="preserve">https://arxiv.org/html/2508.02247v2</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Stochastic Price Dynamics in Response to Order Flow Imbalance: Evidence from CSI 300 Index Futures - ResearchGate, accessed April 13, 2026, </w:t>
      </w:r>
      <w:hyperlink r:id="rId85">
        <w:r w:rsidDel="00000000" w:rsidR="00000000" w:rsidRPr="00000000">
          <w:rPr>
            <w:rFonts w:ascii="Google Sans" w:cs="Google Sans" w:eastAsia="Google Sans" w:hAnsi="Google Sans"/>
            <w:color w:val="0000ee"/>
            <w:sz w:val="24"/>
            <w:szCs w:val="24"/>
            <w:u w:val="single"/>
            <w:rtl w:val="0"/>
          </w:rPr>
          <w:t xml:space="preserve">https://www.researchgate.net/publication/392085714_Stochastic_Price_Dynamics_in_Response_to_Order_Flow_Imbalance_Evidence_from_CSI_300_Index_Futures</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Cross-Trading in the U.S. Stock Market | Request PDF - ResearchGate, accessed April 13, 2026, </w:t>
      </w:r>
      <w:hyperlink r:id="rId86">
        <w:r w:rsidDel="00000000" w:rsidR="00000000" w:rsidRPr="00000000">
          <w:rPr>
            <w:rFonts w:ascii="Google Sans" w:cs="Google Sans" w:eastAsia="Google Sans" w:hAnsi="Google Sans"/>
            <w:color w:val="0000ee"/>
            <w:sz w:val="24"/>
            <w:szCs w:val="24"/>
            <w:u w:val="single"/>
            <w:rtl w:val="0"/>
          </w:rPr>
          <w:t xml:space="preserve">https://www.researchgate.net/publication/228260782_Strategic_Cross-Trading_in_the_US_Stock_Market</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Cross-Impact of Order Flow Imbalance in Equity Markets - arXiv, accessed April 13, 2026, </w:t>
      </w:r>
      <w:hyperlink r:id="rId87">
        <w:r w:rsidDel="00000000" w:rsidR="00000000" w:rsidRPr="00000000">
          <w:rPr>
            <w:rFonts w:ascii="Google Sans" w:cs="Google Sans" w:eastAsia="Google Sans" w:hAnsi="Google Sans"/>
            <w:color w:val="0000ee"/>
            <w:sz w:val="24"/>
            <w:szCs w:val="24"/>
            <w:u w:val="single"/>
            <w:rtl w:val="0"/>
          </w:rPr>
          <w:t xml:space="preserve">https://arxiv.org/html/2112.13213v4</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Cross-impact of order flow imbalance in equity markets - Taylor &amp; Francis, accessed April 13, 2026, </w:t>
      </w:r>
      <w:hyperlink r:id="rId88">
        <w:r w:rsidDel="00000000" w:rsidR="00000000" w:rsidRPr="00000000">
          <w:rPr>
            <w:rFonts w:ascii="Google Sans" w:cs="Google Sans" w:eastAsia="Google Sans" w:hAnsi="Google Sans"/>
            <w:color w:val="0000ee"/>
            <w:sz w:val="24"/>
            <w:szCs w:val="24"/>
            <w:u w:val="single"/>
            <w:rtl w:val="0"/>
          </w:rPr>
          <w:t xml:space="preserve">https://www.tandfonline.com/doi/abs/10.1080/14697688.2023.2236159</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Empirical Analysis on Financial Markets: Insights from the Application of Statistical Physics - arXiv, accessed April 13, 2026, </w:t>
      </w:r>
      <w:hyperlink r:id="rId89">
        <w:r w:rsidDel="00000000" w:rsidR="00000000" w:rsidRPr="00000000">
          <w:rPr>
            <w:rFonts w:ascii="Google Sans" w:cs="Google Sans" w:eastAsia="Google Sans" w:hAnsi="Google Sans"/>
            <w:color w:val="0000ee"/>
            <w:sz w:val="24"/>
            <w:szCs w:val="24"/>
            <w:u w:val="single"/>
            <w:rtl w:val="0"/>
          </w:rPr>
          <w:t xml:space="preserve">https://arxiv.org/pdf/2308.14235</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Empirical Analysis on Financial Markets: Insights from the Application of Statistical Physics - arXiv, accessed April 13, 2026, </w:t>
      </w:r>
      <w:hyperlink r:id="rId90">
        <w:r w:rsidDel="00000000" w:rsidR="00000000" w:rsidRPr="00000000">
          <w:rPr>
            <w:rFonts w:ascii="Google Sans" w:cs="Google Sans" w:eastAsia="Google Sans" w:hAnsi="Google Sans"/>
            <w:color w:val="0000ee"/>
            <w:sz w:val="24"/>
            <w:szCs w:val="24"/>
            <w:u w:val="single"/>
            <w:rtl w:val="0"/>
          </w:rPr>
          <w:t xml:space="preserve">https://arxiv.org/html/2308.14235v5</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Empirical Analysis on Financial Markets: Insights from the Application of Econophysics, accessed April 13, 2026, </w:t>
      </w:r>
      <w:hyperlink r:id="rId91">
        <w:r w:rsidDel="00000000" w:rsidR="00000000" w:rsidRPr="00000000">
          <w:rPr>
            <w:rFonts w:ascii="Google Sans" w:cs="Google Sans" w:eastAsia="Google Sans" w:hAnsi="Google Sans"/>
            <w:color w:val="0000ee"/>
            <w:sz w:val="24"/>
            <w:szCs w:val="24"/>
            <w:u w:val="single"/>
            <w:rtl w:val="0"/>
          </w:rPr>
          <w:t xml:space="preserve">https://www.researchgate.net/publication/399499518_An_Empirical_Analysis_on_Financial_Markets_Insights_from_the_Application_of_Econophysics</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Interconnection between Net Buying Pressures in Derivatives and Spot Markets | Request PDF - ResearchGate, accessed April 13, 2026, </w:t>
      </w:r>
      <w:hyperlink r:id="rId92">
        <w:r w:rsidDel="00000000" w:rsidR="00000000" w:rsidRPr="00000000">
          <w:rPr>
            <w:rFonts w:ascii="Google Sans" w:cs="Google Sans" w:eastAsia="Google Sans" w:hAnsi="Google Sans"/>
            <w:color w:val="0000ee"/>
            <w:sz w:val="24"/>
            <w:szCs w:val="24"/>
            <w:u w:val="single"/>
            <w:rtl w:val="0"/>
          </w:rPr>
          <w:t xml:space="preserve">https://www.researchgate.net/publication/393712198_The_Interconnection_between_Net_Buying_Pressures_in_Derivatives_and_Spot_Markets</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Hidden Markov Model with Adaptive Granularity Attention for High-Frequency Order Flow Modeling - arXiv, accessed April 13, 2026, </w:t>
      </w:r>
      <w:hyperlink r:id="rId93">
        <w:r w:rsidDel="00000000" w:rsidR="00000000" w:rsidRPr="00000000">
          <w:rPr>
            <w:rFonts w:ascii="Google Sans" w:cs="Google Sans" w:eastAsia="Google Sans" w:hAnsi="Google Sans"/>
            <w:color w:val="0000ee"/>
            <w:sz w:val="24"/>
            <w:szCs w:val="24"/>
            <w:u w:val="single"/>
            <w:rtl w:val="0"/>
          </w:rPr>
          <w:t xml:space="preserve">https://arxiv.org/html/2603.20456v1</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机器学习2025_5_30 - arXiv每日学术速递, accessed April 13, 2026, </w:t>
      </w:r>
      <w:hyperlink r:id="rId94">
        <w:r w:rsidDel="00000000" w:rsidR="00000000" w:rsidRPr="00000000">
          <w:rPr>
            <w:rFonts w:ascii="Google Sans" w:cs="Google Sans" w:eastAsia="Google Sans" w:hAnsi="Google Sans"/>
            <w:color w:val="0000ee"/>
            <w:sz w:val="24"/>
            <w:szCs w:val="24"/>
            <w:u w:val="single"/>
            <w:rtl w:val="0"/>
          </w:rPr>
          <w:t xml:space="preserve">http://www.arxivdaily.com/thread/68000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84" Type="http://schemas.openxmlformats.org/officeDocument/2006/relationships/hyperlink" Target="https://arxiv.org/html/2508.02247v2" TargetMode="External"/><Relationship Id="rId83" Type="http://schemas.openxmlformats.org/officeDocument/2006/relationships/hyperlink" Target="https://www.researchgate.net/publication/357365614_Cross-Impact_of_Order_Flow_Imbalance_in_Equity_Markets" TargetMode="External"/><Relationship Id="rId42" Type="http://schemas.openxmlformats.org/officeDocument/2006/relationships/image" Target="media/image15.png"/><Relationship Id="rId86" Type="http://schemas.openxmlformats.org/officeDocument/2006/relationships/hyperlink" Target="https://www.researchgate.net/publication/228260782_Strategic_Cross-Trading_in_the_US_Stock_Market" TargetMode="External"/><Relationship Id="rId41" Type="http://schemas.openxmlformats.org/officeDocument/2006/relationships/image" Target="media/image4.png"/><Relationship Id="rId85" Type="http://schemas.openxmlformats.org/officeDocument/2006/relationships/hyperlink" Target="https://www.researchgate.net/publication/392085714_Stochastic_Price_Dynamics_in_Response_to_Order_Flow_Imbalance_Evidence_from_CSI_300_Index_Futures" TargetMode="External"/><Relationship Id="rId44" Type="http://schemas.openxmlformats.org/officeDocument/2006/relationships/image" Target="media/image13.png"/><Relationship Id="rId88" Type="http://schemas.openxmlformats.org/officeDocument/2006/relationships/hyperlink" Target="https://www.tandfonline.com/doi/abs/10.1080/14697688.2023.2236159" TargetMode="External"/><Relationship Id="rId43" Type="http://schemas.openxmlformats.org/officeDocument/2006/relationships/image" Target="media/image9.png"/><Relationship Id="rId87" Type="http://schemas.openxmlformats.org/officeDocument/2006/relationships/hyperlink" Target="https://arxiv.org/html/2112.13213v4" TargetMode="External"/><Relationship Id="rId46" Type="http://schemas.openxmlformats.org/officeDocument/2006/relationships/image" Target="media/image26.png"/><Relationship Id="rId45" Type="http://schemas.openxmlformats.org/officeDocument/2006/relationships/image" Target="media/image16.png"/><Relationship Id="rId89" Type="http://schemas.openxmlformats.org/officeDocument/2006/relationships/hyperlink" Target="https://arxiv.org/pdf/2308.14235" TargetMode="External"/><Relationship Id="rId80" Type="http://schemas.openxmlformats.org/officeDocument/2006/relationships/hyperlink" Target="https://navnoorbawa.substack.com/p/the-mathematical-execution-behind" TargetMode="External"/><Relationship Id="rId82" Type="http://schemas.openxmlformats.org/officeDocument/2006/relationships/hyperlink" Target="https://www.scribd.com/document/692468012/1907-06230v1-Multi-Level-Order-Flow-Imbalance-in-a-Limit-Order-Book" TargetMode="External"/><Relationship Id="rId81" Type="http://schemas.openxmlformats.org/officeDocument/2006/relationships/hyperlink" Target="https://www.scribd.com/document/815190826/The-Price-Impact-of-Order-Book-Ev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48" Type="http://schemas.openxmlformats.org/officeDocument/2006/relationships/image" Target="media/image27.png"/><Relationship Id="rId47" Type="http://schemas.openxmlformats.org/officeDocument/2006/relationships/image" Target="media/image20.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44.png"/><Relationship Id="rId7" Type="http://schemas.openxmlformats.org/officeDocument/2006/relationships/image" Target="media/image42.png"/><Relationship Id="rId8" Type="http://schemas.openxmlformats.org/officeDocument/2006/relationships/image" Target="media/image53.png"/><Relationship Id="rId73" Type="http://schemas.openxmlformats.org/officeDocument/2006/relationships/hyperlink" Target="https://www.cube.exchange/what-is/order-flow-imbalance-models" TargetMode="External"/><Relationship Id="rId72" Type="http://schemas.openxmlformats.org/officeDocument/2006/relationships/hyperlink" Target="https://academiccommons.columbia.edu/doi/10.7916/D8P84K5S/download" TargetMode="External"/><Relationship Id="rId31" Type="http://schemas.openxmlformats.org/officeDocument/2006/relationships/image" Target="media/image43.png"/><Relationship Id="rId75" Type="http://schemas.openxmlformats.org/officeDocument/2006/relationships/hyperlink" Target="https://www.emergentmind.com/topics/order-flow-imbalance-mlofi" TargetMode="External"/><Relationship Id="rId30" Type="http://schemas.openxmlformats.org/officeDocument/2006/relationships/image" Target="media/image60.png"/><Relationship Id="rId74" Type="http://schemas.openxmlformats.org/officeDocument/2006/relationships/hyperlink" Target="https://arxiv.org/html/2507.22712v1" TargetMode="External"/><Relationship Id="rId33" Type="http://schemas.openxmlformats.org/officeDocument/2006/relationships/image" Target="media/image10.png"/><Relationship Id="rId77" Type="http://schemas.openxmlformats.org/officeDocument/2006/relationships/hyperlink" Target="https://www.emergentmind.com/topics/linear-price-impact-model" TargetMode="External"/><Relationship Id="rId32" Type="http://schemas.openxmlformats.org/officeDocument/2006/relationships/image" Target="media/image2.png"/><Relationship Id="rId76" Type="http://schemas.openxmlformats.org/officeDocument/2006/relationships/hyperlink" Target="https://www.researchgate.net/publication/394121299_Order_Book_Filtration_and_Directional_Signal_Extraction_at_High_Frequency" TargetMode="External"/><Relationship Id="rId35" Type="http://schemas.openxmlformats.org/officeDocument/2006/relationships/image" Target="media/image5.png"/><Relationship Id="rId79" Type="http://schemas.openxmlformats.org/officeDocument/2006/relationships/hyperlink" Target="https://www.tandfonline.com/doi/pdf/10.1080/14697688.2023.2236159" TargetMode="External"/><Relationship Id="rId34" Type="http://schemas.openxmlformats.org/officeDocument/2006/relationships/image" Target="media/image21.png"/><Relationship Id="rId78" Type="http://schemas.openxmlformats.org/officeDocument/2006/relationships/hyperlink" Target="https://www.tandfonline.com/doi/full/10.1080/14697688.2023.2236159" TargetMode="External"/><Relationship Id="rId71" Type="http://schemas.openxmlformats.org/officeDocument/2006/relationships/image" Target="media/image46.png"/><Relationship Id="rId70" Type="http://schemas.openxmlformats.org/officeDocument/2006/relationships/image" Target="media/image32.png"/><Relationship Id="rId37" Type="http://schemas.openxmlformats.org/officeDocument/2006/relationships/image" Target="media/image3.png"/><Relationship Id="rId36" Type="http://schemas.openxmlformats.org/officeDocument/2006/relationships/image" Target="media/image8.png"/><Relationship Id="rId39" Type="http://schemas.openxmlformats.org/officeDocument/2006/relationships/image" Target="media/image6.png"/><Relationship Id="rId38" Type="http://schemas.openxmlformats.org/officeDocument/2006/relationships/image" Target="media/image7.png"/><Relationship Id="rId62" Type="http://schemas.openxmlformats.org/officeDocument/2006/relationships/image" Target="media/image36.png"/><Relationship Id="rId61" Type="http://schemas.openxmlformats.org/officeDocument/2006/relationships/image" Target="media/image23.png"/><Relationship Id="rId20" Type="http://schemas.openxmlformats.org/officeDocument/2006/relationships/image" Target="media/image52.png"/><Relationship Id="rId64" Type="http://schemas.openxmlformats.org/officeDocument/2006/relationships/image" Target="media/image31.png"/><Relationship Id="rId63" Type="http://schemas.openxmlformats.org/officeDocument/2006/relationships/image" Target="media/image30.png"/><Relationship Id="rId22" Type="http://schemas.openxmlformats.org/officeDocument/2006/relationships/image" Target="media/image57.png"/><Relationship Id="rId66" Type="http://schemas.openxmlformats.org/officeDocument/2006/relationships/image" Target="media/image28.png"/><Relationship Id="rId21" Type="http://schemas.openxmlformats.org/officeDocument/2006/relationships/image" Target="media/image59.png"/><Relationship Id="rId65" Type="http://schemas.openxmlformats.org/officeDocument/2006/relationships/image" Target="media/image62.png"/><Relationship Id="rId24" Type="http://schemas.openxmlformats.org/officeDocument/2006/relationships/image" Target="media/image66.png"/><Relationship Id="rId68" Type="http://schemas.openxmlformats.org/officeDocument/2006/relationships/image" Target="media/image34.png"/><Relationship Id="rId23" Type="http://schemas.openxmlformats.org/officeDocument/2006/relationships/image" Target="media/image61.png"/><Relationship Id="rId67" Type="http://schemas.openxmlformats.org/officeDocument/2006/relationships/image" Target="media/image64.png"/><Relationship Id="rId60" Type="http://schemas.openxmlformats.org/officeDocument/2006/relationships/image" Target="media/image17.png"/><Relationship Id="rId26" Type="http://schemas.openxmlformats.org/officeDocument/2006/relationships/image" Target="media/image39.png"/><Relationship Id="rId25" Type="http://schemas.openxmlformats.org/officeDocument/2006/relationships/image" Target="media/image35.png"/><Relationship Id="rId69" Type="http://schemas.openxmlformats.org/officeDocument/2006/relationships/image" Target="media/image38.png"/><Relationship Id="rId28" Type="http://schemas.openxmlformats.org/officeDocument/2006/relationships/image" Target="media/image40.png"/><Relationship Id="rId27" Type="http://schemas.openxmlformats.org/officeDocument/2006/relationships/image" Target="media/image41.png"/><Relationship Id="rId29" Type="http://schemas.openxmlformats.org/officeDocument/2006/relationships/image" Target="media/image63.png"/><Relationship Id="rId51" Type="http://schemas.openxmlformats.org/officeDocument/2006/relationships/image" Target="media/image65.png"/><Relationship Id="rId50" Type="http://schemas.openxmlformats.org/officeDocument/2006/relationships/image" Target="media/image37.png"/><Relationship Id="rId94" Type="http://schemas.openxmlformats.org/officeDocument/2006/relationships/hyperlink" Target="http://www.arxivdaily.com/thread/68000" TargetMode="External"/><Relationship Id="rId53" Type="http://schemas.openxmlformats.org/officeDocument/2006/relationships/image" Target="media/image11.png"/><Relationship Id="rId52" Type="http://schemas.openxmlformats.org/officeDocument/2006/relationships/image" Target="media/image14.png"/><Relationship Id="rId11" Type="http://schemas.openxmlformats.org/officeDocument/2006/relationships/image" Target="media/image33.png"/><Relationship Id="rId55" Type="http://schemas.openxmlformats.org/officeDocument/2006/relationships/image" Target="media/image25.png"/><Relationship Id="rId10" Type="http://schemas.openxmlformats.org/officeDocument/2006/relationships/image" Target="media/image47.png"/><Relationship Id="rId54" Type="http://schemas.openxmlformats.org/officeDocument/2006/relationships/image" Target="media/image22.png"/><Relationship Id="rId13" Type="http://schemas.openxmlformats.org/officeDocument/2006/relationships/image" Target="media/image45.png"/><Relationship Id="rId57" Type="http://schemas.openxmlformats.org/officeDocument/2006/relationships/image" Target="media/image19.png"/><Relationship Id="rId12" Type="http://schemas.openxmlformats.org/officeDocument/2006/relationships/image" Target="media/image49.png"/><Relationship Id="rId56" Type="http://schemas.openxmlformats.org/officeDocument/2006/relationships/image" Target="media/image18.png"/><Relationship Id="rId91" Type="http://schemas.openxmlformats.org/officeDocument/2006/relationships/hyperlink" Target="https://www.researchgate.net/publication/399499518_An_Empirical_Analysis_on_Financial_Markets_Insights_from_the_Application_of_Econophysics" TargetMode="External"/><Relationship Id="rId90" Type="http://schemas.openxmlformats.org/officeDocument/2006/relationships/hyperlink" Target="https://arxiv.org/html/2308.14235v5" TargetMode="External"/><Relationship Id="rId93" Type="http://schemas.openxmlformats.org/officeDocument/2006/relationships/hyperlink" Target="https://arxiv.org/html/2603.20456v1" TargetMode="External"/><Relationship Id="rId92" Type="http://schemas.openxmlformats.org/officeDocument/2006/relationships/hyperlink" Target="https://www.researchgate.net/publication/393712198_The_Interconnection_between_Net_Buying_Pressures_in_Derivatives_and_Spot_Markets" TargetMode="External"/><Relationship Id="rId15" Type="http://schemas.openxmlformats.org/officeDocument/2006/relationships/image" Target="media/image48.png"/><Relationship Id="rId59" Type="http://schemas.openxmlformats.org/officeDocument/2006/relationships/image" Target="media/image12.png"/><Relationship Id="rId14" Type="http://schemas.openxmlformats.org/officeDocument/2006/relationships/image" Target="media/image55.png"/><Relationship Id="rId58" Type="http://schemas.openxmlformats.org/officeDocument/2006/relationships/image" Target="media/image24.png"/><Relationship Id="rId17" Type="http://schemas.openxmlformats.org/officeDocument/2006/relationships/image" Target="media/image50.png"/><Relationship Id="rId16" Type="http://schemas.openxmlformats.org/officeDocument/2006/relationships/image" Target="media/image56.png"/><Relationship Id="rId19" Type="http://schemas.openxmlformats.org/officeDocument/2006/relationships/image" Target="media/image51.png"/><Relationship Id="rId1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