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部分视觉观测下的气动软臂全身形状预测与控制"/>
    <w:p>
      <w:pPr>
        <w:pStyle w:val="Heading1"/>
      </w:pPr>
      <w:r>
        <w:rPr>
          <w:rFonts w:hint="eastAsia"/>
        </w:rPr>
        <w:t xml:space="preserve">部分视觉观测下的气动软臂全身形状预测与控制</w:t>
      </w:r>
    </w:p>
    <w:p>
      <w:pPr>
        <w:pStyle w:val="FirstParagraph"/>
      </w:pPr>
      <w:r>
        <w:rPr>
          <w:b/>
          <w:bCs/>
        </w:rPr>
        <w:t xml:space="preserve">Whole-Body Shape Prediction and Control of a Pneumatic Soft Arm under Partial Visual Observation</w:t>
      </w:r>
    </w:p>
    <w:p>
      <w:pPr>
        <w:pStyle w:val="BlockText"/>
      </w:pPr>
      <w:r>
        <w:rPr>
          <w:rFonts w:hint="eastAsia"/>
        </w:rPr>
        <w:t xml:space="preserve">2026-09-08，完整研究初稿。研究方向已确定，状态校正及</w:t>
      </w:r>
      <w:r>
        <w:t xml:space="preserve"> hereditary </w:t>
      </w:r>
      <w:r>
        <w:rPr>
          <w:rFonts w:hint="eastAsia"/>
        </w:rPr>
        <w:t xml:space="preserve">实物规划尚需实现。本文将时间上间歇获得视觉作为主设置，部分节点可见作为扩展；缺失结果明确留空。设计与实施依据见</w:t>
      </w:r>
      <w:r>
        <w:t xml:space="preserve"> </w:t>
      </w:r>
      <w:hyperlink r:id="rId9">
        <w:r>
          <w:rPr>
            <w:rStyle w:val="Hyperlink"/>
            <w:rFonts w:hint="eastAsia"/>
          </w:rPr>
          <w:t xml:space="preserve">框架设计</w:t>
        </w:r>
      </w:hyperlink>
      <w:r>
        <w:t xml:space="preserve">。</w:t>
      </w:r>
    </w:p>
    <w:bookmarkStart w:id="10" w:name="摘要"/>
    <w:p>
      <w:pPr>
        <w:pStyle w:val="Heading2"/>
      </w:pPr>
      <w:r>
        <w:rPr>
          <w:rFonts w:hint="eastAsia"/>
        </w:rPr>
        <w:t xml:space="preserve">摘要</w:t>
      </w:r>
    </w:p>
    <w:p>
      <w:pPr>
        <w:pStyle w:val="FirstParagraph"/>
      </w:pPr>
      <w:r>
        <w:rPr>
          <w:rFonts w:hint="eastAsia"/>
        </w:rPr>
        <w:t xml:space="preserve">软体机械臂在连续调整姿态时需要控制整体形状，但外部视觉可能因遮挡而无法持续提供反馈。本文提出一种部分视觉观测下的气动软臂形状预测与控制框架，将历史相关动态模型、观测校正和动作规划结合。在无观测期间，模型根据已执行输入维护内部状态，预测连续运动中的全身形状；新观测到来时，利用有效形状测量校正预测状态，并沿原计划快速修正后续动作。模型以</w:t>
      </w:r>
      <w:r>
        <w:t xml:space="preserve"> Prandtl–Ishlinskii </w:t>
      </w:r>
      <w:r>
        <w:rPr>
          <w:rFonts w:hint="eastAsia"/>
        </w:rPr>
        <w:t xml:space="preserve">状态和多时标松弛状态描述加载路径及时间响应，通过局部转角和分段长度输出显式中心线。在线校正保持模型参数固定，以观测一致性和预测状态先验共同约束更新。实验围绕初始观测后的动态控制、新观测之后的预测及间歇视觉下的连续形状任务展开，比较不同动态模型和观测更新方式。［待填：真实全身误差、成功率、计算时间及与最强基线的差异。］</w:t>
      </w:r>
    </w:p>
    <w:p>
      <w:pPr>
        <w:pStyle w:val="BodyText"/>
      </w:pPr>
      <w:r>
        <w:rPr>
          <w:rFonts w:hint="eastAsia"/>
          <w:b/>
          <w:bCs/>
        </w:rPr>
        <w:t xml:space="preserve">关键词：</w:t>
      </w:r>
      <w:r>
        <w:rPr>
          <w:rFonts w:hint="eastAsia"/>
        </w:rPr>
        <w:t xml:space="preserve">软体机器人；全身形状控制；部分观测；迟滞建模；预测控制。</w:t>
      </w:r>
    </w:p>
    <w:bookmarkEnd w:id="10"/>
    <w:bookmarkStart w:id="11" w:name="i.-引言"/>
    <w:p>
      <w:pPr>
        <w:pStyle w:val="Heading2"/>
      </w:pPr>
      <w:r>
        <w:t xml:space="preserve">I. </w:t>
      </w:r>
      <w:r>
        <w:rPr>
          <w:rFonts w:hint="eastAsia"/>
        </w:rPr>
        <w:t xml:space="preserve">引言</w:t>
      </w:r>
    </w:p>
    <w:p>
      <w:pPr>
        <w:pStyle w:val="FirstParagraph"/>
      </w:pPr>
      <w:r>
        <w:rPr>
          <w:rFonts w:hint="eastAsia"/>
        </w:rPr>
        <w:t xml:space="preserve">软体机械臂的柔顺性和连续变形能力，为复杂空间中的姿态调整与柔顺操作提供了新的可能。</w:t>
      </w:r>
      <w:r>
        <w:t xml:space="preserve"> </w:t>
      </w:r>
      <w:r>
        <w:rPr>
          <w:rFonts w:hint="eastAsia"/>
        </w:rPr>
        <w:t xml:space="preserve">与依靠离散关节运动的机械臂不同，软臂能够沿臂体改变弯曲和伸长状态，在适应空间约束的同时保持柔顺性。然而，这些能力也使驱动输入与运动之间的关系更加复杂，准确建模和控制仍是实现可靠操作的重要基础</w:t>
      </w:r>
      <w:r>
        <w:t xml:space="preserve"> [1]。</w:t>
      </w:r>
    </w:p>
    <w:p>
      <w:pPr>
        <w:pStyle w:val="BodyText"/>
      </w:pPr>
      <w:r>
        <w:rPr>
          <w:rFonts w:hint="eastAsia"/>
        </w:rPr>
        <w:t xml:space="preserve">发挥这些运动能力，需要控制臂体的整体形状，而不仅是末端位置。</w:t>
      </w:r>
      <w:r>
        <w:t xml:space="preserve"> </w:t>
      </w:r>
      <w:r>
        <w:rPr>
          <w:rFonts w:hint="eastAsia"/>
        </w:rPr>
        <w:t xml:space="preserve">例如，机械臂在物体附近调整姿态时，中段的弯曲方式影响其占据的空间；相同末端位置也可能对应不同的臂体构型。因此，仅使末端到达目标不能完整描述这类任务，控制器还需要预测中段形状并协调各臂段的运动。已有研究已将控制目标扩展至全身形状，并通过视觉逆运动学实现目标形状与驱动输入之间的映射</w:t>
      </w:r>
      <w:r>
        <w:t xml:space="preserve"> [2]。</w:t>
      </w:r>
    </w:p>
    <w:p>
      <w:pPr>
        <w:pStyle w:val="BodyText"/>
      </w:pPr>
      <w:r>
        <w:rPr>
          <w:rFonts w:hint="eastAsia"/>
        </w:rPr>
        <w:t xml:space="preserve">视觉学习为全身形状建模提供了有效途径，但稳定形状映射不能直接描述连续运动中的过渡过程。</w:t>
      </w:r>
      <w:r>
        <w:t xml:space="preserve"> </w:t>
      </w:r>
      <w:r>
        <w:rPr>
          <w:rFonts w:hint="eastAsia"/>
        </w:rPr>
        <w:t xml:space="preserve">运动学先验可以约束学习模型的形状表示</w:t>
      </w:r>
      <w:r>
        <w:t xml:space="preserve"> </w:t>
      </w:r>
      <w:r>
        <w:rPr>
          <w:rFonts w:hint="eastAsia"/>
        </w:rPr>
        <w:t xml:space="preserve">[3]，压力大小及增减方向也已被用于历史相关的全身建模</w:t>
      </w:r>
      <w:r>
        <w:t xml:space="preserve"> </w:t>
      </w:r>
      <w:r>
        <w:rPr>
          <w:rFonts w:hint="eastAsia"/>
        </w:rPr>
        <w:t xml:space="preserve">[4]。这类方法减少了部分手工建模工作，但其动态适用性取决于训练数据和状态表示。以</w:t>
      </w:r>
      <w:r>
        <w:t xml:space="preserve"> Chen </w:t>
      </w:r>
      <w:r>
        <w:rPr>
          <w:rFonts w:hint="eastAsia"/>
        </w:rPr>
        <w:t xml:space="preserve">等的采集设置为例，每次输入改变后等待</w:t>
      </w:r>
      <w:r>
        <w:t xml:space="preserve"> 3 </w:t>
      </w:r>
      <w:r>
        <w:rPr>
          <w:rFonts w:hint="eastAsia"/>
        </w:rPr>
        <w:t xml:space="preserve">s，再记录</w:t>
      </w:r>
      <w:r>
        <w:t xml:space="preserve"> 1 s </w:t>
      </w:r>
      <w:r>
        <w:rPr>
          <w:rFonts w:hint="eastAsia"/>
        </w:rPr>
        <w:t xml:space="preserve">数据</w:t>
      </w:r>
      <w:r>
        <w:t xml:space="preserve"> </w:t>
      </w:r>
      <w:r>
        <w:rPr>
          <w:rFonts w:hint="eastAsia"/>
        </w:rPr>
        <w:t xml:space="preserve">[4]。当任务要求连续改变形状时，逐步等待稳定会增加完成时间，模型需要进一步预测尚未稳定的运动响应。</w:t>
      </w:r>
    </w:p>
    <w:p>
      <w:pPr>
        <w:pStyle w:val="BodyText"/>
      </w:pPr>
      <w:r>
        <w:rPr>
          <w:rFonts w:hint="eastAsia"/>
        </w:rPr>
        <w:t xml:space="preserve">历史相关动态模型已经使软臂能够在连续和较快运动中进行预测与控制。</w:t>
      </w:r>
      <w:r>
        <w:t xml:space="preserve"> </w:t>
      </w:r>
      <w:r>
        <w:rPr>
          <w:rFonts w:hint="eastAsia"/>
        </w:rPr>
        <w:t xml:space="preserve">循环神经网络通过隐状态学习迟滞及动态响应，并被用于非线性模型预测控制</w:t>
      </w:r>
      <w:r>
        <w:t xml:space="preserve"> </w:t>
      </w:r>
      <w:r>
        <w:rPr>
          <w:rFonts w:hint="eastAsia"/>
        </w:rPr>
        <w:t xml:space="preserve">[5]；Koopman</w:t>
      </w:r>
      <w:r>
        <w:t xml:space="preserve"> </w:t>
      </w:r>
      <w:r>
        <w:rPr>
          <w:rFonts w:hint="eastAsia"/>
        </w:rPr>
        <w:t xml:space="preserve">方法也已支持软臂的动态控制</w:t>
      </w:r>
      <w:r>
        <w:t xml:space="preserve"> [6]。Haggerty </w:t>
      </w:r>
      <w:r>
        <w:rPr>
          <w:rFonts w:hint="eastAsia"/>
        </w:rPr>
        <w:t xml:space="preserve">等展示了大变形惯性运动及快速模型建立</w:t>
      </w:r>
      <w:r>
        <w:t xml:space="preserve"> </w:t>
      </w:r>
      <w:r>
        <w:rPr>
          <w:rFonts w:hint="eastAsia"/>
        </w:rPr>
        <w:t xml:space="preserve">[7]。近期，Krauss</w:t>
      </w:r>
      <w:r>
        <w:t xml:space="preserve"> </w:t>
      </w:r>
      <w:r>
        <w:rPr>
          <w:rFonts w:hint="eastAsia"/>
        </w:rPr>
        <w:t xml:space="preserve">等从视频学习潜动态，在没有相机反馈的条件下实现真实软臂的多种动态轨迹，包括较快运动</w:t>
      </w:r>
      <w:r>
        <w:t xml:space="preserve"> </w:t>
      </w:r>
      <w:r>
        <w:rPr>
          <w:rFonts w:hint="eastAsia"/>
        </w:rPr>
        <w:t xml:space="preserve">[8]。这些进展表明，学习模型已能够参与运动过程中的动作计算，而不再局限于静态目标映射。</w:t>
      </w:r>
    </w:p>
    <w:p>
      <w:pPr>
        <w:pStyle w:val="BodyText"/>
      </w:pPr>
      <w:r>
        <w:rPr>
          <w:rFonts w:hint="eastAsia"/>
        </w:rPr>
        <w:t xml:space="preserve">实际任务中的视觉观测可能间歇可用，使控制系统需要同时应对无观测预测和有观测纠偏。</w:t>
      </w:r>
      <w:r>
        <w:t xml:space="preserve"> </w:t>
      </w:r>
      <w:r>
        <w:rPr>
          <w:rFonts w:hint="eastAsia"/>
        </w:rPr>
        <w:t xml:space="preserve">固定相机观察软臂时，工装或目标物可能暂时遮挡臂体，随后运动又使其进入视野。在不可见期间，控制器需要依靠输入日志和模型继续运动；重新获得观测后，则应利用反馈修正偏差并调整后续动作。已有开环结果证明了无观测运动的可行性，但有限预测误差及驱动执行偏差仍会影响真实控制</w:t>
      </w:r>
      <w:r>
        <w:t xml:space="preserve"> </w:t>
      </w:r>
      <w:r>
        <w:rPr>
          <w:rFonts w:hint="eastAsia"/>
        </w:rPr>
        <w:t xml:space="preserve">[8]。持续等待完整视觉恢复可能打断任务，而忽略新观测又无法利用可获得的反馈。</w:t>
      </w:r>
    </w:p>
    <w:p>
      <w:pPr>
        <w:pStyle w:val="BodyText"/>
      </w:pPr>
      <w:r>
        <w:rPr>
          <w:rFonts w:hint="eastAsia"/>
        </w:rPr>
        <w:t xml:space="preserve">部分观测下的全身控制因此需要把动态预测、视觉校正与动作规划统一起来。</w:t>
      </w:r>
      <w:r>
        <w:t xml:space="preserve"> </w:t>
      </w:r>
      <w:r>
        <w:rPr>
          <w:rFonts w:hint="eastAsia"/>
        </w:rPr>
        <w:t xml:space="preserve">动态模型需要描述连续输入和较快变化下的形状响应，校正器需要利用当时有效的视觉信息，规划器则应从更新后的预测条件计算后续动作。已有迟滞状态估计和视觉传感融合工作为观测使用提供了基础</w:t>
      </w:r>
      <w:r>
        <w:t xml:space="preserve"> [9], </w:t>
      </w:r>
      <w:r>
        <w:rPr>
          <w:rFonts w:hint="eastAsia"/>
        </w:rPr>
        <w:t xml:space="preserve">[10]。本文在这些进展上研究一个面向气动软臂的控制框架，以明确的输入、形状和观测接口连接预测与反馈。</w:t>
      </w:r>
    </w:p>
    <w:p>
      <w:pPr>
        <w:pStyle w:val="BodyText"/>
      </w:pPr>
      <w:r>
        <w:rPr>
          <w:rFonts w:hint="eastAsia"/>
        </w:rPr>
        <w:t xml:space="preserve">本文提出一种结合</w:t>
      </w:r>
      <w:r>
        <w:t xml:space="preserve"> hereditary </w:t>
      </w:r>
      <w:r>
        <w:rPr>
          <w:rFonts w:hint="eastAsia"/>
        </w:rPr>
        <w:t xml:space="preserve">形状模型和在线观测校正的部分视觉控制框架。</w:t>
      </w:r>
      <w:r>
        <w:t xml:space="preserve"> </w:t>
      </w:r>
      <w:r>
        <w:rPr>
          <w:rFonts w:hint="eastAsia"/>
        </w:rPr>
        <w:t xml:space="preserve">模型以路径状态和松弛状态描述历史相关响应，并通过局部几何坐标输出全身中心线；控制器在观测缺失时执行预测动作，在新观测可用时更新状态并计算局部动作补偿。本文的工作包括：构建支持连续滚动和显式全身输出的动态模型；建立可用视觉驱动的在线校正与动作更新流程；在统一观测条件下，通过动态预测、更新策略比较及实物连续控制评价框架性能。</w:t>
      </w:r>
    </w:p>
    <w:bookmarkEnd w:id="11"/>
    <w:bookmarkStart w:id="15" w:name="ii.-相关工作"/>
    <w:p>
      <w:pPr>
        <w:pStyle w:val="Heading2"/>
      </w:pPr>
      <w:r>
        <w:t xml:space="preserve">II. </w:t>
      </w:r>
      <w:r>
        <w:rPr>
          <w:rFonts w:hint="eastAsia"/>
        </w:rPr>
        <w:t xml:space="preserve">相关工作</w:t>
      </w:r>
    </w:p>
    <w:bookmarkStart w:id="12" w:name="a.-全身形状建模"/>
    <w:p>
      <w:pPr>
        <w:pStyle w:val="Heading3"/>
      </w:pPr>
      <w:r>
        <w:t xml:space="preserve">A. </w:t>
      </w:r>
      <w:r>
        <w:rPr>
          <w:rFonts w:hint="eastAsia"/>
        </w:rPr>
        <w:t xml:space="preserve">全身形状建模</w:t>
      </w:r>
    </w:p>
    <w:p>
      <w:pPr>
        <w:pStyle w:val="FirstParagraph"/>
      </w:pPr>
      <w:r>
        <w:rPr>
          <w:rFonts w:hint="eastAsia"/>
        </w:rPr>
        <w:t xml:space="preserve">几何参数化、连续体力学和有限元模型为软臂形状描述提供了不同选择，其精度和计算量受到结构假设、保留自由度及参数辨识的影响</w:t>
      </w:r>
      <w:r>
        <w:t xml:space="preserve"> </w:t>
      </w:r>
      <w:r>
        <w:rPr>
          <w:rFonts w:hint="eastAsia"/>
        </w:rPr>
        <w:t xml:space="preserve">[1]。视觉逆运动学通过学习驱动与形状之间的映射，减少了部分手工建模需求，并已用于静态全身控制</w:t>
      </w:r>
      <w:r>
        <w:t xml:space="preserve"> </w:t>
      </w:r>
      <w:r>
        <w:rPr>
          <w:rFonts w:hint="eastAsia"/>
        </w:rPr>
        <w:t xml:space="preserve">[2]。直接学习也需要适当的几何约束，否则有限数据可能产生不合理的形状预测。Yoon</w:t>
      </w:r>
      <w:r>
        <w:t xml:space="preserve"> </w:t>
      </w:r>
      <w:r>
        <w:rPr>
          <w:rFonts w:hint="eastAsia"/>
        </w:rPr>
        <w:t xml:space="preserve">等通过引入运动学信息改善辨识泛化</w:t>
      </w:r>
      <w:r>
        <w:t xml:space="preserve"> </w:t>
      </w:r>
      <w:r>
        <w:rPr>
          <w:rFonts w:hint="eastAsia"/>
        </w:rPr>
        <w:t xml:space="preserve">[3]；Gao</w:t>
      </w:r>
      <w:r>
        <w:t xml:space="preserve"> </w:t>
      </w:r>
      <w:r>
        <w:rPr>
          <w:rFonts w:hint="eastAsia"/>
        </w:rPr>
        <w:t xml:space="preserve">等则以实物数据学习残差物理，修正模型与真实响应之间的差异</w:t>
      </w:r>
      <w:r>
        <w:t xml:space="preserve"> [13]。</w:t>
      </w:r>
    </w:p>
    <w:p>
      <w:pPr>
        <w:pStyle w:val="BodyText"/>
      </w:pPr>
      <w:r>
        <w:rPr>
          <w:rFonts w:hint="eastAsia"/>
        </w:rPr>
        <w:t xml:space="preserve">这些改进分别利用几何结构或物理模型，不能由较好的静态拟合直接推断动态预测能力。Chen</w:t>
      </w:r>
      <w:r>
        <w:t xml:space="preserve"> </w:t>
      </w:r>
      <w:r>
        <w:rPr>
          <w:rFonts w:hint="eastAsia"/>
        </w:rPr>
        <w:t xml:space="preserve">等通过压力方向信息补充全身模型的历史描述</w:t>
      </w:r>
      <w:r>
        <w:t xml:space="preserve"> </w:t>
      </w:r>
      <w:r>
        <w:rPr>
          <w:rFonts w:hint="eastAsia"/>
        </w:rPr>
        <w:t xml:space="preserve">[4]，但方向本身不能完整编码此前的反转次序及等待过程。本文采用持续更新的内部状态，并使用局部转角与长度将状态读出为中心线，使同一模型能够预测连续动作。</w:t>
      </w:r>
    </w:p>
    <w:bookmarkEnd w:id="12"/>
    <w:bookmarkStart w:id="13" w:name="b.-动态学习与开环控制"/>
    <w:p>
      <w:pPr>
        <w:pStyle w:val="Heading3"/>
      </w:pPr>
      <w:r>
        <w:t xml:space="preserve">B. </w:t>
      </w:r>
      <w:r>
        <w:rPr>
          <w:rFonts w:hint="eastAsia"/>
        </w:rPr>
        <w:t xml:space="preserve">动态学习与开环控制</w:t>
      </w:r>
    </w:p>
    <w:p>
      <w:pPr>
        <w:pStyle w:val="FirstParagraph"/>
      </w:pPr>
      <w:r>
        <w:rPr>
          <w:rFonts w:hint="eastAsia"/>
        </w:rPr>
        <w:t xml:space="preserve">循环网络和提升空间模型是学习软臂动态的两类主要途径。Schäfke</w:t>
      </w:r>
      <w:r>
        <w:t xml:space="preserve"> </w:t>
      </w:r>
      <w:r>
        <w:rPr>
          <w:rFonts w:hint="eastAsia"/>
        </w:rPr>
        <w:t xml:space="preserve">等比较</w:t>
      </w:r>
      <w:r>
        <w:t xml:space="preserve"> GRU </w:t>
      </w:r>
      <w:r>
        <w:rPr>
          <w:rFonts w:hint="eastAsia"/>
        </w:rPr>
        <w:t xml:space="preserve">与</w:t>
      </w:r>
      <w:r>
        <w:t xml:space="preserve"> </w:t>
      </w:r>
      <w:r>
        <w:rPr>
          <w:rFonts w:hint="eastAsia"/>
        </w:rPr>
        <w:t xml:space="preserve">LSTM，学习历史相关响应并处理控制中的隐状态初始化</w:t>
      </w:r>
      <w:r>
        <w:t xml:space="preserve"> </w:t>
      </w:r>
      <w:r>
        <w:rPr>
          <w:rFonts w:hint="eastAsia"/>
        </w:rPr>
        <w:t xml:space="preserve">[5]；Bruder</w:t>
      </w:r>
      <w:r>
        <w:t xml:space="preserve"> </w:t>
      </w:r>
      <w:r>
        <w:rPr>
          <w:rFonts w:hint="eastAsia"/>
        </w:rPr>
        <w:t xml:space="preserve">等将</w:t>
      </w:r>
      <w:r>
        <w:t xml:space="preserve"> Koopman </w:t>
      </w:r>
      <w:r>
        <w:rPr>
          <w:rFonts w:hint="eastAsia"/>
        </w:rPr>
        <w:t xml:space="preserve">模型用于软臂</w:t>
      </w:r>
      <w:r>
        <w:t xml:space="preserve"> MPC </w:t>
      </w:r>
      <w:r>
        <w:rPr>
          <w:rFonts w:hint="eastAsia"/>
        </w:rPr>
        <w:t xml:space="preserve">[6]。这些方法都可以通过递归状态保留过去信息，不能由单步递推形式判断它们只有短期记忆。</w:t>
      </w:r>
    </w:p>
    <w:p>
      <w:pPr>
        <w:pStyle w:val="BodyText"/>
      </w:pPr>
      <w:r>
        <w:t xml:space="preserve">Haggerty </w:t>
      </w:r>
      <w:r>
        <w:rPr>
          <w:rFonts w:hint="eastAsia"/>
        </w:rPr>
        <w:t xml:space="preserve">等进一步将</w:t>
      </w:r>
      <w:r>
        <w:t xml:space="preserve"> Koopman </w:t>
      </w:r>
      <w:r>
        <w:rPr>
          <w:rFonts w:hint="eastAsia"/>
        </w:rPr>
        <w:t xml:space="preserve">建模用于大变形惯性控制</w:t>
      </w:r>
      <w:r>
        <w:t xml:space="preserve"> [7]。Krauss </w:t>
      </w:r>
      <w:r>
        <w:rPr>
          <w:rFonts w:hint="eastAsia"/>
        </w:rPr>
        <w:t xml:space="preserve">等比较视频学习的</w:t>
      </w:r>
      <w:r>
        <w:t xml:space="preserve"> Koopman、MLP </w:t>
      </w:r>
      <w:r>
        <w:rPr>
          <w:rFonts w:hint="eastAsia"/>
        </w:rPr>
        <w:t xml:space="preserve">和振荡器动态，将多步训练、静止状态约束与空间注意力解码结合，改善了真实开环控制</w:t>
      </w:r>
      <w:r>
        <w:t xml:space="preserve"> </w:t>
      </w:r>
      <w:r>
        <w:rPr>
          <w:rFonts w:hint="eastAsia"/>
        </w:rPr>
        <w:t xml:space="preserve">[8]。该文既验证了较快动态任务，也指出低层压力控制器跟随不足可能影响部分动作。因此，模型比较应统一输入语义和执行约束，不能将实际压力与目标压力的错用造成的误差解释为某类模型不足。</w:t>
      </w:r>
    </w:p>
    <w:p>
      <w:pPr>
        <w:pStyle w:val="BodyText"/>
      </w:pPr>
      <w:r>
        <w:rPr>
          <w:rFonts w:hint="eastAsia"/>
        </w:rPr>
        <w:t xml:space="preserve">本文与</w:t>
      </w:r>
      <w:r>
        <w:t xml:space="preserve"> Krauss </w:t>
      </w:r>
      <w:r>
        <w:rPr>
          <w:rFonts w:hint="eastAsia"/>
        </w:rPr>
        <w:t xml:space="preserve">共享利用视觉模型进行动作优化的基础。研究范围进一步包含新观测可用时的校正和动作更新，主比较采用相同观测条件下的潜动态模型适配。本文的</w:t>
      </w:r>
      <w:r>
        <w:t xml:space="preserve"> PI </w:t>
      </w:r>
      <w:r>
        <w:rPr>
          <w:rFonts w:hint="eastAsia"/>
        </w:rPr>
        <w:t xml:space="preserve">与松弛结构提供不同的动态表示，但不预设其在惯性振荡、任意速度或所有任务上优于振荡器模型。</w:t>
      </w:r>
    </w:p>
    <w:bookmarkEnd w:id="13"/>
    <w:bookmarkStart w:id="14" w:name="c.-迟滞补偿与观测校正"/>
    <w:p>
      <w:pPr>
        <w:pStyle w:val="Heading3"/>
      </w:pPr>
      <w:r>
        <w:t xml:space="preserve">C. </w:t>
      </w:r>
      <w:r>
        <w:rPr>
          <w:rFonts w:hint="eastAsia"/>
        </w:rPr>
        <w:t xml:space="preserve">迟滞补偿与观测校正</w:t>
      </w:r>
    </w:p>
    <w:p>
      <w:pPr>
        <w:pStyle w:val="FirstParagraph"/>
      </w:pPr>
      <w:r>
        <w:rPr>
          <w:rFonts w:hint="eastAsia"/>
        </w:rPr>
        <w:t xml:space="preserve">迟滞算子和动态状态空间的结构化组合已有一般辨识研究</w:t>
      </w:r>
      <w:r>
        <w:t xml:space="preserve"> </w:t>
      </w:r>
      <w:r>
        <w:rPr>
          <w:rFonts w:hint="eastAsia"/>
        </w:rPr>
        <w:t xml:space="preserve">[11]，气动执行器的历史补偿也已在不同频率信号下得到评价</w:t>
      </w:r>
      <w:r>
        <w:t xml:space="preserve"> [14]。Kim </w:t>
      </w:r>
      <w:r>
        <w:rPr>
          <w:rFonts w:hint="eastAsia"/>
        </w:rPr>
        <w:t xml:space="preserve">等进一步将执行器及传感器迟滞纳入概率模型，通过贝叶斯滤波改善软机器人状态估计</w:t>
      </w:r>
      <w:r>
        <w:t xml:space="preserve"> </w:t>
      </w:r>
      <w:r>
        <w:rPr>
          <w:rFonts w:hint="eastAsia"/>
        </w:rPr>
        <w:t xml:space="preserve">[9]。这表明迟滞建模和在线估计并非相互独立的研究方向。</w:t>
      </w:r>
    </w:p>
    <w:p>
      <w:pPr>
        <w:pStyle w:val="BodyText"/>
      </w:pPr>
      <w:r>
        <w:rPr>
          <w:rFonts w:hint="eastAsia"/>
        </w:rPr>
        <w:t xml:space="preserve">在视觉不可靠的条件下，Wang</w:t>
      </w:r>
      <w:r>
        <w:t xml:space="preserve"> </w:t>
      </w:r>
      <w:r>
        <w:rPr>
          <w:rFonts w:hint="eastAsia"/>
        </w:rPr>
        <w:t xml:space="preserve">等融合图像与稀疏应变信息改善连续体机器人的运动估计</w:t>
      </w:r>
      <w:r>
        <w:t xml:space="preserve"> </w:t>
      </w:r>
      <w:r>
        <w:rPr>
          <w:rFonts w:hint="eastAsia"/>
        </w:rPr>
        <w:t xml:space="preserve">[10]。其额外传感条件与本文的间歇外部视觉不同，但说明可用观测可以与模型相结合。对于有限观测，正则化状态优化及移动时域估计能够联合先验、历史输入和状态约束</w:t>
      </w:r>
      <w:r>
        <w:t xml:space="preserve"> </w:t>
      </w:r>
      <w:r>
        <w:rPr>
          <w:rFonts w:hint="eastAsia"/>
        </w:rPr>
        <w:t xml:space="preserve">[12]。本文首先采用固定参数的状态校正，将移动时域更新作为扩展，并通过相同模型内的更新策略比较及不同模型间的控制比较评价其作用。</w:t>
      </w:r>
    </w:p>
    <w:bookmarkEnd w:id="14"/>
    <w:bookmarkEnd w:id="15"/>
    <w:bookmarkStart w:id="19" w:name="iii.-历史相关形状模型"/>
    <w:p>
      <w:pPr>
        <w:pStyle w:val="Heading2"/>
      </w:pPr>
      <w:r>
        <w:t xml:space="preserve">III. </w:t>
      </w:r>
      <w:r>
        <w:rPr>
          <w:rFonts w:hint="eastAsia"/>
        </w:rPr>
        <w:t xml:space="preserve">历史相关形状模型</w:t>
      </w:r>
    </w:p>
    <w:bookmarkStart w:id="16" w:name="a.-输入形状与初始条件"/>
    <w:p>
      <w:pPr>
        <w:pStyle w:val="Heading3"/>
      </w:pPr>
      <w:r>
        <w:t xml:space="preserve">A. </w:t>
      </w:r>
      <w:r>
        <w:rPr>
          <w:rFonts w:hint="eastAsia"/>
        </w:rPr>
        <w:t xml:space="preserve">输入、形状与初始条件</w:t>
      </w:r>
    </w:p>
    <w:p>
      <w:pPr>
        <w:pStyle w:val="FirstParagraph"/>
      </w:pPr>
      <w:r>
        <w:rPr>
          <w:rFonts w:hint="eastAsia"/>
        </w:rPr>
        <w:t xml:space="preserve">考虑两段平面气动软臂，归一化下发指令为</w:t>
      </w:r>
      <w:r>
        <w:t xml:space="preserve"> </w:t>
      </w:r>
      <m:oMath>
        <m:sSub>
          <m:e>
            <m:r>
              <m:t>u</m:t>
            </m:r>
          </m:e>
          <m:sub>
            <m:r>
              <m:t>k</m:t>
            </m:r>
          </m:sub>
        </m:sSub>
        <m:r>
          <m:rPr>
            <m:sty m:val="p"/>
          </m:rPr>
          <m:t>∈</m:t>
        </m:r>
        <m:r>
          <m:rPr>
            <m:sty m:val="p"/>
          </m:rPr>
          <m:t>[</m:t>
        </m:r>
        <m:r>
          <m:t>0</m:t>
        </m:r>
        <m:r>
          <m:rPr>
            <m:sty m:val="p"/>
          </m:rPr>
          <m:t>,</m:t>
        </m:r>
        <m:r>
          <m:t>1</m:t>
        </m:r>
        <m:sSup>
          <m:e>
            <m:r>
              <m:rPr>
                <m:sty m:val="p"/>
              </m:rPr>
              <m:t>]</m:t>
            </m:r>
          </m:e>
          <m:sup>
            <m:r>
              <m:t>4</m:t>
            </m:r>
          </m:sup>
        </m:sSup>
      </m:oMath>
      <w:r>
        <w:rPr>
          <w:rFonts w:hint="eastAsia"/>
        </w:rPr>
        <w:t xml:space="preserve">，在固定周期</w:t>
      </w:r>
      <w:r>
        <w:t xml:space="preserve"> </w:t>
      </w:r>
      <m:oMath>
        <m:r>
          <m:rPr>
            <m:sty m:val="p"/>
          </m:rPr>
          <m:t>[</m:t>
        </m:r>
        <m:sSub>
          <m:e>
            <m:r>
              <m:t>t</m:t>
            </m:r>
          </m:e>
          <m:sub>
            <m:r>
              <m:t>k</m:t>
            </m:r>
          </m:sub>
        </m:sSub>
        <m:r>
          <m:rPr>
            <m:sty m:val="p"/>
          </m:rPr>
          <m:t>,</m:t>
        </m:r>
        <m:sSub>
          <m:e>
            <m:r>
              <m:t>t</m:t>
            </m:r>
          </m:e>
          <m:sub>
            <m:r>
              <m:t>k</m:t>
            </m:r>
            <m:r>
              <m:rPr>
                <m:sty m:val="p"/>
              </m:rPr>
              <m:t>+</m:t>
            </m:r>
            <m:r>
              <m:t>1</m:t>
            </m:r>
          </m:sub>
        </m:sSub>
        <m:r>
          <m:rPr>
            <m:sty m:val="p"/>
          </m:rPr>
          <m:t>)</m:t>
        </m:r>
      </m:oMath>
      <w:r>
        <w:t xml:space="preserve"> </w:t>
      </w:r>
      <w:r>
        <w:rPr>
          <w:rFonts w:hint="eastAsia"/>
        </w:rPr>
        <w:t xml:space="preserve">内施加。中心线</w:t>
      </w:r>
      <w:r>
        <w:t xml:space="preserve"> </w:t>
      </w:r>
      <m:oMath>
        <m:sSub>
          <m:e>
            <m:r>
              <m:t>Y</m:t>
            </m:r>
          </m:e>
          <m:sub>
            <m:r>
              <m:t>k</m:t>
            </m:r>
          </m:sub>
        </m:sSub>
        <m:r>
          <m:rPr>
            <m:sty m:val="p"/>
          </m:rPr>
          <m:t>∈</m:t>
        </m:r>
        <m:sSup>
          <m:e>
            <m:r>
              <m:rPr>
                <m:scr m:val="double-struck"/>
                <m:sty m:val="p"/>
              </m:rPr>
              <m:t>R</m:t>
            </m:r>
          </m:e>
          <m:sup>
            <m:r>
              <m:t>15</m:t>
            </m:r>
            <m:r>
              <m:rPr>
                <m:sty m:val="p"/>
              </m:rPr>
              <m:t>×</m:t>
            </m:r>
            <m:r>
              <m:t>2</m:t>
            </m:r>
          </m:sup>
        </m:sSup>
      </m:oMath>
      <w:r>
        <w:t xml:space="preserve"> </w:t>
      </w:r>
      <w:r>
        <w:rPr>
          <w:rFonts w:hint="eastAsia"/>
        </w:rPr>
        <w:t xml:space="preserve">由基部至末端的十五节点组成。模型预测该输入区间末的形状，训练与控制采用一致的时间对应。</w:t>
      </w:r>
    </w:p>
    <w:p>
      <w:pPr>
        <w:pStyle w:val="BodyText"/>
      </w:pPr>
      <w:r>
        <w:rPr>
          <w:rFonts w:hint="eastAsia"/>
        </w:rPr>
        <w:t xml:space="preserve">本文输入为软件限速及通道映射后的实际下发值，不等同于腔内压力。驱动系统和臂体的综合响应由模型近似。训练数据应覆盖连续加载、反转、保持及不同动作时长；观测不局限于每次输入后的稳定帧。</w:t>
      </w:r>
    </w:p>
    <w:p>
      <w:pPr>
        <w:pStyle w:val="BodyText"/>
      </w:pPr>
      <w:r>
        <w:rPr>
          <w:rFonts w:hint="eastAsia"/>
        </w:rPr>
        <w:t xml:space="preserve">任务初态由已记录准备动作推进内部状态，并结合初始视觉确定。连续任务也可传递上一段的状态。本文不假定任意未知历史下的一张骨架足以唯一恢复内部状态；不同初始化方式的可用信息在实验中明确报告。</w:t>
      </w:r>
    </w:p>
    <w:bookmarkEnd w:id="16"/>
    <w:bookmarkStart w:id="17" w:name="b.-内部状态与几何读出"/>
    <w:p>
      <w:pPr>
        <w:pStyle w:val="Heading3"/>
      </w:pPr>
      <w:r>
        <w:t xml:space="preserve">B. </w:t>
      </w:r>
      <w:r>
        <w:rPr>
          <w:rFonts w:hint="eastAsia"/>
        </w:rPr>
        <w:t xml:space="preserve">内部状态与几何读出</w:t>
      </w:r>
    </w:p>
    <w:p>
      <w:pPr>
        <w:pStyle w:val="FirstParagraph"/>
      </w:pPr>
      <w:r>
        <w:rPr>
          <w:rFonts w:hint="eastAsia"/>
        </w:rPr>
        <w:t xml:space="preserve">单调归一化函数将各通道指令变换为</w:t>
      </w:r>
      <w:r>
        <w:t xml:space="preserve"> </w:t>
      </w:r>
      <m:oMath>
        <m:sSub>
          <m:e>
            <m:r>
              <m:t>e</m:t>
            </m:r>
          </m:e>
          <m:sub>
            <m:r>
              <m:t>c</m:t>
            </m:r>
            <m:r>
              <m:rPr>
                <m:sty m:val="p"/>
              </m:rPr>
              <m:t>,</m:t>
            </m:r>
            <m:r>
              <m:t>k</m:t>
            </m:r>
          </m:sub>
        </m:sSub>
      </m:oMath>
      <w:r>
        <w:t xml:space="preserve">。PI </w:t>
      </w:r>
      <w:r>
        <w:rPr>
          <w:rFonts w:hint="eastAsia"/>
        </w:rPr>
        <w:t xml:space="preserve">路径状态和一阶松弛状态分别满足</w:t>
      </w:r>
    </w:p>
    <w:p>
      <w:pPr>
        <w:pStyle w:val="BodyText"/>
      </w:pPr>
      <m:oMathPara>
        <m:oMathParaPr>
          <m:jc m:val="center"/>
        </m:oMathParaPr>
        <m:oMath>
          <m:sSub>
            <m:e>
              <m:r>
                <m:t>p</m:t>
              </m:r>
            </m:e>
            <m:sub>
              <m:r>
                <m:t>c</m:t>
              </m:r>
              <m:r>
                <m:rPr>
                  <m:sty m:val="p"/>
                </m:rPr>
                <m:t>,</m:t>
              </m:r>
              <m:r>
                <m:t>r</m:t>
              </m:r>
              <m:r>
                <m:rPr>
                  <m:sty m:val="p"/>
                </m:rPr>
                <m:t>,</m:t>
              </m:r>
              <m:r>
                <m:t>k</m:t>
              </m:r>
              <m:r>
                <m:rPr>
                  <m:sty m:val="p"/>
                </m:rPr>
                <m:t>+</m:t>
              </m:r>
              <m:r>
                <m:t>1</m:t>
              </m:r>
            </m:sub>
          </m:sSub>
          <m:r>
            <m:rPr>
              <m:sty m:val="p"/>
            </m:rPr>
            <m:t>=</m:t>
          </m:r>
          <m:r>
            <m:rPr>
              <m:sty m:val="p"/>
            </m:rPr>
            <m:t>clip</m:t>
          </m:r>
          <m:r>
            <m:rPr>
              <m:sty m:val="p"/>
            </m:rPr>
            <m:t>(</m:t>
          </m:r>
          <m:sSub>
            <m:e>
              <m:r>
                <m:t>p</m:t>
              </m:r>
            </m:e>
            <m:sub>
              <m:r>
                <m:t>c</m:t>
              </m:r>
              <m:r>
                <m:rPr>
                  <m:sty m:val="p"/>
                </m:rPr>
                <m:t>,</m:t>
              </m:r>
              <m:r>
                <m:t>r</m:t>
              </m:r>
              <m:r>
                <m:rPr>
                  <m:sty m:val="p"/>
                </m:rPr>
                <m:t>,</m:t>
              </m:r>
              <m:r>
                <m:t>k</m:t>
              </m:r>
            </m:sub>
          </m:sSub>
          <m:r>
            <m:rPr>
              <m:sty m:val="p"/>
            </m:rPr>
            <m:t>,</m:t>
          </m:r>
          <m:sSub>
            <m:e>
              <m:r>
                <m:t>e</m:t>
              </m:r>
            </m:e>
            <m:sub>
              <m:r>
                <m:t>c</m:t>
              </m:r>
              <m:r>
                <m:rPr>
                  <m:sty m:val="p"/>
                </m:rPr>
                <m:t>,</m:t>
              </m:r>
              <m:r>
                <m:t>k</m:t>
              </m:r>
            </m:sub>
          </m:sSub>
          <m:r>
            <m:rPr>
              <m:sty m:val="p"/>
            </m:rPr>
            <m:t>−</m:t>
          </m:r>
          <m:r>
            <m:t>r</m:t>
          </m:r>
          <m:r>
            <m:rPr>
              <m:sty m:val="p"/>
            </m:rPr>
            <m:t>,</m:t>
          </m:r>
          <m:sSub>
            <m:e>
              <m:r>
                <m:t>e</m:t>
              </m:r>
            </m:e>
            <m:sub>
              <m:r>
                <m:t>c</m:t>
              </m:r>
              <m:r>
                <m:rPr>
                  <m:sty m:val="p"/>
                </m:rPr>
                <m:t>,</m:t>
              </m:r>
              <m:r>
                <m:t>k</m:t>
              </m:r>
            </m:sub>
          </m:sSub>
          <m:r>
            <m:rPr>
              <m:sty m:val="p"/>
            </m:rPr>
            <m:t>+</m:t>
          </m:r>
          <m:r>
            <m:t>r</m:t>
          </m:r>
          <m:r>
            <m:rPr>
              <m:sty m:val="p"/>
            </m:rPr>
            <m:t>)</m:t>
          </m:r>
          <m:r>
            <m:rPr>
              <m:sty m:val="p"/>
            </m:rPr>
            <m:t>,</m:t>
          </m:r>
          <m:r>
            <m:t>  </m:t>
          </m:r>
          <m:sSub>
            <m:e>
              <m:r>
                <m:t>q</m:t>
              </m:r>
            </m:e>
            <m:sub>
              <m:r>
                <m:t>c</m:t>
              </m:r>
              <m:r>
                <m:rPr>
                  <m:sty m:val="p"/>
                </m:rPr>
                <m:t>,</m:t>
              </m:r>
              <m:r>
                <m:t>r</m:t>
              </m:r>
              <m:r>
                <m:rPr>
                  <m:sty m:val="p"/>
                </m:rPr>
                <m:t>,</m:t>
              </m:r>
              <m:r>
                <m:t>k</m:t>
              </m:r>
              <m:r>
                <m:rPr>
                  <m:sty m:val="p"/>
                </m:rPr>
                <m:t>+</m:t>
              </m:r>
              <m:r>
                <m:t>1</m:t>
              </m:r>
            </m:sub>
          </m:sSub>
          <m:r>
            <m:rPr>
              <m:sty m:val="p"/>
            </m:rPr>
            <m:t>=</m:t>
          </m:r>
          <m:sSub>
            <m:e>
              <m:r>
                <m:t>e</m:t>
              </m:r>
            </m:e>
            <m:sub>
              <m:r>
                <m:t>c</m:t>
              </m:r>
              <m:r>
                <m:rPr>
                  <m:sty m:val="p"/>
                </m:rPr>
                <m:t>,</m:t>
              </m:r>
              <m:r>
                <m:t>k</m:t>
              </m:r>
            </m:sub>
          </m:sSub>
          <m:r>
            <m:rPr>
              <m:sty m:val="p"/>
            </m:rPr>
            <m:t>−</m:t>
          </m:r>
          <m:sSub>
            <m:e>
              <m:r>
                <m:t>p</m:t>
              </m:r>
            </m:e>
            <m:sub>
              <m:r>
                <m:t>c</m:t>
              </m:r>
              <m:r>
                <m:rPr>
                  <m:sty m:val="p"/>
                </m:rPr>
                <m:t>,</m:t>
              </m:r>
              <m:r>
                <m:t>r</m:t>
              </m:r>
              <m:r>
                <m:rPr>
                  <m:sty m:val="p"/>
                </m:rPr>
                <m:t>,</m:t>
              </m:r>
              <m:r>
                <m:t>k</m:t>
              </m:r>
              <m:r>
                <m:rPr>
                  <m:sty m:val="p"/>
                </m:rPr>
                <m:t>+</m:t>
              </m:r>
              <m:r>
                <m:t>1</m:t>
              </m:r>
            </m:sub>
          </m:sSub>
          <m:r>
            <m:rPr>
              <m:sty m:val="p"/>
            </m:rPr>
            <m:t>,</m:t>
          </m:r>
        </m:oMath>
      </m:oMathPara>
    </w:p>
    <w:p>
      <w:pPr>
        <w:pStyle w:val="FirstParagraph"/>
      </w:pPr>
      <m:oMathPara>
        <m:oMathParaPr>
          <m:jc m:val="center"/>
        </m:oMathParaPr>
        <m:oMath>
          <m:sSub>
            <m:e>
              <m:r>
                <m:t>h</m:t>
              </m:r>
            </m:e>
            <m:sub>
              <m:r>
                <m:t>c</m:t>
              </m:r>
              <m:r>
                <m:rPr>
                  <m:sty m:val="p"/>
                </m:rPr>
                <m:t>,</m:t>
              </m:r>
              <m:r>
                <m:t>m</m:t>
              </m:r>
              <m:r>
                <m:rPr>
                  <m:sty m:val="p"/>
                </m:rPr>
                <m:t>,</m:t>
              </m:r>
              <m:r>
                <m:t>k</m:t>
              </m:r>
              <m:r>
                <m:rPr>
                  <m:sty m:val="p"/>
                </m:rPr>
                <m:t>+</m:t>
              </m:r>
              <m:r>
                <m:t>1</m:t>
              </m:r>
            </m:sub>
          </m:sSub>
          <m:r>
            <m:rPr>
              <m:sty m:val="p"/>
            </m:rPr>
            <m:t>=</m:t>
          </m:r>
          <m:sSub>
            <m:e>
              <m:r>
                <m:t>α</m:t>
              </m:r>
            </m:e>
            <m:sub>
              <m:r>
                <m:t>m</m:t>
              </m:r>
            </m:sub>
          </m:sSub>
          <m:sSub>
            <m:e>
              <m:r>
                <m:t>h</m:t>
              </m:r>
            </m:e>
            <m:sub>
              <m:r>
                <m:t>c</m:t>
              </m:r>
              <m:r>
                <m:rPr>
                  <m:sty m:val="p"/>
                </m:rPr>
                <m:t>,</m:t>
              </m:r>
              <m:r>
                <m:t>m</m:t>
              </m:r>
              <m:r>
                <m:rPr>
                  <m:sty m:val="p"/>
                </m:rPr>
                <m:t>,</m:t>
              </m:r>
              <m:r>
                <m:t>k</m:t>
              </m:r>
            </m:sub>
          </m:sSub>
          <m:r>
            <m:rPr>
              <m:sty m:val="p"/>
            </m:rPr>
            <m:t>+</m:t>
          </m:r>
          <m:r>
            <m:rPr>
              <m:sty m:val="p"/>
            </m:rPr>
            <m:t>(</m:t>
          </m:r>
          <m:r>
            <m:t>1</m:t>
          </m:r>
          <m:r>
            <m:rPr>
              <m:sty m:val="p"/>
            </m:rPr>
            <m:t>−</m:t>
          </m:r>
          <m:sSub>
            <m:e>
              <m:r>
                <m:t>α</m:t>
              </m:r>
            </m:e>
            <m:sub>
              <m:r>
                <m:t>m</m:t>
              </m:r>
            </m:sub>
          </m:sSub>
          <m:r>
            <m:rPr>
              <m:sty m:val="p"/>
            </m:rPr>
            <m:t>)</m:t>
          </m:r>
          <m:sSub>
            <m:e>
              <m:r>
                <m:t>e</m:t>
              </m:r>
            </m:e>
            <m:sub>
              <m:r>
                <m:t>c</m:t>
              </m:r>
              <m:r>
                <m:rPr>
                  <m:sty m:val="p"/>
                </m:rPr>
                <m:t>,</m:t>
              </m:r>
              <m:r>
                <m:t>k</m:t>
              </m:r>
            </m:sub>
          </m:sSub>
          <m:r>
            <m:rPr>
              <m:sty m:val="p"/>
            </m:rPr>
            <m:t>,</m:t>
          </m:r>
          <m:r>
            <m:t> </m:t>
          </m:r>
          <m:sSub>
            <m:e>
              <m:r>
                <m:t>α</m:t>
              </m:r>
            </m:e>
            <m:sub>
              <m:r>
                <m:t>m</m:t>
              </m:r>
            </m:sub>
          </m:sSub>
          <m:r>
            <m:rPr>
              <m:sty m:val="p"/>
            </m:rPr>
            <m:t>=</m:t>
          </m:r>
          <m:r>
            <m:rPr>
              <m:sty m:val="p"/>
            </m:rPr>
            <m:t>exp</m:t>
          </m:r>
          <m:r>
            <m:rPr>
              <m:sty m:val="p"/>
            </m:rPr>
            <m:t>(</m:t>
          </m:r>
          <m:r>
            <m:rPr>
              <m:sty m:val="p"/>
            </m:rPr>
            <m:t>−</m:t>
          </m:r>
          <m:r>
            <m:rPr>
              <m:sty m:val="p"/>
            </m:rPr>
            <m:t>Δ</m:t>
          </m:r>
          <m:r>
            <m:t>t</m:t>
          </m:r>
          <m:r>
            <m:rPr>
              <m:sty m:val="p"/>
            </m:rPr>
            <m:t>/</m:t>
          </m:r>
          <m:sSub>
            <m:e>
              <m:r>
                <m:t>τ</m:t>
              </m:r>
            </m:e>
            <m:sub>
              <m:r>
                <m:t>m</m:t>
              </m:r>
            </m:sub>
          </m:sSub>
          <m:r>
            <m:rPr>
              <m:sty m:val="p"/>
            </m:rPr>
            <m:t>)</m:t>
          </m:r>
          <m:r>
            <m:rPr>
              <m:sty m:val="p"/>
            </m:rPr>
            <m:t>,</m:t>
          </m:r>
          <m:r>
            <m:t> </m:t>
          </m:r>
          <m:sSub>
            <m:e>
              <m:r>
                <m:t>d</m:t>
              </m:r>
            </m:e>
            <m:sub>
              <m:r>
                <m:t>c</m:t>
              </m:r>
              <m:r>
                <m:rPr>
                  <m:sty m:val="p"/>
                </m:rPr>
                <m:t>,</m:t>
              </m:r>
              <m:r>
                <m:t>m</m:t>
              </m:r>
              <m:r>
                <m:rPr>
                  <m:sty m:val="p"/>
                </m:rPr>
                <m:t>,</m:t>
              </m:r>
              <m:r>
                <m:t>k</m:t>
              </m:r>
              <m:r>
                <m:rPr>
                  <m:sty m:val="p"/>
                </m:rPr>
                <m:t>+</m:t>
              </m:r>
              <m:r>
                <m:t>1</m:t>
              </m:r>
            </m:sub>
          </m:sSub>
          <m:r>
            <m:rPr>
              <m:sty m:val="p"/>
            </m:rPr>
            <m:t>=</m:t>
          </m:r>
          <m:sSub>
            <m:e>
              <m:r>
                <m:t>h</m:t>
              </m:r>
            </m:e>
            <m:sub>
              <m:r>
                <m:t>c</m:t>
              </m:r>
              <m:r>
                <m:rPr>
                  <m:sty m:val="p"/>
                </m:rPr>
                <m:t>,</m:t>
              </m:r>
              <m:r>
                <m:t>m</m:t>
              </m:r>
              <m:r>
                <m:rPr>
                  <m:sty m:val="p"/>
                </m:rPr>
                <m:t>,</m:t>
              </m:r>
              <m:r>
                <m:t>k</m:t>
              </m:r>
              <m:r>
                <m:rPr>
                  <m:sty m:val="p"/>
                </m:rPr>
                <m:t>+</m:t>
              </m:r>
              <m:r>
                <m:t>1</m:t>
              </m:r>
            </m:sub>
          </m:sSub>
          <m:r>
            <m:rPr>
              <m:sty m:val="p"/>
            </m:rPr>
            <m:t>−</m:t>
          </m:r>
          <m:sSub>
            <m:e>
              <m:r>
                <m:t>e</m:t>
              </m:r>
            </m:e>
            <m:sub>
              <m:r>
                <m:t>c</m:t>
              </m:r>
              <m:r>
                <m:rPr>
                  <m:sty m:val="p"/>
                </m:rPr>
                <m:t>,</m:t>
              </m:r>
              <m:r>
                <m:t>k</m:t>
              </m:r>
            </m:sub>
          </m:sSub>
          <m:r>
            <m:rPr>
              <m:sty m:val="p"/>
            </m:rPr>
            <m:t>.</m:t>
          </m:r>
        </m:oMath>
      </m:oMathPara>
    </w:p>
    <w:p>
      <w:pPr>
        <w:pStyle w:val="FirstParagraph"/>
      </w:pPr>
      <w:r>
        <w:rPr>
          <w:rFonts w:hint="eastAsia"/>
        </w:rPr>
        <w:t xml:space="preserve">路径分支记录加载和反转，松弛分支描述输入改变后的时间响应。每通道采用两个</w:t>
      </w:r>
      <w:r>
        <w:t xml:space="preserve"> PI </w:t>
      </w:r>
      <w:r>
        <w:rPr>
          <w:rFonts w:hint="eastAsia"/>
        </w:rPr>
        <w:t xml:space="preserve">和六个松弛状态，共三十二维内部状态。固定控制周期下，不同输入变化率自然产生不同响应，无需将动作速度解释为积分步长。</w:t>
      </w:r>
    </w:p>
    <w:p>
      <w:pPr>
        <w:pStyle w:val="BodyText"/>
      </w:pPr>
      <w:r>
        <w:rPr>
          <w:rFonts w:hint="eastAsia"/>
        </w:rPr>
        <w:t xml:space="preserve">局部形状坐标由十四个转角与两个臂段对数长度组成。其预测为</w:t>
      </w:r>
    </w:p>
    <w:p>
      <w:pPr>
        <w:pStyle w:val="BodyText"/>
      </w:pPr>
      <m:oMathPara>
        <m:oMathParaPr>
          <m:jc m:val="center"/>
        </m:oMathParaPr>
        <m:oMath>
          <m:sSub>
            <m:e>
              <m:acc>
                <m:accPr>
                  <m:chr m:val="̂"/>
                </m:accPr>
                <m:e>
                  <m:r>
                    <m:t>ξ</m:t>
                  </m:r>
                </m:e>
              </m:acc>
            </m:e>
            <m:sub>
              <m:r>
                <m:t>k</m:t>
              </m:r>
              <m:r>
                <m:rPr>
                  <m:sty m:val="p"/>
                </m:rPr>
                <m:t>+</m:t>
              </m:r>
              <m:r>
                <m:t>1</m:t>
              </m:r>
            </m:sub>
          </m:sSub>
          <m:r>
            <m:rPr>
              <m:sty m:val="p"/>
            </m:rPr>
            <m:t>=</m:t>
          </m:r>
          <m:sSub>
            <m:e>
              <m:r>
                <m:t>g</m:t>
              </m:r>
            </m:e>
            <m:sub>
              <m:r>
                <m:t>0</m:t>
              </m:r>
            </m:sub>
          </m:sSub>
          <m:r>
            <m:rPr>
              <m:sty m:val="p"/>
            </m:rPr>
            <m:t>(</m:t>
          </m:r>
          <m:sSub>
            <m:e>
              <m:r>
                <m:t>u</m:t>
              </m:r>
            </m:e>
            <m:sub>
              <m:r>
                <m:t>k</m:t>
              </m:r>
            </m:sub>
          </m:sSub>
          <m:r>
            <m:rPr>
              <m:sty m:val="p"/>
            </m:rPr>
            <m:t>)</m:t>
          </m:r>
          <m:r>
            <m:rPr>
              <m:sty m:val="p"/>
            </m:rPr>
            <m:t>+</m:t>
          </m:r>
          <m:r>
            <m:t>D</m:t>
          </m:r>
          <m:d>
            <m:dPr>
              <m:begChr m:val="("/>
              <m:sepChr m:val=""/>
              <m:endChr m:val=")"/>
              <m:grow/>
            </m:dPr>
            <m:e>
              <m:nary>
                <m:naryPr>
                  <m:chr m:val="∑"/>
                  <m:limLoc m:val="undOvr"/>
                  <m:subHide m:val="off"/>
                  <m:supHide m:val="on"/>
                </m:naryPr>
                <m:sub>
                  <m:r>
                    <m:t>c</m:t>
                  </m:r>
                  <m:r>
                    <m:rPr>
                      <m:sty m:val="p"/>
                    </m:rPr>
                    <m:t>,</m:t>
                  </m:r>
                  <m:r>
                    <m:t>r</m:t>
                  </m:r>
                </m:sub>
                <m:sup>
                  <m:r>
                    <m:t>​</m:t>
                  </m:r>
                </m:sup>
                <m:e>
                  <m:sSub>
                    <m:e>
                      <m:r>
                        <m:t>b</m:t>
                      </m:r>
                    </m:e>
                    <m:sub>
                      <m:r>
                        <m:t>c</m:t>
                      </m:r>
                      <m:r>
                        <m:rPr>
                          <m:sty m:val="p"/>
                        </m:rPr>
                        <m:t>,</m:t>
                      </m:r>
                      <m:r>
                        <m:t>r</m:t>
                      </m:r>
                    </m:sub>
                  </m:sSub>
                </m:e>
              </m:nary>
              <m:sSubSup>
                <m:e>
                  <m:r>
                    <m:t>v</m:t>
                  </m:r>
                </m:e>
                <m:sub>
                  <m:r>
                    <m:t>c</m:t>
                  </m:r>
                  <m:r>
                    <m:rPr>
                      <m:sty m:val="p"/>
                    </m:rPr>
                    <m:t>,</m:t>
                  </m:r>
                  <m:r>
                    <m:t>r</m:t>
                  </m:r>
                </m:sub>
                <m:sup>
                  <m:r>
                    <m:rPr>
                      <m:sty m:val="p"/>
                    </m:rPr>
                    <m:t>P</m:t>
                  </m:r>
                </m:sup>
              </m:sSubSup>
              <m:sSub>
                <m:e>
                  <m:r>
                    <m:t>q</m:t>
                  </m:r>
                </m:e>
                <m:sub>
                  <m:r>
                    <m:t>c</m:t>
                  </m:r>
                  <m:r>
                    <m:rPr>
                      <m:sty m:val="p"/>
                    </m:rPr>
                    <m:t>,</m:t>
                  </m:r>
                  <m:r>
                    <m:t>r</m:t>
                  </m:r>
                  <m:r>
                    <m:rPr>
                      <m:sty m:val="p"/>
                    </m:rPr>
                    <m:t>,</m:t>
                  </m:r>
                  <m:r>
                    <m:t>k</m:t>
                  </m:r>
                  <m:r>
                    <m:rPr>
                      <m:sty m:val="p"/>
                    </m:rPr>
                    <m:t>+</m:t>
                  </m:r>
                  <m:r>
                    <m:t>1</m:t>
                  </m:r>
                </m:sub>
              </m:sSub>
              <m:r>
                <m:rPr>
                  <m:sty m:val="p"/>
                </m:rPr>
                <m:t>+</m:t>
              </m:r>
              <m:nary>
                <m:naryPr>
                  <m:chr m:val="∑"/>
                  <m:limLoc m:val="undOvr"/>
                  <m:subHide m:val="off"/>
                  <m:supHide m:val="on"/>
                </m:naryPr>
                <m:sub>
                  <m:r>
                    <m:t>c</m:t>
                  </m:r>
                  <m:r>
                    <m:rPr>
                      <m:sty m:val="p"/>
                    </m:rPr>
                    <m:t>,</m:t>
                  </m:r>
                  <m:r>
                    <m:t>m</m:t>
                  </m:r>
                </m:sub>
                <m:sup>
                  <m:r>
                    <m:t>​</m:t>
                  </m:r>
                </m:sup>
                <m:e>
                  <m:sSub>
                    <m:e>
                      <m:r>
                        <m:t>γ</m:t>
                      </m:r>
                    </m:e>
                    <m:sub>
                      <m:r>
                        <m:t>c</m:t>
                      </m:r>
                      <m:r>
                        <m:rPr>
                          <m:sty m:val="p"/>
                        </m:rPr>
                        <m:t>,</m:t>
                      </m:r>
                      <m:r>
                        <m:t>m</m:t>
                      </m:r>
                    </m:sub>
                  </m:sSub>
                </m:e>
              </m:nary>
              <m:sSubSup>
                <m:e>
                  <m:r>
                    <m:t>v</m:t>
                  </m:r>
                </m:e>
                <m:sub>
                  <m:r>
                    <m:t>c</m:t>
                  </m:r>
                  <m:r>
                    <m:rPr>
                      <m:sty m:val="p"/>
                    </m:rPr>
                    <m:t>,</m:t>
                  </m:r>
                  <m:r>
                    <m:t>m</m:t>
                  </m:r>
                </m:sub>
                <m:sup>
                  <m:r>
                    <m:rPr>
                      <m:sty m:val="p"/>
                    </m:rPr>
                    <m:t>R</m:t>
                  </m:r>
                </m:sup>
              </m:sSubSup>
              <m:sSub>
                <m:e>
                  <m:r>
                    <m:t>d</m:t>
                  </m:r>
                </m:e>
                <m:sub>
                  <m:r>
                    <m:t>c</m:t>
                  </m:r>
                  <m:r>
                    <m:rPr>
                      <m:sty m:val="p"/>
                    </m:rPr>
                    <m:t>,</m:t>
                  </m:r>
                  <m:r>
                    <m:t>m</m:t>
                  </m:r>
                  <m:r>
                    <m:rPr>
                      <m:sty m:val="p"/>
                    </m:rPr>
                    <m:t>,</m:t>
                  </m:r>
                  <m:r>
                    <m:t>k</m:t>
                  </m:r>
                  <m:r>
                    <m:rPr>
                      <m:sty m:val="p"/>
                    </m:rPr>
                    <m:t>+</m:t>
                  </m:r>
                  <m:r>
                    <m:t>1</m:t>
                  </m:r>
                </m:sub>
              </m:sSub>
            </m:e>
          </m:d>
          <m:r>
            <m:rPr>
              <m:sty m:val="p"/>
            </m:rPr>
            <m:t>.</m:t>
          </m:r>
        </m:oMath>
      </m:oMathPara>
    </w:p>
    <w:p>
      <w:pPr>
        <w:pStyle w:val="FirstParagraph"/>
      </w:pPr>
      <w:r>
        <w:rPr>
          <w:rFonts w:hint="eastAsia"/>
        </w:rPr>
        <w:t xml:space="preserve">参考映射</w:t>
      </w:r>
      <w:r>
        <w:t xml:space="preserve"> </w:t>
      </w:r>
      <m:oMath>
        <m:sSub>
          <m:e>
            <m:r>
              <m:t>g</m:t>
            </m:r>
          </m:e>
          <m:sub>
            <m:r>
              <m:t>0</m:t>
            </m:r>
          </m:sub>
        </m:sSub>
      </m:oMath>
      <w:r>
        <w:t xml:space="preserve"> </w:t>
      </w:r>
      <w:r>
        <w:rPr>
          <w:rFonts w:hint="eastAsia"/>
        </w:rPr>
        <w:t xml:space="preserve">与坐标尺度</w:t>
      </w:r>
      <w:r>
        <w:t xml:space="preserve"> </w:t>
      </w:r>
      <m:oMath>
        <m:r>
          <m:t>D</m:t>
        </m:r>
      </m:oMath>
      <w:r>
        <w:t xml:space="preserve"> </w:t>
      </w:r>
      <w:r>
        <w:rPr>
          <w:rFonts w:hint="eastAsia"/>
        </w:rPr>
        <w:t xml:space="preserve">由训练数据确定后固定。方向向量归一化，增益非负；参考映射近似无记忆输入形状关系，不解释为唯一平衡形状。局部方向经转角累加得到，单元长度采用受限对数尺度的指数变换保持正值，再逐段积分重建中心线。主模型不使用附加神经残差分支。</w:t>
      </w:r>
    </w:p>
    <w:bookmarkEnd w:id="17"/>
    <w:bookmarkStart w:id="18" w:name="c.-辨识"/>
    <w:p>
      <w:pPr>
        <w:pStyle w:val="Heading3"/>
      </w:pPr>
      <w:r>
        <w:t xml:space="preserve">C. </w:t>
      </w:r>
      <w:r>
        <w:rPr>
          <w:rFonts w:hint="eastAsia"/>
        </w:rPr>
        <w:t xml:space="preserve">辨识</w:t>
      </w:r>
    </w:p>
    <w:p>
      <w:pPr>
        <w:pStyle w:val="FirstParagraph"/>
      </w:pPr>
      <w:r>
        <w:rPr>
          <w:rFonts w:hint="eastAsia"/>
        </w:rPr>
        <w:t xml:space="preserve">模型沿完整物理序列推进状态，以非基部节点的多步中心线误差训练输入变换和历史读出。训练、验证和测试按独立试次划分，分段计算时传递状态。模型选择采用验证集，参考映射及归一化不使用测试数据。</w:t>
      </w:r>
    </w:p>
    <w:p>
      <w:pPr>
        <w:pStyle w:val="BodyText"/>
      </w:pPr>
      <w:r>
        <w:rPr>
          <w:rFonts w:hint="eastAsia"/>
        </w:rPr>
        <w:t xml:space="preserve">以上过程记为</w:t>
      </w:r>
    </w:p>
    <w:p>
      <w:pPr>
        <w:pStyle w:val="BodyText"/>
      </w:pPr>
      <m:oMathPara>
        <m:oMathParaPr>
          <m:jc m:val="center"/>
        </m:oMathParaPr>
        <m:oMath>
          <m:sSubSup>
            <m:e>
              <m:r>
                <m:t>z</m:t>
              </m:r>
            </m:e>
            <m:sub>
              <m:r>
                <m:t>k</m:t>
              </m:r>
              <m:r>
                <m:rPr>
                  <m:sty m:val="p"/>
                </m:rPr>
                <m:t>+</m:t>
              </m:r>
              <m:r>
                <m:t>1</m:t>
              </m:r>
            </m:sub>
            <m:sup>
              <m:r>
                <m:rPr>
                  <m:sty m:val="p"/>
                </m:rPr>
                <m:t>−</m:t>
              </m:r>
            </m:sup>
          </m:sSubSup>
          <m:r>
            <m:rPr>
              <m:sty m:val="p"/>
            </m:rPr>
            <m:t>=</m:t>
          </m:r>
          <m:sSub>
            <m:e>
              <m:r>
                <m:t>F</m:t>
              </m:r>
            </m:e>
            <m:sub>
              <m:r>
                <m:t>θ</m:t>
              </m:r>
            </m:sub>
          </m:sSub>
          <m:r>
            <m:rPr>
              <m:sty m:val="p"/>
            </m:rPr>
            <m:t>(</m:t>
          </m:r>
          <m:sSubSup>
            <m:e>
              <m:r>
                <m:t>z</m:t>
              </m:r>
            </m:e>
            <m:sub>
              <m:r>
                <m:t>k</m:t>
              </m:r>
            </m:sub>
            <m:sup>
              <m:r>
                <m:rPr>
                  <m:sty m:val="p"/>
                </m:rPr>
                <m:t>+</m:t>
              </m:r>
            </m:sup>
          </m:sSubSup>
          <m:r>
            <m:rPr>
              <m:sty m:val="p"/>
            </m:rPr>
            <m:t>,</m:t>
          </m:r>
          <m:sSub>
            <m:e>
              <m:r>
                <m:t>u</m:t>
              </m:r>
            </m:e>
            <m:sub>
              <m:r>
                <m:t>k</m:t>
              </m:r>
            </m:sub>
          </m:sSub>
          <m:r>
            <m:rPr>
              <m:sty m:val="p"/>
            </m:rPr>
            <m:t>)</m:t>
          </m:r>
          <m:r>
            <m:rPr>
              <m:sty m:val="p"/>
            </m:rPr>
            <m:t>,</m:t>
          </m:r>
          <m:r>
            <m:t>  </m:t>
          </m:r>
          <m:sSubSup>
            <m:e>
              <m:acc>
                <m:accPr>
                  <m:chr m:val="̂"/>
                </m:accPr>
                <m:e>
                  <m:r>
                    <m:t>Y</m:t>
                  </m:r>
                </m:e>
              </m:acc>
            </m:e>
            <m:sub>
              <m:r>
                <m:t>k</m:t>
              </m:r>
              <m:r>
                <m:rPr>
                  <m:sty m:val="p"/>
                </m:rPr>
                <m:t>+</m:t>
              </m:r>
              <m:r>
                <m:t>1</m:t>
              </m:r>
            </m:sub>
            <m:sup>
              <m:r>
                <m:rPr>
                  <m:sty m:val="p"/>
                </m:rPr>
                <m:t>−</m:t>
              </m:r>
            </m:sup>
          </m:sSubSup>
          <m:r>
            <m:rPr>
              <m:sty m:val="p"/>
            </m:rPr>
            <m:t>=</m:t>
          </m:r>
          <m:sSub>
            <m:e>
              <m:r>
                <m:t>G</m:t>
              </m:r>
            </m:e>
            <m:sub>
              <m:r>
                <m:t>θ</m:t>
              </m:r>
            </m:sub>
          </m:sSub>
          <m:r>
            <m:rPr>
              <m:sty m:val="p"/>
            </m:rPr>
            <m:t>(</m:t>
          </m:r>
          <m:sSubSup>
            <m:e>
              <m:r>
                <m:t>z</m:t>
              </m:r>
            </m:e>
            <m:sub>
              <m:r>
                <m:t>k</m:t>
              </m:r>
              <m:r>
                <m:rPr>
                  <m:sty m:val="p"/>
                </m:rPr>
                <m:t>+</m:t>
              </m:r>
              <m:r>
                <m:t>1</m:t>
              </m:r>
            </m:sub>
            <m:sup>
              <m:r>
                <m:rPr>
                  <m:sty m:val="p"/>
                </m:rPr>
                <m:t>−</m:t>
              </m:r>
            </m:sup>
          </m:sSubSup>
          <m:r>
            <m:rPr>
              <m:sty m:val="p"/>
            </m:rPr>
            <m:t>,</m:t>
          </m:r>
          <m:sSub>
            <m:e>
              <m:r>
                <m:t>u</m:t>
              </m:r>
            </m:e>
            <m:sub>
              <m:r>
                <m:t>k</m:t>
              </m:r>
            </m:sub>
          </m:sSub>
          <m:r>
            <m:rPr>
              <m:sty m:val="p"/>
            </m:rPr>
            <m:t>)</m:t>
          </m:r>
          <m:r>
            <m:rPr>
              <m:sty m:val="p"/>
            </m:rPr>
            <m:t>.</m:t>
          </m:r>
        </m:oMath>
      </m:oMathPara>
    </w:p>
    <w:p>
      <w:pPr>
        <w:pStyle w:val="FirstParagraph"/>
      </w:pPr>
      <w:r>
        <w:rPr>
          <w:rFonts w:hint="eastAsia"/>
        </w:rPr>
        <w:t xml:space="preserve">主实验在线保持</w:t>
      </w:r>
      <w:r>
        <w:t xml:space="preserve"> </w:t>
      </w:r>
      <m:oMath>
        <m:r>
          <m:t>θ</m:t>
        </m:r>
      </m:oMath>
      <w:r>
        <w:t xml:space="preserve"> </w:t>
      </w:r>
      <w:r>
        <w:rPr>
          <w:rFonts w:hint="eastAsia"/>
        </w:rPr>
        <w:t xml:space="preserve">不变，更新对象为</w:t>
      </w:r>
      <w:r>
        <w:t xml:space="preserve"> </w:t>
      </w:r>
      <m:oMath>
        <m:r>
          <m:t>z</m:t>
        </m:r>
      </m:oMath>
      <w:r>
        <w:rPr>
          <w:rFonts w:hint="eastAsia"/>
        </w:rPr>
        <w:t xml:space="preserve">。内部状态具有明确的更新结构，但不等同于直接测得的材料变量。</w:t>
      </w:r>
    </w:p>
    <w:bookmarkEnd w:id="18"/>
    <w:bookmarkEnd w:id="19"/>
    <w:bookmarkStart w:id="23" w:name="iv.-部分观测控制框架"/>
    <w:p>
      <w:pPr>
        <w:pStyle w:val="Heading2"/>
      </w:pPr>
      <w:r>
        <w:t xml:space="preserve">IV. </w:t>
      </w:r>
      <w:r>
        <w:rPr>
          <w:rFonts w:hint="eastAsia"/>
        </w:rPr>
        <w:t xml:space="preserve">部分观测控制框架</w:t>
      </w:r>
    </w:p>
    <w:bookmarkStart w:id="20" w:name="a.-可用观测与状态校正"/>
    <w:p>
      <w:pPr>
        <w:pStyle w:val="Heading3"/>
      </w:pPr>
      <w:r>
        <w:t xml:space="preserve">A. </w:t>
      </w:r>
      <w:r>
        <w:rPr>
          <w:rFonts w:hint="eastAsia"/>
        </w:rPr>
        <w:t xml:space="preserve">可用观测与状态校正</w:t>
      </w:r>
    </w:p>
    <w:p>
      <w:pPr>
        <w:pStyle w:val="FirstParagraph"/>
      </w:pPr>
      <w:r>
        <w:rPr>
          <w:rFonts w:hint="eastAsia"/>
        </w:rPr>
        <w:t xml:space="preserve">时刻</w:t>
      </w:r>
      <w:r>
        <w:t xml:space="preserve"> </w:t>
      </w:r>
      <m:oMath>
        <m:r>
          <m:t>k</m:t>
        </m:r>
      </m:oMath>
      <w:r>
        <w:t xml:space="preserve"> </w:t>
      </w:r>
      <w:r>
        <w:rPr>
          <w:rFonts w:hint="eastAsia"/>
        </w:rPr>
        <w:t xml:space="preserve">的视觉观测为</w:t>
      </w:r>
      <w:r>
        <w:t xml:space="preserve"> </w:t>
      </w:r>
      <m:oMath>
        <m:sSub>
          <m:e>
            <m:r>
              <m:t>o</m:t>
            </m:r>
          </m:e>
          <m:sub>
            <m:r>
              <m:t>k</m:t>
            </m:r>
          </m:sub>
        </m:sSub>
        <m:r>
          <m:rPr>
            <m:sty m:val="p"/>
          </m:rPr>
          <m:t>=</m:t>
        </m:r>
        <m:sSub>
          <m:e>
            <m:r>
              <m:t>M</m:t>
            </m:r>
          </m:e>
          <m:sub>
            <m:r>
              <m:t>k</m:t>
            </m:r>
          </m:sub>
        </m:sSub>
        <m:sSub>
          <m:e>
            <m:r>
              <m:t>Y</m:t>
            </m:r>
          </m:e>
          <m:sub>
            <m:r>
              <m:t>k</m:t>
            </m:r>
          </m:sub>
        </m:sSub>
        <m:r>
          <m:rPr>
            <m:sty m:val="p"/>
          </m:rPr>
          <m:t>+</m:t>
        </m:r>
        <m:sSub>
          <m:e>
            <m:r>
              <m:t>ν</m:t>
            </m:r>
          </m:e>
          <m:sub>
            <m:r>
              <m:t>k</m:t>
            </m:r>
          </m:sub>
        </m:sSub>
      </m:oMath>
      <w:r>
        <w:rPr>
          <w:rFonts w:hint="eastAsia"/>
        </w:rPr>
        <w:t xml:space="preserve">，</w:t>
      </w:r>
      <m:oMath>
        <m:sSub>
          <m:e>
            <m:r>
              <m:t>M</m:t>
            </m:r>
          </m:e>
          <m:sub>
            <m:r>
              <m:t>k</m:t>
            </m:r>
          </m:sub>
        </m:sSub>
      </m:oMath>
      <w:r>
        <w:t xml:space="preserve"> </w:t>
      </w:r>
      <w:r>
        <w:rPr>
          <w:rFonts w:hint="eastAsia"/>
        </w:rPr>
        <w:t xml:space="preserve">选择有效节点，</w:t>
      </w:r>
      <m:oMath>
        <m:sSub>
          <m:e>
            <m:r>
              <m:t>ν</m:t>
            </m:r>
          </m:e>
          <m:sub>
            <m:r>
              <m:t>k</m:t>
            </m:r>
          </m:sub>
        </m:sSub>
      </m:oMath>
      <w:r>
        <w:t xml:space="preserve"> </w:t>
      </w:r>
      <w:r>
        <w:rPr>
          <w:rFonts w:hint="eastAsia"/>
        </w:rPr>
        <w:t xml:space="preserve">表示测量噪声。主设置在部分时刻获得完整中心线，无观测时不产生测量更新；部分节点可见单独评价。图像中推测补全的隐藏节点不作为独立实测值加入校正。</w:t>
      </w:r>
    </w:p>
    <w:p>
      <w:pPr>
        <w:pStyle w:val="BodyText"/>
      </w:pPr>
      <w:r>
        <w:rPr>
          <w:rFonts w:hint="eastAsia"/>
        </w:rPr>
        <w:t xml:space="preserve">新观测可用时，从预测状态</w:t>
      </w:r>
      <w:r>
        <w:t xml:space="preserve"> </w:t>
      </w:r>
      <m:oMath>
        <m:sSubSup>
          <m:e>
            <m:r>
              <m:t>z</m:t>
            </m:r>
          </m:e>
          <m:sub>
            <m:r>
              <m:t>k</m:t>
            </m:r>
          </m:sub>
          <m:sup>
            <m:r>
              <m:rPr>
                <m:sty m:val="p"/>
              </m:rPr>
              <m:t>−</m:t>
            </m:r>
          </m:sup>
        </m:sSubSup>
      </m:oMath>
      <w:r>
        <w:t xml:space="preserve"> </w:t>
      </w:r>
      <w:r>
        <w:rPr>
          <w:rFonts w:hint="eastAsia"/>
        </w:rPr>
        <w:t xml:space="preserve">出发求解</w:t>
      </w:r>
    </w:p>
    <w:p>
      <w:pPr>
        <w:pStyle w:val="BodyText"/>
      </w:pPr>
      <m:oMathPara>
        <m:oMathParaPr>
          <m:jc m:val="center"/>
        </m:oMathParaPr>
        <m:oMath>
          <m:r>
            <m:t>δ</m:t>
          </m:r>
          <m:sSup>
            <m:e>
              <m:r>
                <m:t>z</m:t>
              </m:r>
            </m:e>
            <m:sup>
              <m:r>
                <m:rPr>
                  <m:sty m:val="p"/>
                </m:rPr>
                <m:t>*</m:t>
              </m:r>
            </m:sup>
          </m:sSup>
          <m:r>
            <m:rPr>
              <m:sty m:val="p"/>
            </m:rPr>
            <m:t>=</m:t>
          </m:r>
          <m:r>
            <m:rPr>
              <m:sty m:val="p"/>
            </m:rPr>
            <m:t>arg</m:t>
          </m:r>
          <m:limLow>
            <m:e>
              <m:r>
                <m:rPr>
                  <m:sty m:val="p"/>
                </m:rPr>
                <m:t>min</m:t>
              </m:r>
            </m:e>
            <m:lim>
              <m:r>
                <m:t>δ</m:t>
              </m:r>
              <m:r>
                <m:t>z</m:t>
              </m:r>
            </m:lim>
          </m:limLow>
          <m:r>
            <m:t>ρ</m:t>
          </m:r>
          <m:d>
            <m:dPr>
              <m:begChr m:val="("/>
              <m:sepChr m:val=""/>
              <m:endChr m:val=")"/>
              <m:grow/>
            </m:dPr>
            <m:e>
              <m:sSubSup>
                <m:e>
                  <m:r>
                    <m:t>R</m:t>
                  </m:r>
                </m:e>
                <m:sub>
                  <m:r>
                    <m:t>k</m:t>
                  </m:r>
                </m:sub>
                <m:sup>
                  <m:r>
                    <m:rPr>
                      <m:sty m:val="p"/>
                    </m:rPr>
                    <m:t>−</m:t>
                  </m:r>
                  <m:r>
                    <m:t>1</m:t>
                  </m:r>
                  <m:r>
                    <m:rPr>
                      <m:sty m:val="p"/>
                    </m:rPr>
                    <m:t>/</m:t>
                  </m:r>
                  <m:r>
                    <m:t>2</m:t>
                  </m:r>
                </m:sup>
              </m:sSubSup>
              <m:r>
                <m:rPr>
                  <m:sty m:val="p"/>
                </m:rPr>
                <m:t>[</m:t>
              </m:r>
              <m:sSub>
                <m:e>
                  <m:r>
                    <m:t>M</m:t>
                  </m:r>
                </m:e>
                <m:sub>
                  <m:r>
                    <m:t>k</m:t>
                  </m:r>
                </m:sub>
              </m:sSub>
              <m:sSub>
                <m:e>
                  <m:r>
                    <m:t>G</m:t>
                  </m:r>
                </m:e>
                <m:sub>
                  <m:r>
                    <m:t>θ</m:t>
                  </m:r>
                </m:sub>
              </m:sSub>
              <m:r>
                <m:rPr>
                  <m:sty m:val="p"/>
                </m:rPr>
                <m:t>(</m:t>
              </m:r>
              <m:sSubSup>
                <m:e>
                  <m:r>
                    <m:t>z</m:t>
                  </m:r>
                </m:e>
                <m:sub>
                  <m:r>
                    <m:t>k</m:t>
                  </m:r>
                </m:sub>
                <m:sup>
                  <m:r>
                    <m:rPr>
                      <m:sty m:val="p"/>
                    </m:rPr>
                    <m:t>−</m:t>
                  </m:r>
                </m:sup>
              </m:sSubSup>
              <m:r>
                <m:rPr>
                  <m:sty m:val="p"/>
                </m:rPr>
                <m:t>+</m:t>
              </m:r>
              <m:r>
                <m:t>δ</m:t>
              </m:r>
              <m:r>
                <m:t>z</m:t>
              </m:r>
              <m:r>
                <m:rPr>
                  <m:sty m:val="p"/>
                </m:rPr>
                <m:t>,</m:t>
              </m:r>
              <m:sSub>
                <m:e>
                  <m:r>
                    <m:t>u</m:t>
                  </m:r>
                </m:e>
                <m:sub>
                  <m:r>
                    <m:t>k</m:t>
                  </m:r>
                  <m:r>
                    <m:rPr>
                      <m:sty m:val="p"/>
                    </m:rPr>
                    <m:t>−</m:t>
                  </m:r>
                  <m:r>
                    <m:t>1</m:t>
                  </m:r>
                </m:sub>
              </m:sSub>
              <m:r>
                <m:rPr>
                  <m:sty m:val="p"/>
                </m:rPr>
                <m:t>)</m:t>
              </m:r>
              <m:r>
                <m:rPr>
                  <m:sty m:val="p"/>
                </m:rPr>
                <m:t>−</m:t>
              </m:r>
              <m:sSub>
                <m:e>
                  <m:r>
                    <m:t>o</m:t>
                  </m:r>
                </m:e>
                <m:sub>
                  <m:r>
                    <m:t>k</m:t>
                  </m:r>
                </m:sub>
              </m:sSub>
              <m:r>
                <m:rPr>
                  <m:sty m:val="p"/>
                </m:rPr>
                <m:t>]</m:t>
              </m:r>
            </m:e>
          </m:d>
          <m:r>
            <m:rPr>
              <m:sty m:val="p"/>
            </m:rPr>
            <m:t>+</m:t>
          </m:r>
          <m:r>
            <m:t>λ</m:t>
          </m:r>
          <m:r>
            <m:rPr>
              <m:sty m:val="p"/>
            </m:rPr>
            <m:t>∥</m:t>
          </m:r>
          <m:sSubSup>
            <m:e>
              <m:r>
                <m:t>S</m:t>
              </m:r>
            </m:e>
            <m:sub>
              <m:r>
                <m:t>z</m:t>
              </m:r>
            </m:sub>
            <m:sup>
              <m:r>
                <m:rPr>
                  <m:sty m:val="p"/>
                </m:rPr>
                <m:t>−</m:t>
              </m:r>
              <m:r>
                <m:t>1</m:t>
              </m:r>
            </m:sup>
          </m:sSubSup>
          <m:r>
            <m:t>δ</m:t>
          </m:r>
          <m:r>
            <m:t>z</m:t>
          </m:r>
          <m:sSubSup>
            <m:e>
              <m:r>
                <m:rPr>
                  <m:sty m:val="p"/>
                </m:rPr>
                <m:t>∥</m:t>
              </m:r>
            </m:e>
            <m:sub>
              <m:r>
                <m:t>2</m:t>
              </m:r>
            </m:sub>
            <m:sup>
              <m:r>
                <m:t>2</m:t>
              </m:r>
            </m:sup>
          </m:sSubSup>
          <m:r>
            <m:rPr>
              <m:sty m:val="p"/>
            </m:rPr>
            <m:t>,</m:t>
          </m:r>
          <m:r>
            <m:t>  </m:t>
          </m:r>
          <m:sSubSup>
            <m:e>
              <m:r>
                <m:t>z</m:t>
              </m:r>
            </m:e>
            <m:sub>
              <m:r>
                <m:t>k</m:t>
              </m:r>
            </m:sub>
            <m:sup>
              <m:r>
                <m:rPr>
                  <m:sty m:val="p"/>
                </m:rPr>
                <m:t>+</m:t>
              </m:r>
            </m:sup>
          </m:sSubSup>
          <m:r>
            <m:rPr>
              <m:sty m:val="p"/>
            </m:rPr>
            <m:t>=</m:t>
          </m:r>
          <m:sSubSup>
            <m:e>
              <m:r>
                <m:t>z</m:t>
              </m:r>
            </m:e>
            <m:sub>
              <m:r>
                <m:t>k</m:t>
              </m:r>
            </m:sub>
            <m:sup>
              <m:r>
                <m:rPr>
                  <m:sty m:val="p"/>
                </m:rPr>
                <m:t>−</m:t>
              </m:r>
            </m:sup>
          </m:sSubSup>
          <m:r>
            <m:rPr>
              <m:sty m:val="p"/>
            </m:rPr>
            <m:t>+</m:t>
          </m:r>
          <m:r>
            <m:t>δ</m:t>
          </m:r>
          <m:sSup>
            <m:e>
              <m:r>
                <m:t>z</m:t>
              </m:r>
            </m:e>
            <m:sup>
              <m:r>
                <m:rPr>
                  <m:sty m:val="p"/>
                </m:rPr>
                <m:t>*</m:t>
              </m:r>
            </m:sup>
          </m:sSup>
          <m:r>
            <m:rPr>
              <m:sty m:val="p"/>
            </m:rPr>
            <m:t>.</m:t>
          </m:r>
        </m:oMath>
      </m:oMathPara>
    </w:p>
    <w:p>
      <w:pPr>
        <w:pStyle w:val="FirstParagraph"/>
      </w:pPr>
      <w:r>
        <w:rPr>
          <w:rFonts w:hint="eastAsia"/>
        </w:rPr>
        <w:t xml:space="preserve">其中</w:t>
      </w:r>
      <w:r>
        <w:t xml:space="preserve"> </w:t>
      </w:r>
      <m:oMath>
        <m:sSub>
          <m:e>
            <m:r>
              <m:t>R</m:t>
            </m:r>
          </m:e>
          <m:sub>
            <m:r>
              <m:t>k</m:t>
            </m:r>
          </m:sub>
        </m:sSub>
      </m:oMath>
      <w:r>
        <w:t xml:space="preserve"> </w:t>
      </w:r>
      <w:r>
        <w:rPr>
          <w:rFonts w:hint="eastAsia"/>
        </w:rPr>
        <w:t xml:space="preserve">按观测噪声及置信度缩放残差，</w:t>
      </w:r>
      <m:oMath>
        <m:sSub>
          <m:e>
            <m:r>
              <m:t>S</m:t>
            </m:r>
          </m:e>
          <m:sub>
            <m:r>
              <m:t>z</m:t>
            </m:r>
          </m:sub>
        </m:sSub>
      </m:oMath>
      <w:r>
        <w:t xml:space="preserve"> </w:t>
      </w:r>
      <w:r>
        <w:rPr>
          <w:rFonts w:hint="eastAsia"/>
        </w:rPr>
        <w:t xml:space="preserve">设置状态校正尺度，</w:t>
      </w:r>
      <m:oMath>
        <m:r>
          <m:t>ρ</m:t>
        </m:r>
      </m:oMath>
      <w:r>
        <w:t xml:space="preserve"> </w:t>
      </w:r>
      <w:r>
        <w:rPr>
          <w:rFonts w:hint="eastAsia"/>
        </w:rPr>
        <w:t xml:space="preserve">为鲁棒损失。优化满足有效</w:t>
      </w:r>
      <w:r>
        <w:t xml:space="preserve"> PI </w:t>
      </w:r>
      <w:r>
        <w:rPr>
          <w:rFonts w:hint="eastAsia"/>
        </w:rPr>
        <w:t xml:space="preserve">区间、松弛状态边界和更新幅度约束。正则项限制欠观测方向上的任意变化；它不保证单帧能够唯一确定全部状态。</w:t>
      </w:r>
    </w:p>
    <w:p>
      <w:pPr>
        <w:pStyle w:val="BodyText"/>
      </w:pPr>
      <w:r>
        <w:rPr>
          <w:rFonts w:hint="eastAsia"/>
        </w:rPr>
        <w:t xml:space="preserve">式（5）只评价当前状态的形状读出，不再次推进输入。若存在延迟，先在图像采集时刻对应的状态上校正，再用之后已执行的输入重放到当前时刻。无观测时取</w:t>
      </w:r>
      <w:r>
        <w:t xml:space="preserve"> </w:t>
      </w:r>
      <m:oMath>
        <m:sSubSup>
          <m:e>
            <m:r>
              <m:t>z</m:t>
            </m:r>
          </m:e>
          <m:sub>
            <m:r>
              <m:t>k</m:t>
            </m:r>
          </m:sub>
          <m:sup>
            <m:r>
              <m:rPr>
                <m:sty m:val="p"/>
              </m:rPr>
              <m:t>+</m:t>
            </m:r>
          </m:sup>
        </m:sSubSup>
        <m:r>
          <m:rPr>
            <m:sty m:val="p"/>
          </m:rPr>
          <m:t>=</m:t>
        </m:r>
        <m:sSubSup>
          <m:e>
            <m:r>
              <m:t>z</m:t>
            </m:r>
          </m:e>
          <m:sub>
            <m:r>
              <m:t>k</m:t>
            </m:r>
          </m:sub>
          <m:sup>
            <m:r>
              <m:rPr>
                <m:sty m:val="p"/>
              </m:rPr>
              <m:t>−</m:t>
            </m:r>
          </m:sup>
        </m:sSubSup>
      </m:oMath>
      <w:r>
        <w:t xml:space="preserve">。</w:t>
      </w:r>
    </w:p>
    <w:bookmarkEnd w:id="20"/>
    <w:bookmarkStart w:id="21" w:name="b.-窗口更新与重初始化比较"/>
    <w:p>
      <w:pPr>
        <w:pStyle w:val="Heading3"/>
      </w:pPr>
      <w:r>
        <w:t xml:space="preserve">B. </w:t>
      </w:r>
      <w:r>
        <w:rPr>
          <w:rFonts w:hint="eastAsia"/>
        </w:rPr>
        <w:t xml:space="preserve">窗口更新与重初始化比较</w:t>
      </w:r>
    </w:p>
    <w:p>
      <w:pPr>
        <w:pStyle w:val="FirstParagraph"/>
      </w:pPr>
      <w:r>
        <w:rPr>
          <w:rFonts w:hint="eastAsia"/>
        </w:rPr>
        <w:t xml:space="preserve">当多个过去观测可用时，可在有限窗口内优化初态，并通过式（4）重放已执行输入，使各有效观测与预测一致。该扩展沿用移动时域估计</w:t>
      </w:r>
      <w:r>
        <w:t xml:space="preserve"> </w:t>
      </w:r>
      <w:r>
        <w:rPr>
          <w:rFonts w:hint="eastAsia"/>
        </w:rPr>
        <w:t xml:space="preserve">[12]；计算预算和观测窗口需与基线对齐。</w:t>
      </w:r>
    </w:p>
    <w:p>
      <w:pPr>
        <w:pStyle w:val="BodyText"/>
      </w:pPr>
      <w:r>
        <w:rPr>
          <w:rFonts w:hint="eastAsia"/>
        </w:rPr>
        <w:t xml:space="preserve">实验主要比较保留历史并校正、仅校正输出偏置，以及根据当前观测重新初始化。重初始化采用只依赖当前观测及输入的优化或学习映射，使用合理先验、相同状态约束及相近计算预算；不将全部清零定义为唯一重初始化方法。各方法同时报告当前观测拟合和随后的预测误差。</w:t>
      </w:r>
    </w:p>
    <w:p>
      <w:pPr>
        <w:pStyle w:val="BodyText"/>
      </w:pPr>
      <w:r>
        <w:rPr>
          <w:rFonts w:hint="eastAsia"/>
        </w:rPr>
        <w:t xml:space="preserve">主方法固定网络参数，以区分状态估计与模型适应。在线参数更新仅作为持续模型失配下的扩展：使用累积观测、低维参数及相对离线模型的正则，而不是每见一帧便微调整个网络。</w:t>
      </w:r>
    </w:p>
    <w:bookmarkEnd w:id="21"/>
    <w:bookmarkStart w:id="22" w:name="c.-动作优化与执行"/>
    <w:p>
      <w:pPr>
        <w:pStyle w:val="Heading3"/>
      </w:pPr>
      <w:r>
        <w:t xml:space="preserve">C. </w:t>
      </w:r>
      <w:r>
        <w:rPr>
          <w:rFonts w:hint="eastAsia"/>
        </w:rPr>
        <w:t xml:space="preserve">动作优化与执行</w:t>
      </w:r>
    </w:p>
    <w:p>
      <w:pPr>
        <w:pStyle w:val="FirstParagraph"/>
      </w:pPr>
      <w:r>
        <w:rPr>
          <w:rFonts w:hint="eastAsia"/>
        </w:rPr>
        <w:t xml:space="preserve">给定目标中心线序列</w:t>
      </w:r>
      <w:r>
        <w:t xml:space="preserve"> </w:t>
      </w:r>
      <m:oMath>
        <m:sSubSup>
          <m:e>
            <m:r>
              <m:t>Y</m:t>
            </m:r>
          </m:e>
          <m:sub>
            <m:r>
              <m:t>k</m:t>
            </m:r>
            <m:r>
              <m:rPr>
                <m:sty m:val="p"/>
              </m:rPr>
              <m:t>+</m:t>
            </m:r>
            <m:r>
              <m:t>1</m:t>
            </m:r>
            <m:r>
              <m:rPr>
                <m:sty m:val="p"/>
              </m:rPr>
              <m:t>:</m:t>
            </m:r>
            <m:r>
              <m:t>k</m:t>
            </m:r>
            <m:r>
              <m:rPr>
                <m:sty m:val="p"/>
              </m:rPr>
              <m:t>+</m:t>
            </m:r>
            <m:r>
              <m:t>L</m:t>
            </m:r>
          </m:sub>
          <m:sup>
            <m:r>
              <m:rPr>
                <m:sty m:val="p"/>
              </m:rPr>
              <m:t>r</m:t>
            </m:r>
            <m:r>
              <m:rPr>
                <m:sty m:val="p"/>
              </m:rPr>
              <m:t>e</m:t>
            </m:r>
            <m:r>
              <m:rPr>
                <m:sty m:val="p"/>
              </m:rPr>
              <m:t>f</m:t>
            </m:r>
          </m:sup>
        </m:sSubSup>
      </m:oMath>
      <w:r>
        <w:rPr>
          <w:rFonts w:hint="eastAsia"/>
        </w:rPr>
        <w:t xml:space="preserve">，从当前状态优化输入：</w:t>
      </w:r>
    </w:p>
    <w:p>
      <w:pPr>
        <w:pStyle w:val="BodyText"/>
      </w:pPr>
      <m:oMathPara>
        <m:oMathParaPr>
          <m:jc m:val="center"/>
        </m:oMathParaPr>
        <m:oMath>
          <m:limLow>
            <m:e>
              <m:r>
                <m:rPr>
                  <m:sty m:val="p"/>
                </m:rPr>
                <m:t>min</m:t>
              </m:r>
            </m:e>
            <m:lim>
              <m:sSub>
                <m:e>
                  <m:r>
                    <m:t>u</m:t>
                  </m:r>
                </m:e>
                <m:sub>
                  <m:r>
                    <m:t>k</m:t>
                  </m:r>
                  <m:r>
                    <m:rPr>
                      <m:sty m:val="p"/>
                    </m:rPr>
                    <m:t>:</m:t>
                  </m:r>
                  <m:r>
                    <m:t>k</m:t>
                  </m:r>
                  <m:r>
                    <m:rPr>
                      <m:sty m:val="p"/>
                    </m:rPr>
                    <m:t>+</m:t>
                  </m:r>
                  <m:r>
                    <m:t>L</m:t>
                  </m:r>
                  <m:r>
                    <m:rPr>
                      <m:sty m:val="p"/>
                    </m:rPr>
                    <m:t>−</m:t>
                  </m:r>
                  <m:r>
                    <m:t>1</m:t>
                  </m:r>
                </m:sub>
              </m:sSub>
            </m:lim>
          </m:limLow>
          <m:nary>
            <m:naryPr>
              <m:chr m:val="∑"/>
              <m:limLoc m:val="undOvr"/>
              <m:subHide m:val="off"/>
              <m:supHide m:val="off"/>
            </m:naryPr>
            <m:sub>
              <m:r>
                <m:t>j</m:t>
              </m:r>
              <m:r>
                <m:rPr>
                  <m:sty m:val="p"/>
                </m:rPr>
                <m:t>=</m:t>
              </m:r>
              <m:r>
                <m:t>1</m:t>
              </m:r>
            </m:sub>
            <m:sup>
              <m:r>
                <m:t>L</m:t>
              </m:r>
            </m:sup>
            <m:e>
              <m:sSub>
                <m:e>
                  <m:r>
                    <m:t>w</m:t>
                  </m:r>
                </m:e>
                <m:sub>
                  <m:r>
                    <m:t>j</m:t>
                  </m:r>
                </m:sub>
              </m:sSub>
            </m:e>
          </m:nary>
          <m:sSup>
            <m:e>
              <m:r>
                <m:t>E</m:t>
              </m:r>
            </m:e>
            <m:sup>
              <m:r>
                <m:t>2</m:t>
              </m:r>
            </m:sup>
          </m:sSup>
          <m:r>
            <m:rPr>
              <m:sty m:val="p"/>
            </m:rPr>
            <m:t>(</m:t>
          </m:r>
          <m:sSub>
            <m:e>
              <m:acc>
                <m:accPr>
                  <m:chr m:val="̂"/>
                </m:accPr>
                <m:e>
                  <m:r>
                    <m:t>Y</m:t>
                  </m:r>
                </m:e>
              </m:acc>
            </m:e>
            <m:sub>
              <m:r>
                <m:t>k</m:t>
              </m:r>
              <m:r>
                <m:rPr>
                  <m:sty m:val="p"/>
                </m:rPr>
                <m:t>+</m:t>
              </m:r>
              <m:r>
                <m:t>j</m:t>
              </m:r>
            </m:sub>
          </m:sSub>
          <m:r>
            <m:rPr>
              <m:sty m:val="p"/>
            </m:rPr>
            <m:t>,</m:t>
          </m:r>
          <m:sSubSup>
            <m:e>
              <m:r>
                <m:t>Y</m:t>
              </m:r>
            </m:e>
            <m:sub>
              <m:r>
                <m:t>k</m:t>
              </m:r>
              <m:r>
                <m:rPr>
                  <m:sty m:val="p"/>
                </m:rPr>
                <m:t>+</m:t>
              </m:r>
              <m:r>
                <m:t>j</m:t>
              </m:r>
            </m:sub>
            <m:sup>
              <m:r>
                <m:rPr>
                  <m:sty m:val="p"/>
                </m:rPr>
                <m:t>r</m:t>
              </m:r>
              <m:r>
                <m:rPr>
                  <m:sty m:val="p"/>
                </m:rPr>
                <m:t>e</m:t>
              </m:r>
              <m:r>
                <m:rPr>
                  <m:sty m:val="p"/>
                </m:rPr>
                <m:t>f</m:t>
              </m:r>
            </m:sup>
          </m:sSubSup>
          <m:r>
            <m:rPr>
              <m:sty m:val="p"/>
            </m:rPr>
            <m:t>)</m:t>
          </m:r>
          <m:r>
            <m:rPr>
              <m:sty m:val="p"/>
            </m:rPr>
            <m:t>+</m:t>
          </m:r>
          <m:sSub>
            <m:e>
              <m:r>
                <m:t>λ</m:t>
              </m:r>
            </m:e>
            <m:sub>
              <m:r>
                <m:t>u</m:t>
              </m:r>
            </m:sub>
          </m:sSub>
          <m:nary>
            <m:naryPr>
              <m:chr m:val="∑"/>
              <m:limLoc m:val="undOvr"/>
              <m:subHide m:val="off"/>
              <m:supHide m:val="off"/>
            </m:naryPr>
            <m:sub>
              <m:r>
                <m:t>j</m:t>
              </m:r>
              <m:r>
                <m:rPr>
                  <m:sty m:val="p"/>
                </m:rPr>
                <m:t>=</m:t>
              </m:r>
              <m:r>
                <m:t>0</m:t>
              </m:r>
            </m:sub>
            <m:sup>
              <m:r>
                <m:t>L</m:t>
              </m:r>
              <m:r>
                <m:rPr>
                  <m:sty m:val="p"/>
                </m:rPr>
                <m:t>−</m:t>
              </m:r>
              <m:r>
                <m:t>1</m:t>
              </m:r>
            </m:sup>
            <m:e>
              <m:r>
                <m:rPr>
                  <m:sty m:val="p"/>
                </m:rPr>
                <m:t>∥</m:t>
              </m:r>
            </m:e>
          </m:nary>
          <m:sSub>
            <m:e>
              <m:r>
                <m:t>u</m:t>
              </m:r>
            </m:e>
            <m:sub>
              <m:r>
                <m:t>k</m:t>
              </m:r>
              <m:r>
                <m:rPr>
                  <m:sty m:val="p"/>
                </m:rPr>
                <m:t>+</m:t>
              </m:r>
              <m:r>
                <m:t>j</m:t>
              </m:r>
            </m:sub>
          </m:sSub>
          <m:r>
            <m:rPr>
              <m:sty m:val="p"/>
            </m:rPr>
            <m:t>−</m:t>
          </m:r>
          <m:sSub>
            <m:e>
              <m:r>
                <m:t>u</m:t>
              </m:r>
            </m:e>
            <m:sub>
              <m:r>
                <m:t>k</m:t>
              </m:r>
              <m:r>
                <m:rPr>
                  <m:sty m:val="p"/>
                </m:rPr>
                <m:t>+</m:t>
              </m:r>
              <m:r>
                <m:t>j</m:t>
              </m:r>
              <m:r>
                <m:rPr>
                  <m:sty m:val="p"/>
                </m:rPr>
                <m:t>−</m:t>
              </m:r>
              <m:r>
                <m:t>1</m:t>
              </m:r>
            </m:sub>
          </m:sSub>
          <m:sSubSup>
            <m:e>
              <m:r>
                <m:rPr>
                  <m:sty m:val="p"/>
                </m:rPr>
                <m:t>∥</m:t>
              </m:r>
            </m:e>
            <m:sub>
              <m:r>
                <m:t>2</m:t>
              </m:r>
            </m:sub>
            <m:sup>
              <m:r>
                <m:t>2</m:t>
              </m:r>
            </m:sup>
          </m:sSubSup>
          <m:r>
            <m:rPr>
              <m:sty m:val="p"/>
            </m:rPr>
            <m:t>,</m:t>
          </m:r>
        </m:oMath>
      </m:oMathPara>
    </w:p>
    <w:p>
      <w:pPr>
        <w:pStyle w:val="FirstParagraph"/>
      </w:pPr>
      <w:r>
        <w:rPr>
          <w:rFonts w:hint="eastAsia"/>
        </w:rPr>
        <w:t xml:space="preserve">其中</w:t>
      </w:r>
      <w:r>
        <w:t xml:space="preserve"> </w:t>
      </w:r>
      <m:oMath>
        <m:r>
          <m:t>E</m:t>
        </m:r>
      </m:oMath>
      <w:r>
        <w:t xml:space="preserve"> </w:t>
      </w:r>
      <w:r>
        <w:rPr>
          <w:rFonts w:hint="eastAsia"/>
        </w:rPr>
        <w:t xml:space="preserve">为非基部节点均方根距离，预测满足式（4），输入受硬件范围及变化率约束。采用直接射击优化，候选滚动使用状态副本。只有实际下发输入进入在线状态和历史日志。</w:t>
      </w:r>
    </w:p>
    <w:p>
      <w:pPr>
        <w:pStyle w:val="BodyText"/>
      </w:pPr>
      <w:r>
        <w:rPr>
          <w:rFonts w:hint="eastAsia"/>
        </w:rPr>
        <w:t xml:space="preserve">式（6）用于离线或任务开始前生成名义动作及形状轨迹。在线观测到来后先校正状态，再利用短窗口内的动态灵敏度计算少量输入增量，而不重复求解整段非线性规划。记从校正状态沿当前动作预测的形状相对名义参考的偏差为</w:t>
      </w:r>
      <w:r>
        <w:t xml:space="preserve"> </w:t>
      </w:r>
      <m:oMath>
        <m:r>
          <m:t>b</m:t>
        </m:r>
      </m:oMath>
      <w:r>
        <w:rPr>
          <w:rFonts w:hint="eastAsia"/>
        </w:rPr>
        <w:t xml:space="preserve">，未来形状对少量动作变量的</w:t>
      </w:r>
      <w:r>
        <w:t xml:space="preserve"> Jacobian </w:t>
      </w:r>
      <w:r>
        <w:rPr>
          <w:rFonts w:hint="eastAsia"/>
        </w:rPr>
        <w:t xml:space="preserve">为</w:t>
      </w:r>
      <w:r>
        <w:t xml:space="preserve"> </w:t>
      </w:r>
      <m:oMath>
        <m:r>
          <m:t>J</m:t>
        </m:r>
      </m:oMath>
      <w:r>
        <w:rPr>
          <w:rFonts w:hint="eastAsia"/>
        </w:rPr>
        <w:t xml:space="preserve">，则局部修正为</w:t>
      </w:r>
    </w:p>
    <w:p>
      <w:pPr>
        <w:pStyle w:val="BodyText"/>
      </w:pPr>
      <m:oMathPara>
        <m:oMathParaPr>
          <m:jc m:val="center"/>
        </m:oMathParaPr>
        <m:oMath>
          <m:r>
            <m:t>δ</m:t>
          </m:r>
          <m:sSup>
            <m:e>
              <m:r>
                <m:t>a</m:t>
              </m:r>
            </m:e>
            <m:sup>
              <m:r>
                <m:rPr>
                  <m:sty m:val="p"/>
                </m:rPr>
                <m:t>*</m:t>
              </m:r>
            </m:sup>
          </m:sSup>
          <m:r>
            <m:rPr>
              <m:sty m:val="p"/>
            </m:rPr>
            <m:t>=</m:t>
          </m:r>
          <m:r>
            <m:rPr>
              <m:sty m:val="p"/>
            </m:rPr>
            <m:t>arg</m:t>
          </m:r>
          <m:limLow>
            <m:e>
              <m:r>
                <m:rPr>
                  <m:sty m:val="p"/>
                </m:rPr>
                <m:t>min</m:t>
              </m:r>
            </m:e>
            <m:lim>
              <m:r>
                <m:t>δ</m:t>
              </m:r>
              <m:r>
                <m:t>a</m:t>
              </m:r>
            </m:lim>
          </m:limLow>
          <m:r>
            <m:rPr>
              <m:sty m:val="p"/>
            </m:rPr>
            <m:t>∥</m:t>
          </m:r>
          <m:r>
            <m:t>b</m:t>
          </m:r>
          <m:r>
            <m:rPr>
              <m:sty m:val="p"/>
            </m:rPr>
            <m:t>+</m:t>
          </m:r>
          <m:r>
            <m:t>J</m:t>
          </m:r>
          <m:r>
            <m:t>δ</m:t>
          </m:r>
          <m:r>
            <m:t>a</m:t>
          </m:r>
          <m:sSubSup>
            <m:e>
              <m:r>
                <m:rPr>
                  <m:sty m:val="p"/>
                </m:rPr>
                <m:t>∥</m:t>
              </m:r>
            </m:e>
            <m:sub>
              <m:r>
                <m:t>W</m:t>
              </m:r>
            </m:sub>
            <m:sup>
              <m:r>
                <m:t>2</m:t>
              </m:r>
            </m:sup>
          </m:sSubSup>
          <m:r>
            <m:rPr>
              <m:sty m:val="p"/>
            </m:rPr>
            <m:t>+</m:t>
          </m:r>
          <m:sSub>
            <m:e>
              <m:r>
                <m:t>λ</m:t>
              </m:r>
            </m:e>
            <m:sub>
              <m:r>
                <m:t>a</m:t>
              </m:r>
            </m:sub>
          </m:sSub>
          <m:r>
            <m:rPr>
              <m:sty m:val="p"/>
            </m:rPr>
            <m:t>∥</m:t>
          </m:r>
          <m:r>
            <m:t>δ</m:t>
          </m:r>
          <m:r>
            <m:t>a</m:t>
          </m:r>
          <m:sSubSup>
            <m:e>
              <m:r>
                <m:rPr>
                  <m:sty m:val="p"/>
                </m:rPr>
                <m:t>∥</m:t>
              </m:r>
            </m:e>
            <m:sub>
              <m:r>
                <m:t>2</m:t>
              </m:r>
            </m:sub>
            <m:sup>
              <m:r>
                <m:t>2</m:t>
              </m:r>
            </m:sup>
          </m:sSubSup>
          <m:r>
            <m:rPr>
              <m:sty m:val="p"/>
            </m:rPr>
            <m:t>.</m:t>
          </m:r>
        </m:oMath>
      </m:oMathPara>
    </w:p>
    <w:p>
      <w:pPr>
        <w:pStyle w:val="FirstParagraph"/>
      </w:pPr>
      <w:r>
        <w:rPr>
          <w:rFonts w:hint="eastAsia"/>
        </w:rPr>
        <w:t xml:space="preserve">优化施加压力范围、变化率和局部更新幅度约束。灵敏度及矩阵分解可沿名义轨迹预计算；局部近似失效时重新计算或请求慢速规划。观测与当前预测之差用于状态校正，而式（7）的偏差相对于跟踪参考定义，二者分别处理。状态校正也可使用一次正则化线性求解，以限制在线迭代成本。</w:t>
      </w:r>
    </w:p>
    <w:p>
      <w:pPr>
        <w:pStyle w:val="BodyText"/>
      </w:pPr>
      <w:r>
        <w:rPr>
          <w:rFonts w:hint="eastAsia"/>
        </w:rPr>
        <w:t xml:space="preserve">局部动作补丁在确定的未执行边界生效，计算期间继续执行已批准动作，并计入观测处理和通信延迟。在线状态沿所有实际下发输入推进，包括既往补偿；没有新观测时不重复注入同一测量残差。目标改变、大幅偏离或持续约束冲突时才启动慢速完整重规划，并采用固定前缀和未来切换时刻避免过期初态。实验同时报告局部补偿和完整重规划的端到端延迟、指令抖动及真实控制效果，不因采用矩阵运算就预设满足实时要求。</w:t>
      </w:r>
    </w:p>
    <w:bookmarkEnd w:id="22"/>
    <w:bookmarkEnd w:id="23"/>
    <w:bookmarkStart w:id="28" w:name="v.-实验设置"/>
    <w:p>
      <w:pPr>
        <w:pStyle w:val="Heading2"/>
      </w:pPr>
      <w:r>
        <w:t xml:space="preserve">V. </w:t>
      </w:r>
      <w:r>
        <w:rPr>
          <w:rFonts w:hint="eastAsia"/>
        </w:rPr>
        <w:t xml:space="preserve">实验设置</w:t>
      </w:r>
    </w:p>
    <w:bookmarkStart w:id="24" w:name="a.-平台数据与观测条件"/>
    <w:p>
      <w:pPr>
        <w:pStyle w:val="Heading3"/>
      </w:pPr>
      <w:r>
        <w:t xml:space="preserve">A. </w:t>
      </w:r>
      <w:r>
        <w:rPr>
          <w:rFonts w:hint="eastAsia"/>
        </w:rPr>
        <w:t xml:space="preserve">平台、数据与观测条件</w:t>
      </w:r>
    </w:p>
    <w:p>
      <w:pPr>
        <w:pStyle w:val="FirstParagraph"/>
      </w:pPr>
      <w:r>
        <w:rPr>
          <w:rFonts w:hint="eastAsia"/>
        </w:rPr>
        <w:t xml:space="preserve">实验采用固定安装、固定负载的两段平面气动软臂，连续记录指令及视觉中心线。控制周期拟设为</w:t>
      </w:r>
      <w:r>
        <w:t xml:space="preserve"> 0.1 </w:t>
      </w:r>
      <w:r>
        <w:rPr>
          <w:rFonts w:hint="eastAsia"/>
        </w:rPr>
        <w:t xml:space="preserve">s，通过指令时间戳和曝光时间核实对应关系。输入变化率和实测臂体速度用于描述运动快慢，不能仅以采样频率表示高速性能。</w:t>
      </w:r>
    </w:p>
    <w:p>
      <w:pPr>
        <w:pStyle w:val="BodyText"/>
      </w:pPr>
      <w:r>
        <w:rPr>
          <w:rFonts w:hint="eastAsia"/>
        </w:rPr>
        <w:t xml:space="preserve">首先以预定观测窗口控制可用于反馈的信息，使所有方法获得相同帧和节点；随后增加不接触臂体的真实遮挡。独立评价测量不进入控制器。若遮挡期间没有独立全身真值，不以模型补全代替测量评分。观测次数、有效帧数、可见节点及最长无观测时长分别记录。</w:t>
      </w:r>
    </w:p>
    <w:bookmarkEnd w:id="24"/>
    <w:bookmarkStart w:id="25" w:name="b.-无观测段的动态能力"/>
    <w:p>
      <w:pPr>
        <w:pStyle w:val="Heading3"/>
      </w:pPr>
      <w:r>
        <w:t xml:space="preserve">B. </w:t>
      </w:r>
      <w:r>
        <w:rPr>
          <w:rFonts w:hint="eastAsia"/>
        </w:rPr>
        <w:t xml:space="preserve">无观测段的动态能力</w:t>
      </w:r>
    </w:p>
    <w:p>
      <w:pPr>
        <w:pStyle w:val="FirstParagraph"/>
      </w:pPr>
      <w:r>
        <w:rPr>
          <w:rFonts w:hint="eastAsia"/>
        </w:rPr>
        <w:t xml:space="preserve">从相同初态协议出发，执行不同完成时长的形状任务，包含连续加载、反转及终点保持。初始观测之后不再提供反馈，比较</w:t>
      </w:r>
      <w:r>
        <w:t xml:space="preserve"> hereditary、GRU </w:t>
      </w:r>
      <w:r>
        <w:rPr>
          <w:rFonts w:hint="eastAsia"/>
        </w:rPr>
        <w:t xml:space="preserve">及</w:t>
      </w:r>
      <w:r>
        <w:t xml:space="preserve"> Krauss </w:t>
      </w:r>
      <w:r>
        <w:rPr>
          <w:rFonts w:hint="eastAsia"/>
        </w:rPr>
        <w:t xml:space="preserve">风格</w:t>
      </w:r>
      <w:r>
        <w:t xml:space="preserve"> </w:t>
      </w:r>
      <w:r>
        <w:rPr>
          <w:rFonts w:hint="eastAsia"/>
        </w:rPr>
        <w:t xml:space="preserve">VON／Koopman</w:t>
      </w:r>
      <w:r>
        <w:t xml:space="preserve"> </w:t>
      </w:r>
      <w:r>
        <w:rPr>
          <w:rFonts w:hint="eastAsia"/>
        </w:rPr>
        <w:t xml:space="preserve">模型的滚动预测和实际控制。各模型使用相同输入语义、训练试次、目标和规划预算。</w:t>
      </w:r>
    </w:p>
    <w:p>
      <w:pPr>
        <w:pStyle w:val="BodyText"/>
      </w:pPr>
      <w:r>
        <w:rPr>
          <w:rFonts w:hint="eastAsia"/>
        </w:rPr>
        <w:t xml:space="preserve">报告全身与末端误差、成功率、实际运动速度和执行时间。若具有压力测量，同时报告实际压力与下发指令的差异，区分驱动跟随与综合形状预测问题。该实验建立框架无观测段的基础能力，不预设已有模型已完成真实控制。</w:t>
      </w:r>
    </w:p>
    <w:bookmarkEnd w:id="25"/>
    <w:bookmarkStart w:id="26" w:name="c.-新观测之后的预测"/>
    <w:p>
      <w:pPr>
        <w:pStyle w:val="Heading3"/>
      </w:pPr>
      <w:r>
        <w:t xml:space="preserve">C. </w:t>
      </w:r>
      <w:r>
        <w:rPr>
          <w:rFonts w:hint="eastAsia"/>
        </w:rPr>
        <w:t xml:space="preserve">新观测之后的预测</w:t>
      </w:r>
    </w:p>
    <w:p>
      <w:pPr>
        <w:pStyle w:val="FirstParagraph"/>
      </w:pPr>
      <w:r>
        <w:rPr>
          <w:rFonts w:hint="eastAsia"/>
        </w:rPr>
        <w:t xml:space="preserve">在同一已执行序列上恢复一段有限观测，分别采用输出偏置、当前观测重初始化、带先验瞬时状态校正和窗口校正。之后再次隐藏观测，评价未来</w:t>
      </w:r>
      <w:r>
        <w:t xml:space="preserve"> 0.5、1、2 s </w:t>
      </w:r>
      <w:r>
        <w:rPr>
          <w:rFonts w:hint="eastAsia"/>
        </w:rPr>
        <w:t xml:space="preserve">的中心线误差。</w:t>
      </w:r>
    </w:p>
    <w:p>
      <w:pPr>
        <w:pStyle w:val="BodyText"/>
      </w:pPr>
      <w:r>
        <w:rPr>
          <w:rFonts w:hint="eastAsia"/>
        </w:rPr>
        <w:t xml:space="preserve">预测比较不因不同控制策略产生不同实际输入，因而可以隔离估计方法的作用。较快运动、加载反转和不同准备历史分别统计。若某方法只降低当前帧误差而未降低未来误差，不将其称为动态预测改善。</w:t>
      </w:r>
    </w:p>
    <w:bookmarkEnd w:id="26"/>
    <w:bookmarkStart w:id="27" w:name="d.-部分观测下的连续控制"/>
    <w:p>
      <w:pPr>
        <w:pStyle w:val="Heading3"/>
      </w:pPr>
      <w:r>
        <w:t xml:space="preserve">D. </w:t>
      </w:r>
      <w:r>
        <w:rPr>
          <w:rFonts w:hint="eastAsia"/>
        </w:rPr>
        <w:t xml:space="preserve">部分观测下的连续控制</w:t>
      </w:r>
    </w:p>
    <w:p>
      <w:pPr>
        <w:pStyle w:val="FirstParagraph"/>
      </w:pPr>
      <w:r>
        <w:rPr>
          <w:rFonts w:hint="eastAsia"/>
        </w:rPr>
        <w:t xml:space="preserve">任务包含多个全身形状航点，在中间航点不强制等待静置。主实验采用间歇完整视觉，观测间隔拟设为</w:t>
      </w:r>
      <w:r>
        <w:t xml:space="preserve"> 0.5、1、2 </w:t>
      </w:r>
      <w:r>
        <w:rPr>
          <w:rFonts w:hint="eastAsia"/>
        </w:rPr>
        <w:t xml:space="preserve">s；具体设置依据实测动态及执行能力在测试前固定。完整视觉和仅初始视觉作为参照，主要方法比较在相同间歇观测条件下进行。</w:t>
      </w:r>
    </w:p>
    <w:p>
      <w:pPr>
        <w:pStyle w:val="BodyText"/>
      </w:pPr>
      <w:r>
        <w:rPr>
          <w:rFonts w:hint="eastAsia"/>
        </w:rPr>
        <w:t xml:space="preserve">先在</w:t>
      </w:r>
      <w:r>
        <w:t xml:space="preserve"> hereditary </w:t>
      </w:r>
      <w:r>
        <w:rPr>
          <w:rFonts w:hint="eastAsia"/>
        </w:rPr>
        <w:t xml:space="preserve">内比较更新方式，再为</w:t>
      </w:r>
      <w:r>
        <w:t xml:space="preserve"> </w:t>
      </w:r>
      <w:r>
        <w:rPr>
          <w:rFonts w:hint="eastAsia"/>
        </w:rPr>
        <w:t xml:space="preserve">GRU、VON／Koopman</w:t>
      </w:r>
      <w:r>
        <w:t xml:space="preserve"> </w:t>
      </w:r>
      <w:r>
        <w:rPr>
          <w:rFonts w:hint="eastAsia"/>
        </w:rPr>
        <w:t xml:space="preserve">提供持续状态、合理初始化和同类校正，评价模型层面的差异。几何匹配读出作为辅助对照，不将改变输出表示后的模型冒充原方法的精确复现。</w:t>
      </w:r>
    </w:p>
    <w:p>
      <w:pPr>
        <w:pStyle w:val="BodyText"/>
      </w:pPr>
      <w:r>
        <w:rPr>
          <w:rFonts w:hint="eastAsia"/>
        </w:rPr>
        <w:t xml:space="preserve">主要指标为真实全身误差、95</w:t>
      </w:r>
      <w:r>
        <w:t xml:space="preserve"> </w:t>
      </w:r>
      <w:r>
        <w:rPr>
          <w:rFonts w:hint="eastAsia"/>
        </w:rPr>
        <w:t xml:space="preserve">分位误差、航点成功率和终点保持精度，同时报告状态更新与规划耗时。成功要求在统一容差内持续保持预定时长。每种条件至少进行五次独立物理重复，随机化执行顺序；失败与超时单独记录，统计以完整试次为单位。</w:t>
      </w:r>
    </w:p>
    <w:bookmarkEnd w:id="27"/>
    <w:bookmarkEnd w:id="28"/>
    <w:bookmarkStart w:id="32" w:name="vi.-结果"/>
    <w:p>
      <w:pPr>
        <w:pStyle w:val="Heading2"/>
      </w:pPr>
      <w:r>
        <w:t xml:space="preserve">VI. </w:t>
      </w:r>
      <w:r>
        <w:rPr>
          <w:rFonts w:hint="eastAsia"/>
        </w:rPr>
        <w:t xml:space="preserve">结果</w:t>
      </w:r>
    </w:p>
    <w:bookmarkStart w:id="29" w:name="a.-初始观测后的动态控制"/>
    <w:p>
      <w:pPr>
        <w:pStyle w:val="Heading3"/>
      </w:pPr>
      <w:r>
        <w:t xml:space="preserve">A. </w:t>
      </w:r>
      <w:r>
        <w:rPr>
          <w:rFonts w:hint="eastAsia"/>
        </w:rPr>
        <w:t xml:space="preserve">初始观测后的动态控制</w:t>
      </w:r>
    </w:p>
    <w:p>
      <w:pPr>
        <w:pStyle w:val="FirstParagraph"/>
      </w:pPr>
      <w:r>
        <w:rPr>
          <w:rFonts w:hint="eastAsia"/>
          <w:b/>
          <w:bCs/>
        </w:rPr>
        <w:t xml:space="preserve">表</w:t>
      </w:r>
      <w:r>
        <w:rPr>
          <w:b/>
          <w:bCs/>
        </w:rPr>
        <w:t xml:space="preserve"> I　</w:t>
      </w:r>
      <w:r>
        <w:rPr>
          <w:rFonts w:hint="eastAsia"/>
          <w:b/>
          <w:bCs/>
        </w:rPr>
        <w:t xml:space="preserve">只有初始视觉时的动态任务结果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模型</w:t>
            </w:r>
          </w:p>
        </w:tc>
        <w:tc>
          <w:tcPr/>
          <w:p>
            <w:pPr>
              <w:pStyle w:val="Compact"/>
              <w:jc w:val="right"/>
            </w:pPr>
            <w:r>
              <w:rPr>
                <w:rFonts w:hint="eastAsia"/>
              </w:rPr>
              <w:t xml:space="preserve">全身误差（mm）</w:t>
            </w:r>
          </w:p>
        </w:tc>
        <w:tc>
          <w:tcPr/>
          <w:p>
            <w:pPr>
              <w:pStyle w:val="Compact"/>
              <w:jc w:val="right"/>
            </w:pPr>
            <w:r>
              <w:rPr>
                <w:rFonts w:hint="eastAsia"/>
              </w:rPr>
              <w:t xml:space="preserve">末端误差（mm）</w:t>
            </w:r>
          </w:p>
        </w:tc>
        <w:tc>
          <w:tcPr/>
          <w:p>
            <w:pPr>
              <w:pStyle w:val="Compact"/>
              <w:jc w:val="right"/>
            </w:pPr>
            <w:r>
              <w:rPr>
                <w:rFonts w:hint="eastAsia"/>
              </w:rPr>
              <w:t xml:space="preserve">成功率（%）</w:t>
            </w:r>
          </w:p>
        </w:tc>
        <w:tc>
          <w:tcPr/>
          <w:p>
            <w:pPr>
              <w:pStyle w:val="Compact"/>
              <w:jc w:val="right"/>
            </w:pPr>
            <w:r>
              <w:rPr>
                <w:rFonts w:hint="eastAsia"/>
              </w:rPr>
              <w:t xml:space="preserve">任务时长（s）</w:t>
            </w:r>
          </w:p>
        </w:tc>
      </w:tr>
      <w:tr>
        <w:tc>
          <w:tcPr/>
          <w:p>
            <w:pPr>
              <w:pStyle w:val="Compact"/>
            </w:pPr>
            <w:r>
              <w:rPr>
                <w:rFonts w:hint="eastAsia"/>
              </w:rPr>
              <w:t xml:space="preserve">VON／Koopman</w:t>
            </w:r>
            <w:r>
              <w:t xml:space="preserve"> </w:t>
            </w:r>
            <w:r>
              <w:rPr>
                <w:rFonts w:hint="eastAsia"/>
              </w:rPr>
              <w:t xml:space="preserve">适配</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GRU</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t xml:space="preserve">Hereditary</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p>
      <w:pPr>
        <w:pStyle w:val="BodyText"/>
      </w:pPr>
      <w:r>
        <w:rPr>
          <w:rFonts w:hint="eastAsia"/>
        </w:rPr>
        <w:t xml:space="preserve">［待填：不同动作时长下的误差及实际运动速度；区分模型误差和输入跟随限制。］</w:t>
      </w:r>
    </w:p>
    <w:bookmarkEnd w:id="29"/>
    <w:bookmarkStart w:id="30" w:name="b.-观测更新与未来预测"/>
    <w:p>
      <w:pPr>
        <w:pStyle w:val="Heading3"/>
      </w:pPr>
      <w:r>
        <w:t xml:space="preserve">B. </w:t>
      </w:r>
      <w:r>
        <w:rPr>
          <w:rFonts w:hint="eastAsia"/>
        </w:rPr>
        <w:t xml:space="preserve">观测更新与未来预测</w:t>
      </w:r>
    </w:p>
    <w:p>
      <w:pPr>
        <w:pStyle w:val="FirstParagraph"/>
      </w:pPr>
      <w:r>
        <w:rPr>
          <w:rFonts w:hint="eastAsia"/>
          <w:b/>
          <w:bCs/>
        </w:rPr>
        <w:t xml:space="preserve">表</w:t>
      </w:r>
      <w:r>
        <w:rPr>
          <w:b/>
          <w:bCs/>
        </w:rPr>
        <w:t xml:space="preserve"> II　</w:t>
      </w:r>
      <w:r>
        <w:rPr>
          <w:rFonts w:hint="eastAsia"/>
          <w:b/>
          <w:bCs/>
        </w:rPr>
        <w:t xml:space="preserve">相同</w:t>
      </w:r>
      <w:r>
        <w:rPr>
          <w:b/>
          <w:bCs/>
        </w:rPr>
        <w:t xml:space="preserve"> hereditary </w:t>
      </w:r>
      <w:r>
        <w:rPr>
          <w:rFonts w:hint="eastAsia"/>
          <w:b/>
          <w:bCs/>
        </w:rPr>
        <w:t xml:space="preserve">模型下的更新策略比较（全身误差，mm）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更新方式</w:t>
            </w:r>
          </w:p>
        </w:tc>
        <w:tc>
          <w:tcPr/>
          <w:p>
            <w:pPr>
              <w:pStyle w:val="Compact"/>
              <w:jc w:val="right"/>
            </w:pPr>
            <w:r>
              <w:rPr>
                <w:rFonts w:hint="eastAsia"/>
              </w:rPr>
              <w:t xml:space="preserve">当前观测拟合</w:t>
            </w:r>
          </w:p>
        </w:tc>
        <w:tc>
          <w:tcPr/>
          <w:p>
            <w:pPr>
              <w:pStyle w:val="Compact"/>
              <w:jc w:val="right"/>
            </w:pPr>
            <w:r>
              <w:rPr>
                <w:rFonts w:hint="eastAsia"/>
              </w:rPr>
              <w:t xml:space="preserve">随后</w:t>
            </w:r>
            <w:r>
              <w:t xml:space="preserve"> 0.5 s</w:t>
            </w:r>
          </w:p>
        </w:tc>
        <w:tc>
          <w:tcPr/>
          <w:p>
            <w:pPr>
              <w:pStyle w:val="Compact"/>
              <w:jc w:val="right"/>
            </w:pPr>
            <w:r>
              <w:rPr>
                <w:rFonts w:hint="eastAsia"/>
              </w:rPr>
              <w:t xml:space="preserve">随后</w:t>
            </w:r>
            <w:r>
              <w:t xml:space="preserve"> 1 s</w:t>
            </w:r>
          </w:p>
        </w:tc>
        <w:tc>
          <w:tcPr/>
          <w:p>
            <w:pPr>
              <w:pStyle w:val="Compact"/>
              <w:jc w:val="right"/>
            </w:pPr>
            <w:r>
              <w:rPr>
                <w:rFonts w:hint="eastAsia"/>
              </w:rPr>
              <w:t xml:space="preserve">随后</w:t>
            </w:r>
            <w:r>
              <w:t xml:space="preserve"> 2 s</w:t>
            </w:r>
          </w:p>
        </w:tc>
      </w:tr>
      <w:tr>
        <w:tc>
          <w:tcPr/>
          <w:p>
            <w:pPr>
              <w:pStyle w:val="Compact"/>
            </w:pPr>
            <w:r>
              <w:rPr>
                <w:rFonts w:hint="eastAsia"/>
              </w:rPr>
              <w:t xml:space="preserve">输出偏置校正</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rPr>
                <w:rFonts w:hint="eastAsia"/>
              </w:rPr>
              <w:t xml:space="preserve">当前观测重初始化</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rPr>
                <w:rFonts w:hint="eastAsia"/>
              </w:rPr>
              <w:t xml:space="preserve">保留历史＋瞬时状态校正</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rPr>
                <w:rFonts w:hint="eastAsia"/>
              </w:rPr>
              <w:t xml:space="preserve">保留历史＋窗口校正</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p>
      <w:pPr>
        <w:pStyle w:val="BodyText"/>
      </w:pPr>
      <w:r>
        <w:rPr>
          <w:rFonts w:hint="eastAsia"/>
        </w:rPr>
        <w:t xml:space="preserve">［待填：当前拟合接近时的未来误差差异，以及不同历史／速率条件下是否一致。］</w:t>
      </w:r>
    </w:p>
    <w:bookmarkEnd w:id="30"/>
    <w:bookmarkStart w:id="31" w:name="c.-部分观测下的实物控制"/>
    <w:p>
      <w:pPr>
        <w:pStyle w:val="Heading3"/>
      </w:pPr>
      <w:r>
        <w:t xml:space="preserve">C. </w:t>
      </w:r>
      <w:r>
        <w:rPr>
          <w:rFonts w:hint="eastAsia"/>
        </w:rPr>
        <w:t xml:space="preserve">部分观测下的实物控制</w:t>
      </w:r>
    </w:p>
    <w:p>
      <w:pPr>
        <w:pStyle w:val="FirstParagraph"/>
      </w:pPr>
      <w:r>
        <w:rPr>
          <w:rFonts w:hint="eastAsia"/>
          <w:b/>
          <w:bCs/>
        </w:rPr>
        <w:t xml:space="preserve">表</w:t>
      </w:r>
      <w:r>
        <w:rPr>
          <w:b/>
          <w:bCs/>
        </w:rPr>
        <w:t xml:space="preserve"> III　</w:t>
      </w:r>
      <w:r>
        <w:rPr>
          <w:rFonts w:hint="eastAsia"/>
          <w:b/>
          <w:bCs/>
        </w:rPr>
        <w:t xml:space="preserve">相同间歇观测条件下的控制结果</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rPr>
                <w:rFonts w:hint="eastAsia"/>
              </w:rPr>
              <w:t xml:space="preserve">模型与控制设置</w:t>
            </w:r>
          </w:p>
        </w:tc>
        <w:tc>
          <w:tcPr/>
          <w:p>
            <w:pPr>
              <w:pStyle w:val="Compact"/>
              <w:jc w:val="right"/>
            </w:pPr>
            <w:r>
              <w:rPr>
                <w:rFonts w:hint="eastAsia"/>
              </w:rPr>
              <w:t xml:space="preserve">全身误差（mm）</w:t>
            </w:r>
          </w:p>
        </w:tc>
        <w:tc>
          <w:tcPr/>
          <w:p>
            <w:pPr>
              <w:pStyle w:val="Compact"/>
              <w:jc w:val="right"/>
            </w:pPr>
            <w:r>
              <w:t xml:space="preserve">95 </w:t>
            </w:r>
            <w:r>
              <w:rPr>
                <w:rFonts w:hint="eastAsia"/>
              </w:rPr>
              <w:t xml:space="preserve">分位误差（mm）</w:t>
            </w:r>
          </w:p>
        </w:tc>
        <w:tc>
          <w:tcPr/>
          <w:p>
            <w:pPr>
              <w:pStyle w:val="Compact"/>
              <w:jc w:val="right"/>
            </w:pPr>
            <w:r>
              <w:rPr>
                <w:rFonts w:hint="eastAsia"/>
              </w:rPr>
              <w:t xml:space="preserve">成功率（%）</w:t>
            </w:r>
          </w:p>
        </w:tc>
        <w:tc>
          <w:tcPr/>
          <w:p>
            <w:pPr>
              <w:pStyle w:val="Compact"/>
              <w:jc w:val="right"/>
            </w:pPr>
            <w:r>
              <w:rPr>
                <w:rFonts w:hint="eastAsia"/>
              </w:rPr>
              <w:t xml:space="preserve">更新／规划耗时（ms）</w:t>
            </w:r>
          </w:p>
        </w:tc>
      </w:tr>
      <w:tr>
        <w:tc>
          <w:tcPr/>
          <w:p>
            <w:pPr>
              <w:pStyle w:val="Compact"/>
            </w:pPr>
            <w:r>
              <w:rPr>
                <w:rFonts w:hint="eastAsia"/>
              </w:rPr>
              <w:t xml:space="preserve">潜动态＋观测校正</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rPr>
                <w:rFonts w:hint="eastAsia"/>
              </w:rPr>
              <w:t xml:space="preserve">GRU＋观测校正</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rPr>
                <w:rFonts w:hint="eastAsia"/>
              </w:rPr>
              <w:t xml:space="preserve">Hereditary＋重初始化</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r>
              <w:rPr>
                <w:rFonts w:hint="eastAsia"/>
              </w:rPr>
              <w:t xml:space="preserve">Hereditary＋状态校正</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p>
      <w:pPr>
        <w:pStyle w:val="BodyText"/>
      </w:pPr>
      <w:r>
        <w:rPr>
          <w:rFonts w:hint="eastAsia"/>
        </w:rPr>
        <w:t xml:space="preserve">［待填：各观测间隔下的真实效果、置信区间及失败原因。］</w:t>
      </w:r>
    </w:p>
    <w:p>
      <w:pPr>
        <w:pStyle w:val="BodyText"/>
      </w:pPr>
      <w:r>
        <w:rPr>
          <w:rFonts w:hint="eastAsia"/>
        </w:rPr>
        <w:t xml:space="preserve">表中“—”表示独立实验尚未完成。当前已有开发集指标不能替代上述观测更新与实物控制结果。</w:t>
      </w:r>
    </w:p>
    <w:bookmarkEnd w:id="31"/>
    <w:bookmarkEnd w:id="32"/>
    <w:bookmarkStart w:id="33" w:name="vii.-讨论"/>
    <w:p>
      <w:pPr>
        <w:pStyle w:val="Heading2"/>
      </w:pPr>
      <w:r>
        <w:t xml:space="preserve">VII. </w:t>
      </w:r>
      <w:r>
        <w:rPr>
          <w:rFonts w:hint="eastAsia"/>
        </w:rPr>
        <w:t xml:space="preserve">讨论</w:t>
      </w:r>
    </w:p>
    <w:p>
      <w:pPr>
        <w:pStyle w:val="FirstParagraph"/>
      </w:pPr>
      <w:r>
        <w:rPr>
          <w:rFonts w:hint="eastAsia"/>
        </w:rPr>
        <w:t xml:space="preserve">框架的性能应从模型和观测使用两个层面解释。较好的无观测预测提供执行基础，在线校正则利用新的信息减少偏差。若提升仅来自增加观测，而相同观测条件下各方法表现一致，就不能将收益归为某种历史结构。因此，模型内更新策略比较和模型间控制比较均有必要。</w:t>
      </w:r>
    </w:p>
    <w:p>
      <w:pPr>
        <w:pStyle w:val="BodyText"/>
      </w:pPr>
      <w:r>
        <w:rPr>
          <w:rFonts w:hint="eastAsia"/>
        </w:rPr>
        <w:t xml:space="preserve">历史先验也可能不准确。初始条件错误、长时间模型失配或未记录输入都会影响传播状态；校正应允许观测修正先验，而不是无条件信任此前状态。单帧信息不足时，正则项限制任意更新，但不保证唯一恢复。当前观测拟合与未来预测必须分开评价。</w:t>
      </w:r>
    </w:p>
    <w:p>
      <w:pPr>
        <w:pStyle w:val="BodyText"/>
      </w:pPr>
      <w:r>
        <w:rPr>
          <w:rFonts w:hint="eastAsia"/>
        </w:rPr>
        <w:t xml:space="preserve">在线参数适应可以处理某些持续变化，但其适用条件与状态校正不同。单帧偏差可能来自内部状态，直接改变网络可能损害原有动态。本文主路线因此保持模型固定；若长期残差显示规律性变化，可进一步比较低维参数适应及其额外数据、计算代价。</w:t>
      </w:r>
    </w:p>
    <w:p>
      <w:pPr>
        <w:pStyle w:val="BodyText"/>
      </w:pPr>
      <w:r>
        <w:rPr>
          <w:rFonts w:hint="eastAsia"/>
        </w:rPr>
        <w:t xml:space="preserve">当前模型面向固定驱动系统、无接触和平面中心线，其一阶松弛结构未显式表达一般惯性振荡。底层压力反馈可以与间歇视觉外环同时存在，但执行器带宽不能靠视觉校正消除。空间部分观测、未知负载、接触与三维表面控制需要独立验证，不能由主实验直接外推。</w:t>
      </w:r>
    </w:p>
    <w:bookmarkEnd w:id="33"/>
    <w:bookmarkStart w:id="34" w:name="viii.-结论"/>
    <w:p>
      <w:pPr>
        <w:pStyle w:val="Heading2"/>
      </w:pPr>
      <w:r>
        <w:t xml:space="preserve">VIII. </w:t>
      </w:r>
      <w:r>
        <w:rPr>
          <w:rFonts w:hint="eastAsia"/>
        </w:rPr>
        <w:t xml:space="preserve">结论</w:t>
      </w:r>
    </w:p>
    <w:p>
      <w:pPr>
        <w:pStyle w:val="FirstParagraph"/>
      </w:pPr>
      <w:r>
        <w:rPr>
          <w:rFonts w:hint="eastAsia"/>
        </w:rPr>
        <w:t xml:space="preserve">本文提出部分视觉观测下的气动软臂全身控制框架，以</w:t>
      </w:r>
      <w:r>
        <w:t xml:space="preserve"> hereditary </w:t>
      </w:r>
      <w:r>
        <w:rPr>
          <w:rFonts w:hint="eastAsia"/>
        </w:rPr>
        <w:t xml:space="preserve">动态模型支持无观测段的连续运动，以在线状态校正和局部动作反馈利用重新获得的视觉信息。框架通过显式中心线连接模型、观测和任务目标，并分别评价动态预测、观测更新与真实控制。［待填：独立实物实验支持的主要定量结论和适用条件。］</w:t>
      </w:r>
    </w:p>
    <w:bookmarkEnd w:id="34"/>
    <w:bookmarkStart w:id="49" w:name="参考文献"/>
    <w:p>
      <w:pPr>
        <w:pStyle w:val="Heading2"/>
      </w:pPr>
      <w:r>
        <w:rPr>
          <w:rFonts w:hint="eastAsia"/>
        </w:rPr>
        <w:t xml:space="preserve">参考文献</w:t>
      </w:r>
    </w:p>
    <w:p>
      <w:pPr>
        <w:pStyle w:val="FirstParagraph"/>
      </w:pPr>
      <w:r>
        <w:t xml:space="preserve">[1] C. Armanini, F. Boyer, A. T. Mathew, C. Duriez, and F. Renda, “Soft Robots Modeling: A Structured Overview,”</w:t>
      </w:r>
      <w:r>
        <w:t xml:space="preserve"> </w:t>
      </w:r>
      <w:r>
        <w:rPr>
          <w:i/>
          <w:iCs/>
        </w:rPr>
        <w:t xml:space="preserve">IEEE Transactions on Robotics</w:t>
      </w:r>
      <w:r>
        <w:t xml:space="preserve">, vol. 39, no. 3, pp. 1728–1748, 2023.</w:t>
      </w:r>
      <w:r>
        <w:t xml:space="preserve"> </w:t>
      </w:r>
      <w:hyperlink r:id="rId35">
        <w:r>
          <w:rPr>
            <w:rStyle w:val="Hyperlink"/>
          </w:rPr>
          <w:t xml:space="preserve">DOI</w:t>
        </w:r>
      </w:hyperlink>
      <w:r>
        <w:t xml:space="preserve">.</w:t>
      </w:r>
    </w:p>
    <w:p>
      <w:pPr>
        <w:pStyle w:val="BodyText"/>
      </w:pPr>
      <w:r>
        <w:t xml:space="preserve">[2] E. Almanzor et al., “Static Shape Control of Soft Continuum Robots Using Deep Visual Inverse Kinematic Models,”</w:t>
      </w:r>
      <w:r>
        <w:t xml:space="preserve"> </w:t>
      </w:r>
      <w:r>
        <w:rPr>
          <w:i/>
          <w:iCs/>
        </w:rPr>
        <w:t xml:space="preserve">IEEE Transactions on Robotics</w:t>
      </w:r>
      <w:r>
        <w:t xml:space="preserve">, vol. 39, no. 4, 2023.</w:t>
      </w:r>
      <w:r>
        <w:t xml:space="preserve"> </w:t>
      </w:r>
      <w:hyperlink r:id="rId36">
        <w:r>
          <w:rPr>
            <w:rStyle w:val="Hyperlink"/>
          </w:rPr>
          <w:t xml:space="preserve">DOI</w:t>
        </w:r>
      </w:hyperlink>
      <w:r>
        <w:t xml:space="preserve">.</w:t>
      </w:r>
    </w:p>
    <w:p>
      <w:pPr>
        <w:pStyle w:val="BodyText"/>
      </w:pPr>
      <w:r>
        <w:t xml:space="preserve">[3] T. Yoon et al., “Kinematics-Informed Neural Networks: Enhancing Generalization Performance of Soft Robot Model Identification,”</w:t>
      </w:r>
      <w:r>
        <w:t xml:space="preserve"> </w:t>
      </w:r>
      <w:r>
        <w:rPr>
          <w:i/>
          <w:iCs/>
        </w:rPr>
        <w:t xml:space="preserve">IEEE Robotics and Automation Letters</w:t>
      </w:r>
      <w:r>
        <w:t xml:space="preserve">, vol. 9, no. 4, pp. 3068–3075, 2024.</w:t>
      </w:r>
      <w:r>
        <w:t xml:space="preserve"> </w:t>
      </w:r>
      <w:hyperlink r:id="rId37">
        <w:r>
          <w:rPr>
            <w:rStyle w:val="Hyperlink"/>
          </w:rPr>
          <w:t xml:space="preserve">DOI</w:t>
        </w:r>
      </w:hyperlink>
      <w:r>
        <w:t xml:space="preserve">.</w:t>
      </w:r>
    </w:p>
    <w:p>
      <w:pPr>
        <w:pStyle w:val="BodyText"/>
      </w:pPr>
      <w:r>
        <w:t xml:space="preserve">[4] Z. Chen et al., “Hysteresis-Aware Neural Network Modeling and Whole-Body Reinforcement Learning Control of Soft Robots,”</w:t>
      </w:r>
      <w:r>
        <w:t xml:space="preserve"> </w:t>
      </w:r>
      <w:r>
        <w:rPr>
          <w:i/>
          <w:iCs/>
        </w:rPr>
        <w:t xml:space="preserve">IEEE Robotics and Automation Letters</w:t>
      </w:r>
      <w:r>
        <w:t xml:space="preserve">, 2025.</w:t>
      </w:r>
      <w:r>
        <w:t xml:space="preserve"> </w:t>
      </w:r>
      <w:hyperlink r:id="rId38">
        <w:r>
          <w:rPr>
            <w:rStyle w:val="Hyperlink"/>
          </w:rPr>
          <w:t xml:space="preserve">DOI</w:t>
        </w:r>
      </w:hyperlink>
      <w:r>
        <w:t xml:space="preserve">.</w:t>
      </w:r>
    </w:p>
    <w:p>
      <w:pPr>
        <w:pStyle w:val="BodyText"/>
      </w:pPr>
      <w:r>
        <w:t xml:space="preserve">[5] H. Schäfke et al., “Learning-based Nonlinear Model Predictive Control of Articulated Soft Robots using Recurrent Neural Networks,”</w:t>
      </w:r>
      <w:r>
        <w:t xml:space="preserve"> </w:t>
      </w:r>
      <w:r>
        <w:rPr>
          <w:i/>
          <w:iCs/>
        </w:rPr>
        <w:t xml:space="preserve">IEEE Robotics and Automation Letters</w:t>
      </w:r>
      <w:r>
        <w:t xml:space="preserve">, online 2024.</w:t>
      </w:r>
      <w:r>
        <w:t xml:space="preserve"> </w:t>
      </w:r>
      <w:hyperlink r:id="rId39">
        <w:r>
          <w:rPr>
            <w:rStyle w:val="Hyperlink"/>
          </w:rPr>
          <w:t xml:space="preserve">DOI</w:t>
        </w:r>
      </w:hyperlink>
      <w:r>
        <w:t xml:space="preserve">.</w:t>
      </w:r>
    </w:p>
    <w:p>
      <w:pPr>
        <w:pStyle w:val="BodyText"/>
      </w:pPr>
      <w:r>
        <w:t xml:space="preserve">[6] D. Bruder, B. Gillespie, C. D. Remy, and R. Vasudevan, “Modeling and Control of Soft Robots Using the Koopman Operator and Model Predictive Control,”</w:t>
      </w:r>
      <w:r>
        <w:t xml:space="preserve"> </w:t>
      </w:r>
      <w:r>
        <w:rPr>
          <w:i/>
          <w:iCs/>
        </w:rPr>
        <w:t xml:space="preserve">Robotics: Science and Systems</w:t>
      </w:r>
      <w:r>
        <w:t xml:space="preserve">, 2019.</w:t>
      </w:r>
      <w:r>
        <w:t xml:space="preserve"> </w:t>
      </w:r>
      <w:hyperlink r:id="rId40">
        <w:r>
          <w:rPr>
            <w:rStyle w:val="Hyperlink"/>
          </w:rPr>
          <w:t xml:space="preserve">DOI</w:t>
        </w:r>
      </w:hyperlink>
      <w:r>
        <w:t xml:space="preserve">.</w:t>
      </w:r>
    </w:p>
    <w:p>
      <w:pPr>
        <w:pStyle w:val="BodyText"/>
      </w:pPr>
      <w:r>
        <w:t xml:space="preserve">[7] D. A. Haggerty et al., “Control of soft robots with inertial dynamics,”</w:t>
      </w:r>
      <w:r>
        <w:t xml:space="preserve"> </w:t>
      </w:r>
      <w:r>
        <w:rPr>
          <w:i/>
          <w:iCs/>
        </w:rPr>
        <w:t xml:space="preserve">Science Robotics</w:t>
      </w:r>
      <w:r>
        <w:t xml:space="preserve">, vol. 8, no. 81, eadd6864, 2023.</w:t>
      </w:r>
      <w:r>
        <w:t xml:space="preserve"> </w:t>
      </w:r>
      <w:hyperlink r:id="rId41">
        <w:r>
          <w:rPr>
            <w:rStyle w:val="Hyperlink"/>
          </w:rPr>
          <w:t xml:space="preserve">DOI</w:t>
        </w:r>
      </w:hyperlink>
      <w:r>
        <w:t xml:space="preserve">.</w:t>
      </w:r>
    </w:p>
    <w:p>
      <w:pPr>
        <w:pStyle w:val="BodyText"/>
      </w:pPr>
      <w:r>
        <w:t xml:space="preserve">[8] H. Krauss, J. Licher, N. Takeishi, A. Raatz, and T. Yairi, “Accurate Open-Loop Control of a Soft Continuum Robot Through Visually Learned Latent Representations,” arXiv preprint, 2026.</w:t>
      </w:r>
      <w:r>
        <w:t xml:space="preserve"> </w:t>
      </w:r>
      <w:hyperlink r:id="rId42">
        <w:r>
          <w:rPr>
            <w:rStyle w:val="Hyperlink"/>
            <w:rFonts w:hint="eastAsia"/>
          </w:rPr>
          <w:t xml:space="preserve">原文</w:t>
        </w:r>
      </w:hyperlink>
      <w:r>
        <w:t xml:space="preserve">.</w:t>
      </w:r>
    </w:p>
    <w:p>
      <w:pPr>
        <w:pStyle w:val="BodyText"/>
      </w:pPr>
      <w:r>
        <w:t xml:space="preserve">[9] D. Kim, M. Park, and Y.-L. Park, “Probabilistic Modeling and Bayesian Filtering for Improved State Estimation for Soft Robots,”</w:t>
      </w:r>
      <w:r>
        <w:t xml:space="preserve"> </w:t>
      </w:r>
      <w:r>
        <w:rPr>
          <w:i/>
          <w:iCs/>
        </w:rPr>
        <w:t xml:space="preserve">IEEE Transactions on Robotics</w:t>
      </w:r>
      <w:r>
        <w:t xml:space="preserve">, vol. 37, no. 5, pp. 1728–1741, 2021.</w:t>
      </w:r>
      <w:r>
        <w:t xml:space="preserve"> </w:t>
      </w:r>
      <w:hyperlink r:id="rId43">
        <w:r>
          <w:rPr>
            <w:rStyle w:val="Hyperlink"/>
          </w:rPr>
          <w:t xml:space="preserve">DOI</w:t>
        </w:r>
      </w:hyperlink>
      <w:r>
        <w:t xml:space="preserve">.</w:t>
      </w:r>
    </w:p>
    <w:p>
      <w:pPr>
        <w:pStyle w:val="BodyText"/>
      </w:pPr>
      <w:r>
        <w:t xml:space="preserve">[10] X. Wang et al., “Eye-in-Hand Visual Servoing Enhanced With Sparse Strain Measurement for Soft Continuum Robots,”</w:t>
      </w:r>
      <w:r>
        <w:t xml:space="preserve"> </w:t>
      </w:r>
      <w:r>
        <w:rPr>
          <w:i/>
          <w:iCs/>
        </w:rPr>
        <w:t xml:space="preserve">IEEE Robotics and Automation Letters</w:t>
      </w:r>
      <w:r>
        <w:t xml:space="preserve">, vol. 5, no. 2, pp. 2161–2168, 2020.</w:t>
      </w:r>
      <w:r>
        <w:t xml:space="preserve"> </w:t>
      </w:r>
      <w:hyperlink r:id="rId44">
        <w:r>
          <w:rPr>
            <w:rStyle w:val="Hyperlink"/>
          </w:rPr>
          <w:t xml:space="preserve">DOI</w:t>
        </w:r>
      </w:hyperlink>
      <w:r>
        <w:t xml:space="preserve">.</w:t>
      </w:r>
    </w:p>
    <w:p>
      <w:pPr>
        <w:pStyle w:val="BodyText"/>
      </w:pPr>
      <w:r>
        <w:t xml:space="preserve">[11] K. Krikelis, J.-S. Pei, K. van Berkel, and M. Schoukens, “Identification of structured nonlinear state–space models for hysteretic systems using neural network hysteresis operators,”</w:t>
      </w:r>
      <w:r>
        <w:t xml:space="preserve"> </w:t>
      </w:r>
      <w:r>
        <w:rPr>
          <w:i/>
          <w:iCs/>
        </w:rPr>
        <w:t xml:space="preserve">Measurement</w:t>
      </w:r>
      <w:r>
        <w:t xml:space="preserve">, vol. 224, article 113966, 2024.</w:t>
      </w:r>
      <w:r>
        <w:t xml:space="preserve"> </w:t>
      </w:r>
      <w:hyperlink r:id="rId45">
        <w:r>
          <w:rPr>
            <w:rStyle w:val="Hyperlink"/>
          </w:rPr>
          <w:t xml:space="preserve">DOI</w:t>
        </w:r>
      </w:hyperlink>
      <w:r>
        <w:t xml:space="preserve">.</w:t>
      </w:r>
    </w:p>
    <w:p>
      <w:pPr>
        <w:pStyle w:val="BodyText"/>
      </w:pPr>
      <w:r>
        <w:t xml:space="preserve">[12] C. V. Rao, J. B. Rawlings, and D. Q. Mayne, “Constrained state estimation for nonlinear discrete-time systems: stability and moving horizon approximations,”</w:t>
      </w:r>
      <w:r>
        <w:t xml:space="preserve"> </w:t>
      </w:r>
      <w:r>
        <w:rPr>
          <w:i/>
          <w:iCs/>
        </w:rPr>
        <w:t xml:space="preserve">IEEE Transactions on Automatic Control</w:t>
      </w:r>
      <w:r>
        <w:t xml:space="preserve">, vol. 48, no. 2, pp. 246–258, 2003.</w:t>
      </w:r>
      <w:r>
        <w:t xml:space="preserve"> </w:t>
      </w:r>
      <w:hyperlink r:id="rId46">
        <w:r>
          <w:rPr>
            <w:rStyle w:val="Hyperlink"/>
          </w:rPr>
          <w:t xml:space="preserve">DOI</w:t>
        </w:r>
      </w:hyperlink>
      <w:r>
        <w:t xml:space="preserve">.</w:t>
      </w:r>
    </w:p>
    <w:p>
      <w:pPr>
        <w:pStyle w:val="BodyText"/>
      </w:pPr>
      <w:r>
        <w:t xml:space="preserve">[13] J. Gao, M. Y. Michelis, A. Spielberg, and R. K. Katzschmann, “Sim-to-Real of Soft Robots with Learned Residual Physics,”</w:t>
      </w:r>
      <w:r>
        <w:t xml:space="preserve"> </w:t>
      </w:r>
      <w:r>
        <w:rPr>
          <w:i/>
          <w:iCs/>
        </w:rPr>
        <w:t xml:space="preserve">IEEE Robotics and Automation Letters</w:t>
      </w:r>
      <w:r>
        <w:t xml:space="preserve">, 2024.</w:t>
      </w:r>
      <w:r>
        <w:t xml:space="preserve"> </w:t>
      </w:r>
      <w:hyperlink r:id="rId47">
        <w:r>
          <w:rPr>
            <w:rStyle w:val="Hyperlink"/>
            <w:rFonts w:hint="eastAsia"/>
          </w:rPr>
          <w:t xml:space="preserve">开放稿件</w:t>
        </w:r>
      </w:hyperlink>
      <w:r>
        <w:t xml:space="preserve">.</w:t>
      </w:r>
    </w:p>
    <w:p>
      <w:pPr>
        <w:pStyle w:val="BodyText"/>
      </w:pPr>
      <w:r>
        <w:t xml:space="preserve">[14] J. Shen, T. Miyazaki, and K. Kawashima, “Control Pneumatic Soft Bending Actuator With Feedforward Hysteresis Compensation by Pneumatic Physical Reservoir Computing,”</w:t>
      </w:r>
      <w:r>
        <w:t xml:space="preserve"> </w:t>
      </w:r>
      <w:r>
        <w:rPr>
          <w:i/>
          <w:iCs/>
        </w:rPr>
        <w:t xml:space="preserve">IEEE Robotics and Automation Letters</w:t>
      </w:r>
      <w:r>
        <w:t xml:space="preserve">, vol. 10, no. 2, pp. 1664–1671, 2025.</w:t>
      </w:r>
      <w:r>
        <w:t xml:space="preserve"> </w:t>
      </w:r>
      <w:hyperlink r:id="rId48">
        <w:r>
          <w:rPr>
            <w:rStyle w:val="Hyperlink"/>
          </w:rPr>
          <w:t xml:space="preserve">DOI</w:t>
        </w:r>
      </w:hyperlink>
      <w:r>
        <w:t xml:space="preserve">.</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designs/2026-09-08_partial_observation_hereditary_control.md" TargetMode="External" /><Relationship Type="http://schemas.openxmlformats.org/officeDocument/2006/relationships/hyperlink" Id="rId47" Target="https://arxiv.org/abs/2402.01086v2" TargetMode="External" /><Relationship Type="http://schemas.openxmlformats.org/officeDocument/2006/relationships/hyperlink" Id="rId42" Target="https://arxiv.org/html/2603.19655v1" TargetMode="External" /><Relationship Type="http://schemas.openxmlformats.org/officeDocument/2006/relationships/hyperlink" Id="rId45" Target="https://doi.org/10.1016/j.measurement.2023.113966" TargetMode="External" /><Relationship Type="http://schemas.openxmlformats.org/officeDocument/2006/relationships/hyperlink" Id="rId44" Target="https://doi.org/10.1109/LRA.2020.2969953" TargetMode="External" /><Relationship Type="http://schemas.openxmlformats.org/officeDocument/2006/relationships/hyperlink" Id="rId37" Target="https://doi.org/10.1109/LRA.2024.3362644" TargetMode="External" /><Relationship Type="http://schemas.openxmlformats.org/officeDocument/2006/relationships/hyperlink" Id="rId39" Target="https://doi.org/10.1109/LRA.2024.3495579" TargetMode="External" /><Relationship Type="http://schemas.openxmlformats.org/officeDocument/2006/relationships/hyperlink" Id="rId48" Target="https://doi.org/10.1109/LRA.2024.3523229" TargetMode="External" /><Relationship Type="http://schemas.openxmlformats.org/officeDocument/2006/relationships/hyperlink" Id="rId38" Target="https://doi.org/10.1109/LRA.2025.3615025" TargetMode="External" /><Relationship Type="http://schemas.openxmlformats.org/officeDocument/2006/relationships/hyperlink" Id="rId46" Target="https://doi.org/10.1109/TAC.2002.808470" TargetMode="External" /><Relationship Type="http://schemas.openxmlformats.org/officeDocument/2006/relationships/hyperlink" Id="rId43" Target="https://doi.org/10.1109/TRO.2021.3060335" TargetMode="External" /><Relationship Type="http://schemas.openxmlformats.org/officeDocument/2006/relationships/hyperlink" Id="rId35" Target="https://doi.org/10.1109/TRO.2022.3231360" TargetMode="External" /><Relationship Type="http://schemas.openxmlformats.org/officeDocument/2006/relationships/hyperlink" Id="rId36" Target="https://doi.org/10.1109/TRO.2023.3275375" TargetMode="External" /><Relationship Type="http://schemas.openxmlformats.org/officeDocument/2006/relationships/hyperlink" Id="rId41" Target="https://doi.org/10.1126/scirobotics.add6864" TargetMode="External" /><Relationship Type="http://schemas.openxmlformats.org/officeDocument/2006/relationships/hyperlink" Id="rId40" Target="https://doi.org/10.15607/RSS.2019.XV.060" TargetMode="External" /></Relationships>
</file>

<file path=word/_rels/footnotes.xml.rels><?xml version="1.0" encoding="UTF-8"?><Relationships xmlns="http://schemas.openxmlformats.org/package/2006/relationships"><Relationship Type="http://schemas.openxmlformats.org/officeDocument/2006/relationships/hyperlink" Id="rId9" Target="../designs/2026-09-08_partial_observation_hereditary_control.md" TargetMode="External" /><Relationship Type="http://schemas.openxmlformats.org/officeDocument/2006/relationships/hyperlink" Id="rId47" Target="https://arxiv.org/abs/2402.01086v2" TargetMode="External" /><Relationship Type="http://schemas.openxmlformats.org/officeDocument/2006/relationships/hyperlink" Id="rId42" Target="https://arxiv.org/html/2603.19655v1" TargetMode="External" /><Relationship Type="http://schemas.openxmlformats.org/officeDocument/2006/relationships/hyperlink" Id="rId45" Target="https://doi.org/10.1016/j.measurement.2023.113966" TargetMode="External" /><Relationship Type="http://schemas.openxmlformats.org/officeDocument/2006/relationships/hyperlink" Id="rId44" Target="https://doi.org/10.1109/LRA.2020.2969953" TargetMode="External" /><Relationship Type="http://schemas.openxmlformats.org/officeDocument/2006/relationships/hyperlink" Id="rId37" Target="https://doi.org/10.1109/LRA.2024.3362644" TargetMode="External" /><Relationship Type="http://schemas.openxmlformats.org/officeDocument/2006/relationships/hyperlink" Id="rId39" Target="https://doi.org/10.1109/LRA.2024.3495579" TargetMode="External" /><Relationship Type="http://schemas.openxmlformats.org/officeDocument/2006/relationships/hyperlink" Id="rId48" Target="https://doi.org/10.1109/LRA.2024.3523229" TargetMode="External" /><Relationship Type="http://schemas.openxmlformats.org/officeDocument/2006/relationships/hyperlink" Id="rId38" Target="https://doi.org/10.1109/LRA.2025.3615025" TargetMode="External" /><Relationship Type="http://schemas.openxmlformats.org/officeDocument/2006/relationships/hyperlink" Id="rId46" Target="https://doi.org/10.1109/TAC.2002.808470" TargetMode="External" /><Relationship Type="http://schemas.openxmlformats.org/officeDocument/2006/relationships/hyperlink" Id="rId43" Target="https://doi.org/10.1109/TRO.2021.3060335" TargetMode="External" /><Relationship Type="http://schemas.openxmlformats.org/officeDocument/2006/relationships/hyperlink" Id="rId35" Target="https://doi.org/10.1109/TRO.2022.3231360" TargetMode="External" /><Relationship Type="http://schemas.openxmlformats.org/officeDocument/2006/relationships/hyperlink" Id="rId36" Target="https://doi.org/10.1109/TRO.2023.3275375" TargetMode="External" /><Relationship Type="http://schemas.openxmlformats.org/officeDocument/2006/relationships/hyperlink" Id="rId41" Target="https://doi.org/10.1126/scirobotics.add6864" TargetMode="External" /><Relationship Type="http://schemas.openxmlformats.org/officeDocument/2006/relationships/hyperlink" Id="rId40" Target="https://doi.org/10.15607/RSS.2019.XV.0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2026-09-07T18:23:45Z</dcterms:created>
  <dcterms:modified xsi:type="dcterms:W3CDTF">2026-09-07T18:23:45Z</dcterms:modified>
</cp:coreProperties>
</file>

<file path=docProps/custom.xml><?xml version="1.0" encoding="utf-8"?>
<Properties xmlns="http://schemas.openxmlformats.org/officeDocument/2006/custom-properties" xmlns:vt="http://schemas.openxmlformats.org/officeDocument/2006/docPropsVTypes"/>
</file>