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BF30" w14:textId="3C15DA77" w:rsidR="009E684F" w:rsidRPr="00957DE4" w:rsidRDefault="009E684F" w:rsidP="009E684F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957DE4">
        <w:rPr>
          <w:rFonts w:ascii="Gentium" w:hAnsi="Gentium" w:cs="Gentium"/>
          <w:sz w:val="28"/>
          <w:szCs w:val="28"/>
        </w:rPr>
        <w:t>Titus 1</w:t>
      </w:r>
    </w:p>
    <w:p w14:paraId="1F697852" w14:textId="0E37F9E6" w:rsidR="009E684F" w:rsidRPr="00957DE4" w:rsidRDefault="009E684F" w:rsidP="002621D7">
      <w:pPr>
        <w:spacing w:before="12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957DE4">
        <w:rPr>
          <w:rFonts w:cs="Gentium"/>
          <w:sz w:val="24"/>
        </w:rPr>
        <w:t>Paul, a servant of God and an apostle of Jesus Christ,</w:t>
      </w:r>
      <w:r w:rsidR="00690A46" w:rsidRPr="00957DE4">
        <w:rPr>
          <w:rFonts w:cs="Gentium"/>
          <w:sz w:val="24"/>
        </w:rPr>
        <w:t xml:space="preserve"> </w:t>
      </w:r>
      <w:r w:rsidRPr="00957DE4">
        <w:rPr>
          <w:rFonts w:cs="Gentium"/>
          <w:sz w:val="24"/>
        </w:rPr>
        <w:t xml:space="preserve">according to the faith of God’s chosen ones and the knowledge of the truth which is according to godliness,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957DE4">
        <w:rPr>
          <w:rFonts w:cs="Gentium"/>
          <w:sz w:val="24"/>
        </w:rPr>
        <w:t xml:space="preserve">in hope of eternal life, which God, who can’t lie, promised before time began;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957DE4">
        <w:rPr>
          <w:rFonts w:cs="Gentium"/>
          <w:sz w:val="24"/>
        </w:rPr>
        <w:t xml:space="preserve">but in his own time revealed his word in the message with which I was entrusted according to the commandment of God our Saviour,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957DE4">
        <w:rPr>
          <w:rFonts w:cs="Gentium"/>
          <w:sz w:val="24"/>
        </w:rPr>
        <w:t xml:space="preserve">to Titus, my true child according to a common faith: Grace, mercy, and peace from God the Father and the Lord Jesus Christ our Saviour. </w:t>
      </w:r>
    </w:p>
    <w:p w14:paraId="2C399A23" w14:textId="28FED0FF" w:rsidR="009E684F" w:rsidRPr="00957DE4" w:rsidRDefault="009E684F" w:rsidP="002621D7">
      <w:pPr>
        <w:spacing w:before="12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957DE4">
        <w:rPr>
          <w:rFonts w:cs="Gentium"/>
          <w:sz w:val="24"/>
        </w:rPr>
        <w:t xml:space="preserve">I left you in Crete for this reason, that you would set in order the things that were lacking and appoint elders in every city, as I directed you—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957DE4">
        <w:rPr>
          <w:rFonts w:cs="Gentium"/>
          <w:sz w:val="24"/>
        </w:rPr>
        <w:t xml:space="preserve">if anyone is blameless, the husband of one wife, having children who believe, who are not accused of loose or unruly behaviour.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957DE4">
        <w:rPr>
          <w:rFonts w:cs="Gentium"/>
          <w:sz w:val="24"/>
        </w:rPr>
        <w:t xml:space="preserve">For the overseer must be blameless, as God’s steward, not self-pleasing, not easily angered, not given to wine, not violent, not greedy for dishonest gain;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957DE4">
        <w:rPr>
          <w:rFonts w:cs="Gentium"/>
          <w:sz w:val="24"/>
        </w:rPr>
        <w:t xml:space="preserve">but given to hospitality, a lover of good, sober minded, fair, holy, self-controlled,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Pr="00957DE4">
        <w:rPr>
          <w:rFonts w:cs="Gentium"/>
          <w:sz w:val="24"/>
        </w:rPr>
        <w:t xml:space="preserve">holding to the faithful word which is according to the teaching, that he may be able to exhort in the sound doctrine, and to convict those who contradict him. </w:t>
      </w:r>
    </w:p>
    <w:p w14:paraId="38DAFAF8" w14:textId="1F259F42" w:rsidR="009E684F" w:rsidRPr="00957DE4" w:rsidRDefault="009E684F" w:rsidP="002621D7">
      <w:pPr>
        <w:spacing w:before="12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957DE4">
        <w:rPr>
          <w:rFonts w:cs="Gentium"/>
          <w:sz w:val="24"/>
        </w:rPr>
        <w:t xml:space="preserve">For there are also many unruly men, vain talkers and deceivers, especially those of the circumcision,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957DE4">
        <w:rPr>
          <w:rFonts w:cs="Gentium"/>
          <w:sz w:val="24"/>
        </w:rPr>
        <w:t xml:space="preserve">whose mouths must be stopped: men who overthrow whole houses, teaching things which they ought not, for dishonest gain’s sake.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957DE4">
        <w:rPr>
          <w:rFonts w:cs="Gentium"/>
          <w:sz w:val="24"/>
        </w:rPr>
        <w:t xml:space="preserve">One of them, a prophet of their own, said, “Cretans are always liars, evil beasts, and idle gluttons.”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957DE4">
        <w:rPr>
          <w:rFonts w:cs="Gentium"/>
          <w:sz w:val="24"/>
        </w:rPr>
        <w:t xml:space="preserve">This testimony is true. For this cause, reprove them sharply, that they may be sound in the faith,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957DE4">
        <w:rPr>
          <w:rFonts w:cs="Gentium"/>
          <w:sz w:val="24"/>
        </w:rPr>
        <w:t xml:space="preserve">not paying attention to Jewish fables and commandments of men who turn away from the truth.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957DE4">
        <w:rPr>
          <w:rFonts w:cs="Gentium"/>
          <w:sz w:val="24"/>
        </w:rPr>
        <w:t xml:space="preserve">To the pure, all things are pure, but to those who are defiled and unbelieving, nothing is pure; but both their mind and their conscience are defiled.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16 </w:t>
      </w:r>
      <w:r w:rsidRPr="00957DE4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957DE4">
        <w:rPr>
          <w:rFonts w:cs="Gentium"/>
          <w:sz w:val="24"/>
        </w:rPr>
        <w:t xml:space="preserve">They profess that they know God, but by their deeds they deny him, being abominable, disobedient, and unfit for any good work. </w:t>
      </w:r>
    </w:p>
    <w:p w14:paraId="31F17384" w14:textId="77777777" w:rsidR="009E684F" w:rsidRPr="00957DE4" w:rsidRDefault="009E684F" w:rsidP="009E684F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9E684F" w:rsidRPr="00957DE4" w:rsidSect="009E684F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3DAD628" w14:textId="71E67A5F" w:rsidR="009E684F" w:rsidRPr="00957DE4" w:rsidRDefault="009E684F" w:rsidP="009E684F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957DE4">
        <w:rPr>
          <w:rFonts w:ascii="Gentium" w:hAnsi="Gentium" w:cs="Gentium"/>
          <w:sz w:val="28"/>
          <w:szCs w:val="28"/>
        </w:rPr>
        <w:t>Titus 2</w:t>
      </w:r>
    </w:p>
    <w:p w14:paraId="3D56A31C" w14:textId="51600E50" w:rsidR="009E684F" w:rsidRPr="00957DE4" w:rsidRDefault="009E684F" w:rsidP="002621D7">
      <w:pPr>
        <w:spacing w:before="12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957DE4">
        <w:rPr>
          <w:rFonts w:cs="Gentium"/>
          <w:sz w:val="24"/>
        </w:rPr>
        <w:t xml:space="preserve">But say the things which fit sound doctrine,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957DE4">
        <w:rPr>
          <w:rFonts w:cs="Gentium"/>
          <w:sz w:val="24"/>
        </w:rPr>
        <w:t xml:space="preserve">that older men should be temperate, sensible, sober minded, sound in faith, in love, and in perseverance,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957DE4">
        <w:rPr>
          <w:rFonts w:cs="Gentium"/>
          <w:sz w:val="24"/>
        </w:rPr>
        <w:t xml:space="preserve">and that older women likewise be reverent in behaviour, not slanderers nor enslaved to much wine, teachers of that which is good,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957DE4">
        <w:rPr>
          <w:rFonts w:cs="Gentium"/>
          <w:sz w:val="24"/>
        </w:rPr>
        <w:t xml:space="preserve">that they may train the young wives to love their husbands, to love their children,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957DE4">
        <w:rPr>
          <w:rFonts w:cs="Gentium"/>
          <w:sz w:val="24"/>
        </w:rPr>
        <w:t xml:space="preserve">to be sober minded, chaste, workers at home, kind, being in subjection to their own husbands, that God’s word may not be blasphemed. </w:t>
      </w:r>
    </w:p>
    <w:p w14:paraId="3FBC3633" w14:textId="0E8272F5" w:rsidR="009E684F" w:rsidRPr="00957DE4" w:rsidRDefault="009E684F" w:rsidP="002621D7">
      <w:pPr>
        <w:spacing w:before="12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957DE4">
        <w:rPr>
          <w:rFonts w:cs="Gentium"/>
          <w:sz w:val="24"/>
        </w:rPr>
        <w:t xml:space="preserve">Likewise, exhort the younger men to be sober minded.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957DE4">
        <w:rPr>
          <w:rFonts w:cs="Gentium"/>
          <w:sz w:val="24"/>
        </w:rPr>
        <w:t xml:space="preserve">In all things show yourself an example of good works. In your teaching, show integrity, seriousness, incorruptibility,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957DE4">
        <w:rPr>
          <w:rFonts w:cs="Gentium"/>
          <w:sz w:val="24"/>
        </w:rPr>
        <w:t xml:space="preserve">and soundness of speech that can’t be condemned, that he who opposes you may be ashamed, having no evil thing to say about us. </w:t>
      </w:r>
    </w:p>
    <w:p w14:paraId="327811E1" w14:textId="29D1F87E" w:rsidR="009E684F" w:rsidRPr="00957DE4" w:rsidRDefault="009E684F" w:rsidP="002621D7">
      <w:pPr>
        <w:spacing w:before="8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Pr="00957DE4">
        <w:rPr>
          <w:rFonts w:cs="Gentium"/>
          <w:sz w:val="24"/>
        </w:rPr>
        <w:t xml:space="preserve">Exhort servants to be in subjection to their own masters and to be well-pleasing in all things, not contradicting,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957DE4">
        <w:rPr>
          <w:rFonts w:cs="Gentium"/>
          <w:sz w:val="24"/>
        </w:rPr>
        <w:t xml:space="preserve">not stealing, but showing all good fidelity, that they may adorn the doctrine of God, our Saviour, in all things.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957DE4">
        <w:rPr>
          <w:rFonts w:cs="Gentium"/>
          <w:sz w:val="24"/>
        </w:rPr>
        <w:t xml:space="preserve">For the grace of God has appeared, bringing salvation to all men,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957DE4">
        <w:rPr>
          <w:rFonts w:cs="Gentium"/>
          <w:sz w:val="24"/>
        </w:rPr>
        <w:t xml:space="preserve">instructing us to the intent that, denying ungodliness and worldly lusts, we would live soberly, righteously, and godly in this present </w:t>
      </w:r>
      <w:r w:rsidRPr="00957DE4">
        <w:rPr>
          <w:rFonts w:cs="Gentium"/>
          <w:sz w:val="24"/>
        </w:rPr>
        <w:lastRenderedPageBreak/>
        <w:t xml:space="preserve">age;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957DE4">
        <w:rPr>
          <w:rFonts w:cs="Gentium"/>
          <w:sz w:val="24"/>
        </w:rPr>
        <w:t xml:space="preserve">looking for the blessed hope and appearing of the glory of our great God and Saviour, Jesus Christ,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957DE4">
        <w:rPr>
          <w:rFonts w:cs="Gentium"/>
          <w:sz w:val="24"/>
        </w:rPr>
        <w:t xml:space="preserve">who gave himself for us, that he might redeem us from all iniquity and purify for himself a people for his own possession, zealous for good works. </w:t>
      </w:r>
    </w:p>
    <w:p w14:paraId="4352A5ED" w14:textId="6458447A" w:rsidR="009E684F" w:rsidRPr="00957DE4" w:rsidRDefault="009E684F" w:rsidP="002621D7">
      <w:pPr>
        <w:spacing w:before="8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957DE4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957DE4">
        <w:rPr>
          <w:rFonts w:cs="Gentium"/>
          <w:sz w:val="24"/>
        </w:rPr>
        <w:t xml:space="preserve">Say these things and exhort and reprove with all authority. Let no one despise you. </w:t>
      </w:r>
    </w:p>
    <w:p w14:paraId="0B441029" w14:textId="77777777" w:rsidR="009E684F" w:rsidRPr="00957DE4" w:rsidRDefault="009E684F" w:rsidP="009E684F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9E684F" w:rsidRPr="00957DE4" w:rsidSect="009E684F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4B44FFC" w14:textId="4D2C9962" w:rsidR="009E684F" w:rsidRPr="00957DE4" w:rsidRDefault="009E684F" w:rsidP="009E684F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957DE4">
        <w:rPr>
          <w:rFonts w:ascii="Gentium" w:hAnsi="Gentium" w:cs="Gentium"/>
          <w:sz w:val="28"/>
          <w:szCs w:val="28"/>
        </w:rPr>
        <w:t>Titus 3</w:t>
      </w:r>
    </w:p>
    <w:p w14:paraId="246D5D0D" w14:textId="0CF0F041" w:rsidR="009E684F" w:rsidRPr="00957DE4" w:rsidRDefault="009E684F" w:rsidP="002621D7">
      <w:pPr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957DE4">
        <w:rPr>
          <w:rFonts w:cs="Gentium"/>
          <w:sz w:val="24"/>
        </w:rPr>
        <w:t xml:space="preserve">Remind them to be in subjection to rulers and to authorities, to be obedient, to be ready for every good work,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957DE4">
        <w:rPr>
          <w:rFonts w:cs="Gentium"/>
          <w:sz w:val="24"/>
        </w:rPr>
        <w:t xml:space="preserve">to speak evil of no one, not to be contentious, to be gentle, showing all humility towards all men.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957DE4">
        <w:rPr>
          <w:rFonts w:cs="Gentium"/>
          <w:sz w:val="24"/>
        </w:rPr>
        <w:t xml:space="preserve">For we were also once foolish, disobedient, deceived, serving various lusts and pleasures, living in malice and envy, hateful, and hating one another.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957DE4">
        <w:rPr>
          <w:rFonts w:cs="Gentium"/>
          <w:sz w:val="24"/>
        </w:rPr>
        <w:t xml:space="preserve">But when the kindness of God our Saviour and his love towards mankind appeared,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957DE4">
        <w:rPr>
          <w:rFonts w:cs="Gentium"/>
          <w:sz w:val="24"/>
        </w:rPr>
        <w:t xml:space="preserve">not by works of righteousness which we did ourselves, but according to his mercy, he saved us through the washing of regeneration and renewing by the Holy Spirit,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957DE4">
        <w:rPr>
          <w:rFonts w:cs="Gentium"/>
          <w:sz w:val="24"/>
        </w:rPr>
        <w:t xml:space="preserve">whom he poured out on us richly through Jesus Christ our Saviour;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957DE4">
        <w:rPr>
          <w:rFonts w:cs="Gentium"/>
          <w:sz w:val="24"/>
        </w:rPr>
        <w:t xml:space="preserve">that being justified by his grace, we might be made heirs according to the hope of eternal life.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957DE4">
        <w:rPr>
          <w:rFonts w:cs="Gentium"/>
          <w:sz w:val="24"/>
        </w:rPr>
        <w:t xml:space="preserve">This saying is faithful, and concerning these things I desire that you insist confidently, so that those who have believed God may be careful to maintain good works. These things are good and profitable to men;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957DE4">
        <w:rPr>
          <w:rFonts w:cs="Gentium"/>
          <w:sz w:val="24"/>
        </w:rPr>
        <w:t xml:space="preserve">but shun foolish questionings, genealogies, strife, and disputes about the law; for they are unprofitable and vain.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957DE4">
        <w:rPr>
          <w:rFonts w:cs="Gentium"/>
          <w:sz w:val="24"/>
        </w:rPr>
        <w:t xml:space="preserve">Avoid a factious man after a first and second warning,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957DE4">
        <w:rPr>
          <w:rFonts w:cs="Gentium"/>
          <w:sz w:val="24"/>
        </w:rPr>
        <w:t xml:space="preserve">knowing that such a one is perverted and sinful, being self-condemned. </w:t>
      </w:r>
    </w:p>
    <w:p w14:paraId="129781C9" w14:textId="77946C70" w:rsidR="009E684F" w:rsidRPr="00957DE4" w:rsidRDefault="009E684F" w:rsidP="002621D7">
      <w:pPr>
        <w:spacing w:before="8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957DE4">
        <w:rPr>
          <w:rFonts w:cs="Gentium"/>
          <w:sz w:val="24"/>
        </w:rPr>
        <w:t xml:space="preserve">When I send Artemas to you, or Tychicus, be diligent to come to me to Nicopolis, for I have determined to winter there.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957DE4">
        <w:rPr>
          <w:rFonts w:cs="Gentium"/>
          <w:sz w:val="24"/>
        </w:rPr>
        <w:t xml:space="preserve">Send Zenas the lawyer and Apollos on their journey speedily, that nothing may be lacking for them. </w:t>
      </w: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957DE4">
        <w:rPr>
          <w:rFonts w:cs="Gentium"/>
          <w:sz w:val="24"/>
        </w:rPr>
        <w:t xml:space="preserve">Let our people also learn to maintain good works to meet necessary needs, that they may not be unfruitful. </w:t>
      </w:r>
    </w:p>
    <w:p w14:paraId="595AA920" w14:textId="3E349AEB" w:rsidR="009E684F" w:rsidRPr="00957DE4" w:rsidRDefault="009E684F" w:rsidP="002621D7">
      <w:pPr>
        <w:spacing w:before="80"/>
        <w:ind w:firstLine="0"/>
        <w:jc w:val="both"/>
        <w:rPr>
          <w:rFonts w:cs="Gentium"/>
          <w:sz w:val="24"/>
        </w:rPr>
      </w:pPr>
      <w:r w:rsidRPr="00957DE4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957DE4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957DE4">
        <w:rPr>
          <w:rFonts w:cs="Gentium"/>
          <w:sz w:val="24"/>
        </w:rPr>
        <w:t xml:space="preserve">All who are with me greet you. Greet those who love us in faith. </w:t>
      </w:r>
    </w:p>
    <w:p w14:paraId="62AA114C" w14:textId="76272FD4" w:rsidR="00D95B18" w:rsidRPr="00957DE4" w:rsidRDefault="009E684F" w:rsidP="002621D7">
      <w:pPr>
        <w:spacing w:before="80"/>
        <w:ind w:firstLine="0"/>
        <w:jc w:val="both"/>
        <w:rPr>
          <w:rFonts w:cs="Gentium"/>
          <w:sz w:val="24"/>
        </w:rPr>
      </w:pPr>
      <w:r w:rsidRPr="00957DE4">
        <w:rPr>
          <w:rFonts w:cs="Gentium"/>
          <w:sz w:val="24"/>
        </w:rPr>
        <w:t xml:space="preserve">Grace be with you all. Amen. </w:t>
      </w:r>
    </w:p>
    <w:sectPr w:rsidR="00D95B18" w:rsidRPr="00957DE4" w:rsidSect="009E684F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E9BC9" w14:textId="77777777" w:rsidR="003068B1" w:rsidRDefault="003068B1" w:rsidP="009E684F">
      <w:r>
        <w:separator/>
      </w:r>
    </w:p>
  </w:endnote>
  <w:endnote w:type="continuationSeparator" w:id="0">
    <w:p w14:paraId="09D48208" w14:textId="77777777" w:rsidR="003068B1" w:rsidRDefault="003068B1" w:rsidP="009E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2728D" w14:textId="77777777" w:rsidR="003068B1" w:rsidRPr="009E684F" w:rsidRDefault="003068B1" w:rsidP="002621D7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bookmarkStart w:id="26" w:name="_Hlk169432279"/>
      <w:bookmarkStart w:id="27" w:name="_Hlk169432280"/>
      <w:bookmarkStart w:id="28" w:name="_Hlk169435044"/>
      <w:bookmarkStart w:id="29" w:name="_Hlk169435045"/>
      <w:bookmarkStart w:id="30" w:name="_Hlk169454861"/>
      <w:bookmarkStart w:id="31" w:name="_Hlk169454862"/>
      <w:bookmarkStart w:id="32" w:name="_Hlk169466812"/>
      <w:bookmarkStart w:id="33" w:name="_Hlk169466813"/>
      <w:bookmarkStart w:id="34" w:name="_Hlk169514393"/>
      <w:bookmarkStart w:id="35" w:name="_Hlk169514394"/>
      <w:bookmarkStart w:id="36" w:name="_Hlk169519038"/>
      <w:bookmarkStart w:id="37" w:name="_Hlk169519039"/>
      <w:bookmarkStart w:id="38" w:name="_Hlk169522903"/>
      <w:bookmarkStart w:id="39" w:name="_Hlk169522904"/>
      <w:bookmarkStart w:id="40" w:name="_Hlk169526640"/>
      <w:bookmarkStart w:id="41" w:name="_Hlk169526641"/>
      <w:bookmarkStart w:id="42" w:name="_Hlk169528168"/>
      <w:bookmarkStart w:id="43" w:name="_Hlk169528169"/>
      <w:bookmarkStart w:id="44" w:name="_Hlk169530952"/>
      <w:bookmarkStart w:id="45" w:name="_Hlk169530953"/>
      <w:bookmarkStart w:id="46" w:name="_Hlk169533118"/>
      <w:bookmarkStart w:id="47" w:name="_Hlk169533119"/>
      <w:bookmarkStart w:id="48" w:name="_Hlk169533862"/>
      <w:bookmarkStart w:id="49" w:name="_Hlk169533863"/>
      <w:bookmarkStart w:id="50" w:name="_Hlk169538085"/>
      <w:bookmarkStart w:id="51" w:name="_Hlk169538086"/>
      <w:bookmarkStart w:id="52" w:name="_Hlk169544424"/>
      <w:bookmarkStart w:id="53" w:name="_Hlk169544425"/>
      <w:bookmarkStart w:id="54" w:name="_Hlk169546105"/>
      <w:bookmarkStart w:id="55" w:name="_Hlk169546106"/>
      <w:bookmarkStart w:id="56" w:name="_Hlk169546765"/>
      <w:bookmarkStart w:id="57" w:name="_Hlk169546766"/>
      <w:bookmarkStart w:id="58" w:name="_Hlk169548476"/>
      <w:bookmarkStart w:id="59" w:name="_Hlk169548477"/>
      <w:bookmarkStart w:id="60" w:name="_Hlk169549756"/>
      <w:bookmarkStart w:id="61" w:name="_Hlk169549757"/>
      <w:bookmarkStart w:id="62" w:name="_Hlk169598165"/>
      <w:bookmarkStart w:id="63" w:name="_Hlk169598166"/>
      <w:bookmarkStart w:id="64" w:name="_Hlk169608273"/>
      <w:bookmarkStart w:id="65" w:name="_Hlk169608274"/>
      <w:bookmarkStart w:id="66" w:name="_Hlk169613655"/>
      <w:bookmarkStart w:id="67" w:name="_Hlk169613656"/>
      <w:bookmarkStart w:id="68" w:name="_Hlk169956021"/>
      <w:bookmarkStart w:id="69" w:name="_Hlk169956022"/>
      <w:bookmarkStart w:id="70" w:name="_Hlk169957322"/>
      <w:bookmarkStart w:id="71" w:name="_Hlk169957323"/>
      <w:bookmarkStart w:id="72" w:name="_Hlk169962288"/>
      <w:bookmarkStart w:id="73" w:name="_Hlk169962289"/>
      <w:bookmarkStart w:id="74" w:name="_Hlk169967821"/>
      <w:bookmarkStart w:id="75" w:name="_Hlk169967822"/>
      <w:bookmarkStart w:id="76" w:name="_Hlk169975771"/>
      <w:bookmarkStart w:id="77" w:name="_Hlk169975772"/>
      <w:bookmarkStart w:id="78" w:name="_Hlk170026993"/>
      <w:bookmarkStart w:id="79" w:name="_Hlk170026994"/>
      <w:bookmarkStart w:id="80" w:name="_Hlk170055628"/>
      <w:bookmarkStart w:id="81" w:name="_Hlk170055629"/>
      <w:bookmarkStart w:id="82" w:name="_Hlk170202262"/>
      <w:bookmarkStart w:id="83" w:name="_Hlk170202263"/>
      <w:bookmarkStart w:id="84" w:name="_Hlk170236475"/>
      <w:bookmarkStart w:id="85" w:name="_Hlk170236476"/>
      <w:bookmarkStart w:id="86" w:name="_Hlk171248730"/>
      <w:bookmarkStart w:id="87" w:name="_Hlk171248731"/>
      <w:bookmarkStart w:id="88" w:name="_Hlk171255410"/>
      <w:bookmarkStart w:id="89" w:name="_Hlk171255411"/>
      <w:bookmarkStart w:id="90" w:name="_Hlk171761605"/>
      <w:bookmarkStart w:id="91" w:name="_Hlk171761606"/>
      <w:bookmarkStart w:id="92" w:name="_Hlk171886138"/>
      <w:bookmarkStart w:id="93" w:name="_Hlk171886139"/>
      <w:bookmarkStart w:id="94" w:name="_Hlk171892657"/>
      <w:bookmarkStart w:id="95" w:name="_Hlk171892658"/>
      <w:bookmarkStart w:id="96" w:name="_Hlk172126107"/>
      <w:bookmarkStart w:id="97" w:name="_Hlk172126108"/>
      <w:bookmarkStart w:id="98" w:name="_Hlk172194394"/>
      <w:bookmarkStart w:id="99" w:name="_Hlk172194395"/>
      <w:bookmarkStart w:id="100" w:name="_Hlk172203855"/>
      <w:bookmarkStart w:id="101" w:name="_Hlk172203856"/>
      <w:bookmarkStart w:id="102" w:name="_Hlk174282067"/>
      <w:bookmarkStart w:id="103" w:name="_Hlk174282068"/>
      <w:bookmarkStart w:id="104" w:name="_Hlk174301681"/>
      <w:bookmarkStart w:id="105" w:name="_Hlk174301682"/>
      <w:bookmarkStart w:id="106" w:name="_Hlk175322639"/>
      <w:bookmarkStart w:id="107" w:name="_Hlk175322640"/>
      <w:bookmarkStart w:id="108" w:name="_Hlk175324514"/>
      <w:bookmarkStart w:id="109" w:name="_Hlk175324515"/>
      <w:bookmarkStart w:id="110" w:name="_Hlk175388892"/>
      <w:bookmarkStart w:id="111" w:name="_Hlk175388893"/>
      <w:bookmarkStart w:id="112" w:name="_Hlk175396487"/>
      <w:bookmarkStart w:id="113" w:name="_Hlk175396488"/>
      <w:bookmarkStart w:id="114" w:name="_Hlk175402618"/>
      <w:bookmarkStart w:id="115" w:name="_Hlk175402619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</w:footnote>
  <w:footnote w:type="continuationSeparator" w:id="0">
    <w:p w14:paraId="211D8E4E" w14:textId="77777777" w:rsidR="003068B1" w:rsidRDefault="003068B1" w:rsidP="009E6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18"/>
    <w:rsid w:val="00134347"/>
    <w:rsid w:val="00204A7A"/>
    <w:rsid w:val="002621D7"/>
    <w:rsid w:val="002816C2"/>
    <w:rsid w:val="003068B1"/>
    <w:rsid w:val="00497A9D"/>
    <w:rsid w:val="00690A46"/>
    <w:rsid w:val="00817680"/>
    <w:rsid w:val="00957DE4"/>
    <w:rsid w:val="009E684F"/>
    <w:rsid w:val="00D477A3"/>
    <w:rsid w:val="00D95B18"/>
    <w:rsid w:val="00E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7CF7"/>
  <w15:chartTrackingRefBased/>
  <w15:docId w15:val="{6E991488-3EE6-4988-B775-86334D32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4F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B18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18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18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18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18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18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18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18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18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18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18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18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18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18"/>
    <w:rPr>
      <w:b/>
      <w:bCs/>
      <w:smallCaps/>
      <w:color w:val="0F4761" w:themeColor="accent1" w:themeShade="BF"/>
      <w:spacing w:val="5"/>
    </w:rPr>
  </w:style>
  <w:style w:type="character" w:customStyle="1" w:styleId="Footnote">
    <w:name w:val="Footnote"/>
    <w:rsid w:val="009E684F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9E684F"/>
    <w:rPr>
      <w:rFonts w:ascii="Gentium" w:hAnsi="Gentium"/>
      <w:i/>
      <w:sz w:val="16"/>
    </w:rPr>
  </w:style>
  <w:style w:type="character" w:customStyle="1" w:styleId="Versemarker">
    <w:name w:val="Verse marker"/>
    <w:rsid w:val="009E684F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9E684F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character" w:customStyle="1" w:styleId="Bookmarker">
    <w:name w:val="Book marker"/>
    <w:rsid w:val="009E684F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customStyle="1" w:styleId="Bookbreak">
    <w:name w:val="Book break"/>
    <w:basedOn w:val="Normal"/>
    <w:rsid w:val="009E684F"/>
    <w:pPr>
      <w:keepNext/>
      <w:keepLines/>
      <w:pageBreakBefore/>
      <w:ind w:firstLine="0"/>
      <w:jc w:val="center"/>
    </w:pPr>
    <w:rPr>
      <w:rFonts w:ascii="Arial Narrow" w:hAnsi="Arial Narrow"/>
    </w:rPr>
  </w:style>
  <w:style w:type="paragraph" w:styleId="FootnoteText">
    <w:name w:val="footnote text"/>
    <w:basedOn w:val="Normal"/>
    <w:link w:val="FootnoteTextChar"/>
    <w:rsid w:val="009E684F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684F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9E684F"/>
    <w:rPr>
      <w:b/>
      <w:vertAlign w:val="superscript"/>
    </w:rPr>
  </w:style>
  <w:style w:type="paragraph" w:customStyle="1" w:styleId="ChapterLabel">
    <w:name w:val="Chapter Label"/>
    <w:basedOn w:val="Normal"/>
    <w:rsid w:val="009E684F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9E684F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9E68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84F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5708-4BDA-4202-B08C-AD844ED7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797</Words>
  <Characters>4543</Characters>
  <Application>Microsoft Office Word</Application>
  <DocSecurity>0</DocSecurity>
  <Lines>37</Lines>
  <Paragraphs>10</Paragraphs>
  <ScaleCrop>false</ScaleCrop>
  <Company>Zacchaeus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Titus</dc:title>
  <dc:subject/>
  <cp:keywords/>
  <dc:description/>
  <cp:lastModifiedBy>Adrian Hills</cp:lastModifiedBy>
  <cp:revision>1</cp:revision>
  <dcterms:created xsi:type="dcterms:W3CDTF">2024-08-24T15:06:00Z</dcterms:created>
  <dcterms:modified xsi:type="dcterms:W3CDTF">2025-06-30T11:07:00Z</dcterms:modified>
  <cp:category>The Pauline Epistles (Nnnn-Xxx)</cp:category>
  <cp:version>1</cp:version>
</cp:coreProperties>
</file>