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F6F1" w14:textId="7F332E3D" w:rsidR="0052566E" w:rsidRPr="004D47FF" w:rsidRDefault="0052566E" w:rsidP="0052566E">
      <w:pPr>
        <w:jc w:val="both"/>
        <w:rPr>
          <w:rFonts w:ascii="Gentium" w:hAnsi="Gentium" w:cs="Gentium"/>
        </w:rPr>
      </w:pPr>
      <w:r w:rsidRPr="004D47FF">
        <w:rPr>
          <w:rFonts w:ascii="Gentium" w:hAnsi="Gentium" w:cs="Gentium"/>
        </w:rPr>
        <w:t xml:space="preserve">The Greek text presented here is that of C. Tischendorf, in, </w:t>
      </w:r>
      <w:r w:rsidR="00FC57D0" w:rsidRPr="004D47FF">
        <w:rPr>
          <w:rFonts w:ascii="Gentium" w:hAnsi="Gentium" w:cs="Gentium"/>
          <w:u w:val="single"/>
        </w:rPr>
        <w:t>Erich Klostermann</w:t>
      </w:r>
      <w:r w:rsidR="00FC57D0" w:rsidRPr="004D47FF">
        <w:rPr>
          <w:rFonts w:ascii="Gentium" w:hAnsi="Gentium" w:cs="Gentium"/>
          <w:u w:val="single"/>
        </w:rPr>
        <w:t xml:space="preserve"> (Ed.), “</w:t>
      </w:r>
      <w:r w:rsidR="00FC57D0" w:rsidRPr="004D47FF">
        <w:rPr>
          <w:rFonts w:ascii="Gentium" w:hAnsi="Gentium" w:cs="Gentium"/>
          <w:i/>
          <w:iCs/>
          <w:noProof/>
          <w:u w:val="single"/>
          <w:lang w:val="de-DE"/>
        </w:rPr>
        <w:t>Apocrypha I: Reste Des Petrusevangeliums, Der Petrus-Apocakalypse und des Kerygmati Petri</w:t>
      </w:r>
      <w:r w:rsidR="00FC57D0" w:rsidRPr="004D47FF">
        <w:rPr>
          <w:rFonts w:ascii="Gentium" w:hAnsi="Gentium" w:cs="Gentium"/>
          <w:u w:val="single"/>
        </w:rPr>
        <w:t>,” Bonn, 1903, pp. 8–11</w:t>
      </w:r>
      <w:r w:rsidRPr="004D47FF">
        <w:rPr>
          <w:rFonts w:ascii="Gentium" w:hAnsi="Gentium" w:cs="Gentium"/>
        </w:rPr>
        <w:t xml:space="preserve">. The text has been </w:t>
      </w:r>
      <w:r w:rsidR="00FC57D0" w:rsidRPr="004D47FF">
        <w:rPr>
          <w:rFonts w:ascii="Gentium" w:hAnsi="Gentium" w:cs="Gentium"/>
        </w:rPr>
        <w:t>gleaned</w:t>
      </w:r>
      <w:r w:rsidRPr="004D47FF">
        <w:rPr>
          <w:rFonts w:ascii="Gentium" w:hAnsi="Gentium" w:cs="Gentium"/>
        </w:rPr>
        <w:t xml:space="preserve"> from</w:t>
      </w:r>
      <w:r w:rsidR="00FC57D0" w:rsidRPr="004D47FF">
        <w:rPr>
          <w:rFonts w:ascii="Gentium" w:hAnsi="Gentium" w:cs="Gentium"/>
        </w:rPr>
        <w:t xml:space="preserve"> </w:t>
      </w:r>
      <w:hyperlink r:id="rId4" w:tooltip="Source for this text" w:history="1">
        <w:r w:rsidR="00FC57D0" w:rsidRPr="004D47FF">
          <w:rPr>
            <w:rStyle w:val="Hyperlink"/>
            <w:rFonts w:ascii="Gentium" w:hAnsi="Gentium" w:cs="Gentium"/>
          </w:rPr>
          <w:t>Mark Goodacre’s blog</w:t>
        </w:r>
      </w:hyperlink>
      <w:r w:rsidRPr="004D47FF">
        <w:rPr>
          <w:rFonts w:ascii="Gentium" w:hAnsi="Gentium" w:cs="Gentium"/>
        </w:rPr>
        <w:t>.</w:t>
      </w:r>
    </w:p>
    <w:p w14:paraId="2E686D38" w14:textId="77777777" w:rsidR="0052566E" w:rsidRPr="000C058D" w:rsidRDefault="0052566E" w:rsidP="0052566E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7732C5DF" w14:textId="77777777" w:rsidR="0052566E" w:rsidRPr="000C058D" w:rsidRDefault="0052566E" w:rsidP="0052566E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52566E" w:rsidRPr="000C058D" w:rsidSect="0052566E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56864D" w14:textId="7C34A136" w:rsidR="0052566E" w:rsidRPr="004D47FF" w:rsidRDefault="00FC57D0" w:rsidP="0052566E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I</w:t>
      </w:r>
    </w:p>
    <w:p w14:paraId="2A6DCD8C" w14:textId="19FA0DD2" w:rsidR="00FC57D0" w:rsidRPr="004D47FF" w:rsidRDefault="00FC57D0" w:rsidP="00FC57D0">
      <w:pPr>
        <w:pStyle w:val="aramaic"/>
        <w:bidi w:val="0"/>
        <w:spacing w:before="120" w:beforeAutospacing="0" w:after="0" w:afterAutospacing="0"/>
        <w:jc w:val="both"/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 w:hint="default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</w:t>
      </w:r>
      <w:r w:rsidRPr="004D47FF">
        <w:rPr>
          <w:rFonts w:ascii="Gentium" w:hAnsi="Gentium" w:cs="Gentium" w:hint="default"/>
          <w:i/>
          <w:iCs/>
          <w:noProof/>
          <w:color w:val="EE0000"/>
          <w:sz w:val="28"/>
          <w:szCs w:val="28"/>
          <w:lang w:val="el-GR"/>
        </w:rPr>
        <w:t> 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 xml:space="preserve">… 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|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πολλοὶ ἐξ αὐτῶν ἔσονται ψευδοπροφῆται, καὶ ὁδοὺς καὶ δ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γματα ποικ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λα τῆς ἀπωλε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ας διδ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ξουσιν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 w:hint="default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</w:t>
      </w:r>
      <w:r w:rsidRPr="004D47FF">
        <w:rPr>
          <w:rFonts w:ascii="Gentium" w:hAnsi="Gentium" w:cs="Gentium" w:hint="default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ἐκεῖνοι δὲ υἱοι τῆς ἀπωλε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ας γεν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 xml:space="preserve">σονται. </w:t>
      </w:r>
      <w:r w:rsidRPr="004D47FF">
        <w:rPr>
          <w:rFonts w:ascii="Gentium" w:hAnsi="Gentium" w:cs="Gentium" w:hint="default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3</w:t>
      </w:r>
      <w:r w:rsidRPr="004D47FF">
        <w:rPr>
          <w:rFonts w:ascii="Gentium" w:hAnsi="Gentium" w:cs="Gentium" w:hint="default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καὶ τ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τε ἐλε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σεται ὁ θεὸς ἐπι τοὺς πιστο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ς μου τοὺς πεινῶντας καὶ διψῶν[τας] καὶ θλιβομ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νους καὶ ἐν το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τῳ τῷ β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ῳ τὰς ψυχὰς ἑαυτῶν δοκιμὰζοντας,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καὶ κρινεῖ τοὺς υἱοὺς τῆς ἀνομ</w:t>
      </w:r>
      <w:r w:rsidR="004D47FF"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 w:hint="default"/>
          <w:i/>
          <w:iCs/>
          <w:noProof/>
          <w:color w:val="0070C0"/>
          <w:sz w:val="28"/>
          <w:szCs w:val="28"/>
          <w:lang w:val="el-GR"/>
        </w:rPr>
        <w:t>ας.</w:t>
      </w:r>
    </w:p>
    <w:p w14:paraId="3D6D88E8" w14:textId="77777777" w:rsidR="00102847" w:rsidRPr="004D47FF" w:rsidRDefault="00102847" w:rsidP="00102847">
      <w:pPr>
        <w:pStyle w:val="aramaic"/>
        <w:bidi w:val="0"/>
        <w:spacing w:before="120" w:beforeAutospacing="0" w:after="0" w:afterAutospacing="0"/>
        <w:jc w:val="both"/>
        <w:rPr>
          <w:rFonts w:ascii="Gentium" w:eastAsia="Times New Roman" w:hAnsi="Gentium" w:cs="Gentium" w:hint="default"/>
          <w:i/>
          <w:iCs/>
          <w:noProof/>
          <w:color w:val="003300"/>
          <w:sz w:val="32"/>
          <w:szCs w:val="32"/>
          <w:lang w:val="el-GR" w:bidi="ar-SA"/>
        </w:rPr>
        <w:sectPr w:rsidR="00102847" w:rsidRPr="004D47FF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29F81C" w14:textId="393E04F6" w:rsidR="00102847" w:rsidRPr="004D47FF" w:rsidRDefault="00FC57D0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II</w:t>
      </w:r>
    </w:p>
    <w:p w14:paraId="78FB73C1" w14:textId="5142B15B" w:rsidR="00FC57D0" w:rsidRPr="004D47FF" w:rsidRDefault="00FC57D0" w:rsidP="00F30D3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4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προσθεὶς ὁ 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ριος ἔφη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ἄγωμεν εἰς τὸ ὄρος, εὐξ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μεθ[α].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5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ἀπερχ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δὲ μετ᾽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αὐτοῦ ἡμεῖς οἱ 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δεκα μ[α]θ[η]ταὶ ἐδε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θημεν, ὅπως δε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ξῃ ἡμῖν ἕνα τῶν ἀδελφῶν ἡμῶν &lt;τῶν&gt; δικα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ων τῶν ἐξελθ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ντων ἀπὸ τοῦ 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σμου, ἵνα ἴδωμεν ποταπο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εἰσι τὴν μορφὴν καὶ θαρσ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σαντες παραθαρσ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νωμεν καὶ τοὺς ἀκο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οντας ἡμων ἀνθρ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πους.</w:t>
      </w:r>
    </w:p>
    <w:p w14:paraId="2895FC4A" w14:textId="16A66928" w:rsidR="00F30D33" w:rsidRPr="004D47FF" w:rsidRDefault="00F30D33" w:rsidP="00F30D33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sectPr w:rsidR="00F30D33" w:rsidRPr="004D47FF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FC7502" w14:textId="7F23DED0" w:rsidR="00102847" w:rsidRPr="004D47FF" w:rsidRDefault="00FC57D0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III</w:t>
      </w:r>
    </w:p>
    <w:p w14:paraId="7A9E2764" w14:textId="1462042D" w:rsidR="00FC57D0" w:rsidRPr="004D47FF" w:rsidRDefault="00FC57D0" w:rsidP="0031142F">
      <w:pPr>
        <w:spacing w:before="120"/>
        <w:jc w:val="both"/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6</w:t>
      </w:r>
      <w:r w:rsidRPr="004D47FF">
        <w:rPr>
          <w:rFonts w:ascii="Gentium" w:hAnsi="Gentium" w:cs="Gentium"/>
          <w:bCs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[κ]αὶ εὐχομ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νων ἡμῶν ἄ[φνω] φ[α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ν]ονται δ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ο ἄνδρες ἑστῶτες ἔμπροσθε τοῦ κυρ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ου πρὸς ο[ὓς] οὐκ ἐδυν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θημεν ἀντιβλ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ψαι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7</w:t>
      </w:r>
      <w:r w:rsidRPr="004D47FF">
        <w:rPr>
          <w:rFonts w:ascii="Gentium" w:hAnsi="Gentium" w:cs="Gentium"/>
          <w:bCs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ἐξ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ρ[χ]ετο γὰρ ἀπὸ τῆς ὄψεως αὐτῶν ἀκτὶν ὡς ἡλ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ου καὶ φωτεινὸν ἦν αὐτ[ῶν τὸ] ἔνδυμα, ὁποῖον ο[ὐ]δ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ποτε ὀφθαλμὸς ἀνθρ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π[ου εἶδεν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οὐδὲ γὰ]ρ στ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μα δ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ναται ἐξηγ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σασθαι ἢ κ[αρδ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α ἐπινοῆσα]ι τὴν δ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ξαν ἣν [ἐ]νεδ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δυντο καὶ τὸ κ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λ[λος τῆς ὄψ]εως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| αὐτῶν.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8</w:t>
      </w:r>
      <w:r w:rsidRPr="004D47FF">
        <w:rPr>
          <w:rFonts w:ascii="Gentium" w:hAnsi="Gentium" w:cs="Gentium"/>
          <w:bCs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οὓς ἰδ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ντες ἐθαμβ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θημεν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 xml:space="preserve"> τὰ μὲν γὰρ σ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ματα αὐτῶν ἦν λευκ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τερα π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σης χι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νος καὶ ἐρυθρ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τερα παντὸς ῥ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δου.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9</w:t>
      </w:r>
      <w:r w:rsidRPr="004D47FF">
        <w:rPr>
          <w:rFonts w:ascii="Gentium" w:hAnsi="Gentium" w:cs="Gentium"/>
          <w:bCs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συνεκ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κρατο δὲ ἐρυθρὸν αὐτῶν τῷ λευκῷ, καὶ ἁπλῶς οὐ δ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ναμαι ἐξηγ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σασθαι τὸ κ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λλος αὐτῶν.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i/>
          <w:iCs/>
          <w:noProof/>
          <w:color w:val="EE0000"/>
          <w:sz w:val="28"/>
          <w:szCs w:val="28"/>
          <w:vertAlign w:val="superscript"/>
          <w:lang w:val="el-GR"/>
        </w:rPr>
        <w:t>10</w:t>
      </w:r>
      <w:r w:rsidRPr="004D47FF">
        <w:rPr>
          <w:rFonts w:ascii="Gentium" w:hAnsi="Gentium" w:cs="Gentium"/>
          <w:bCs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ἥ τε γὰρ κ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μη αὐτῶν οὔλη ἦν καὶ ἀνθηρὰ καὶ ἐπιπρ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πουσα αὐτῶν τῷ τε προσ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πῳ καὶ τοῖς ὤμοις ὥσπερ εἷς στ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φανος ἐκ ν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ρδου στὰχυος πεπλεγμ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νος καὶ ποικ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λων ἀνθῶν ἢ ὥσπερ ἶρις ἐν ἀ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ρι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τοια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τη ἦν αὐτῶν ἡ εὐπρ</w:t>
      </w:r>
      <w:r w:rsidR="004D47FF"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bCs/>
          <w:i/>
          <w:iCs/>
          <w:noProof/>
          <w:color w:val="0070C0"/>
          <w:sz w:val="28"/>
          <w:szCs w:val="28"/>
          <w:lang w:val="el-GR"/>
        </w:rPr>
        <w:t>πεια.</w:t>
      </w:r>
    </w:p>
    <w:p w14:paraId="378C54EB" w14:textId="2E121C6E" w:rsidR="00F30D33" w:rsidRPr="004D47FF" w:rsidRDefault="00F30D33" w:rsidP="00F30D33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30D33" w:rsidRPr="004D47FF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8DE9BB" w14:textId="47390BF6" w:rsidR="00102847" w:rsidRPr="004D47FF" w:rsidRDefault="00FC57D0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IV</w:t>
      </w:r>
    </w:p>
    <w:p w14:paraId="76D3DD6B" w14:textId="4A79B2A1" w:rsidR="00FC57D0" w:rsidRPr="004D47FF" w:rsidRDefault="00FC57D0" w:rsidP="00F30D33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11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᾽Ιδ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ντες οὖν αὐτῶν τὸ 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λλος ἔκθαμβοι γεγ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ναμεν πρὸς αὐτο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ς, ἐπειδὴ ἄφνω ἐφ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νησαν.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12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πρoσελθὼν τῷ κυρ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ῷ εἶπον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νες εἰσὶν οὗτοι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;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13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γει μοι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οὗτο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εἰσιν οἱ ἀδελφοὶ ὑμῶν οἱ 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καιοι ὧν ἠθελ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σατε [τᾳ]ς μορφὰς ἰδεῖν.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14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κἀγὼ ἔφην αὐτῷ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ποῦ εἰσι 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ντες οἱ 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καιοι ἢ ποῖ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ς ἐστιν ὁ αἰὼν ἐν ᾧ εἰσι τα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την ἔχοντες τὴν 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ξαν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;</w:t>
      </w:r>
    </w:p>
    <w:p w14:paraId="58953667" w14:textId="6351551F" w:rsidR="00F30D33" w:rsidRPr="004D47FF" w:rsidRDefault="00F30D33" w:rsidP="00F30D33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sectPr w:rsidR="00F30D33" w:rsidRPr="004D47FF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54F7F7" w14:textId="6226A10B" w:rsidR="00102847" w:rsidRPr="004D47FF" w:rsidRDefault="00F17A40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V</w:t>
      </w:r>
    </w:p>
    <w:p w14:paraId="4D69A89B" w14:textId="37EB166B" w:rsidR="00F17A40" w:rsidRPr="004D47FF" w:rsidRDefault="00F17A40" w:rsidP="00F536CA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15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ὁ 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ριος ἔδειξ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μοι 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γιστον χῶρον ἐκτὸς το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[τ]ου τοῦ 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σμου ὑπ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ρλαμπρον τῷ φωτ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, καὶ τὸν 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ρα τὸν ἐκεῖ ἀκτῖσιν ἡλ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ου καταλαμπ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μενον | καὶ τὴν γῆν αὐτὴν ἀνθοῦσαν ἀμαρ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ντοις ἄνθεσι καὶ ἁμωμ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των πλ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ρη καὶ φυτῶν εὐανθῶν καὶ ἀφθ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ρτων καὶ καρπὸν εὐλογημ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νον φερ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ντων.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16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τοσοῦτον δὲ ἦν τὸ ἄνθος ὡς καὶ ἐφ᾽ ἡμᾶς ἐκεῖθεν φ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ρεσθαι.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17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οἱ δὲ οἰκ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τορες τοῦ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που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νου ἐνδεδυμ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νοι ἦσαν ἔνδυμα ἀγγ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λων φωτειν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ν, καὶ ὅμοιον ἦν τὸ ἔνδυμα αὐτῶν τῇ χ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ρᾳ αὐτῶν.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18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ἄγγελοι δὲ περι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τρεχον αὐτοὺς ἐκεῖσε.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19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ἴση δὲ ἦν ἡ 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ξα τῶν ἐκεῖ οἰκητ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ρων, καὶ μιᾷ φωνῇ τὸν 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ριον θεὸν ἀνευφ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μουν εὐφραιν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ἐν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νῳ τῷ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πῳ.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20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γει ἡμῖν ὁ 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ριος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οὗτ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ς ἐστιν ὁ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πος τῶν ἀδελφῶν ὑμῶν τῶν δικα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ων ἀνθρ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πων.</w:t>
      </w:r>
    </w:p>
    <w:p w14:paraId="0CA1A77A" w14:textId="3DD0A729" w:rsidR="00F536CA" w:rsidRPr="004D47FF" w:rsidRDefault="00F536CA" w:rsidP="00F536CA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536CA" w:rsidRPr="004D47FF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52AEC3" w14:textId="593A6107" w:rsidR="00102847" w:rsidRPr="004D47FF" w:rsidRDefault="00F17A40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VI</w:t>
      </w:r>
    </w:p>
    <w:p w14:paraId="075A714B" w14:textId="34ABA738" w:rsidR="00F17A40" w:rsidRPr="004D47FF" w:rsidRDefault="00F17A40" w:rsidP="00F536CA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21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Εἶδον δὲ καὶ ἕτερον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πον καταντικρὺς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νου αὐχμηρ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τατον.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ἦν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πος κολ[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]σεως.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οἱ κολαζ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ἐκεῖ καὶ οἱ κολ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ζοντες ἄγγελοι σκοτεινὸν εἶχον &lt;τὸ ἔνδυμα&gt; αὐτῶν, ἐνδεδυμ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νοι κατὰ τὸν 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ρα τοῦ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που.</w:t>
      </w:r>
    </w:p>
    <w:p w14:paraId="02017782" w14:textId="39729427" w:rsidR="00F536CA" w:rsidRPr="004D47FF" w:rsidRDefault="00F536CA" w:rsidP="00F536CA">
      <w:pPr>
        <w:spacing w:before="120"/>
        <w:jc w:val="both"/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sectPr w:rsidR="00F536CA" w:rsidRPr="004D47FF" w:rsidSect="0010284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526895" w14:textId="52853173" w:rsidR="00102847" w:rsidRPr="004D47FF" w:rsidRDefault="00F17A40" w:rsidP="00102847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VII</w:t>
      </w:r>
    </w:p>
    <w:p w14:paraId="77265A04" w14:textId="1DEDA456" w:rsidR="00F17A40" w:rsidRPr="004D47FF" w:rsidRDefault="00F17A40" w:rsidP="00F536CA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22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τινες ἦσαν ἐκεῖ ἐκ τῆς γλ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σσης κρεμ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οὗτοι δὲ ἦσαν οἱ βλασφημοῦντες τὴν ὁδὸν τῆς δικαιοσ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νης.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ὑπ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κειτο αὐτοῖς πῦρ φλεγ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μενον καὶ κολ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ζον αὐτο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ς.</w:t>
      </w:r>
    </w:p>
    <w:p w14:paraId="1CFE029B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B6B98B" w14:textId="77777777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VIII</w:t>
      </w:r>
    </w:p>
    <w:p w14:paraId="17F8DD0B" w14:textId="4E55358B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23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μνη τις ἦν μεγ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λη πεπληρωμ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νη | βορβ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ρου φλεγομ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νου, ἐν ᾧ ἦσαν ἄνθρωπο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τινες ἀποστρ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φοντες τὴν δικαιοσ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νην, καὶ ἐπ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κειντο αὐτοῖς ἄγγελοι βασανιστα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.</w:t>
      </w:r>
    </w:p>
    <w:p w14:paraId="4144B6C7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24CA96" w14:textId="5FA1B7D1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IX</w:t>
      </w:r>
    </w:p>
    <w:p w14:paraId="19637EC2" w14:textId="63C93A4E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24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Ἦσαν δὲ καὶ ἄλλοι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γυν[αῖ]κες [τ]ῶν πλοκ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μων ἐξηρτημ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ναι ἀνωτ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ρω τοῦ βορβ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ρο[υ]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ν[ου] τοῦ ἀναπαφλ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ζοντος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αὗτ[αι δ]ὲ ἦσαν αἱ πρὸς μοιχε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αν κοσμηθεῖσαι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οἱ δὲ συμμιγ[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ντ]ες αὐτῶν τῷ μι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σματι τῆς μοιχε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ας ἐκ τῶν ποδῶν [ἦσαν] κ[ρεμ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κ]αὶ τὰς κεφαλὰς εἶχον ἐν τῷ βορβ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ρ[ῳ, καὶ] φ[ωνῇ μεγ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λῃ] ἔλεγον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οὐκ ἐπιστε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ομεν ἐλε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σεσθαι εἰς τοῦτον τὸν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πον.</w:t>
      </w:r>
    </w:p>
    <w:p w14:paraId="4EF6D6EA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9F9F7A" w14:textId="705895F9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X</w:t>
      </w:r>
    </w:p>
    <w:p w14:paraId="19C85408" w14:textId="0FBA6B7D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25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τοὺς φονεῖς ἔβλεπον καὶ τοῦς συνειδ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τας αὐτοῖς βεβλημ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νους ἔν τινι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πῳ τεθλιμμ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νῳ καὶ πεπληρωμ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νῳ ἑρπετῶν πονηρῶν καὶ πλησσομ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νους ὑπὸ τῶν θηρ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ων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νων καὶ οὕτω στρεφομ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νους ἐκεῖ ἐν τῇ κολ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σει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ἐπ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κειντο δὲ αὐτοῖς σκ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ληκες ὥσπερ νεφ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λαι σκ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τους.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αἱ δὲ ψυχαὶ τῶν πεφονευμ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νων ἑστῶσαι καὶ ἐφορῶσαι τὴν 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λασιν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νων τῶν φον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ων ἔλεγον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ὁ θε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ς, δικα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 σου ἡ κρισις.</w:t>
      </w:r>
    </w:p>
    <w:p w14:paraId="6F5D9FFE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CFC66F" w14:textId="45408E01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</w:t>
      </w: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I</w:t>
      </w:r>
    </w:p>
    <w:p w14:paraId="6850379F" w14:textId="72614B92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26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> 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Πλησ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ον δὲ τοῦ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που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νου εἶδον ἕτερον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πον τεθλιμμ[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ν]ον ἐν &lt;ᾧ&gt; ὁ ἰχὼρ καὶ ἡ δυσωδ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 τῶν κολαζομ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νων κατ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ρρεε καὶ ὥσπερ 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μνη ἐγ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νετο ἐκεῖ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κἀκεῖ ἐκ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θηντο γυναῖκες ἔχουσαι τὸν ἰχῶρα 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χρι τ[ῶ]ν τραχ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λ[ων], καὶ ἀντικρὺς αὐτῶν πολλοὶ παῖδες, ο[ἵτινε]ς ἄωροι ἐτ[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]κτοντο, καθ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ἔκλαιον, καὶ προ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ρχοντο ἐξ αὐ[τῶν φλ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γ]ες πυρὸς καὶ τὰς γυναῖκας ἔπλησσον κατὰ τῶ[ν] ὀφθαλμῶν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αὗται δὲ ἦσαν αἱ ἀ[γ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μως τὰ βρ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φη τεκο]ῦσαι καὶ ἐκτρ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σασαι.</w:t>
      </w:r>
    </w:p>
    <w:p w14:paraId="029F0D7B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D4D76A" w14:textId="616105E6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</w:t>
      </w: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II</w:t>
      </w:r>
    </w:p>
    <w:p w14:paraId="7543973B" w14:textId="38C020BE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27</w:t>
      </w:r>
      <w:r w:rsidR="004D47FF"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ἕτεροι [ἄνδρες] καὶ γυναῖκ[ε]ς φλεγ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ἦσαν 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χρι τοῦ ἡμ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σους αὐτῶν καὶ βεβλημ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νοι ἐν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πῳ σκοτεινῷ καὶ μαστιζ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ὑπὸ πνευμ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των πονηρῶν καὶ ἐσθι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τὰ σπλ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γχνα ὑπὸ σκωλ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κων ἀκοιμ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των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·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οὗτοι δὲ ἦσαν οἱ δι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ξαντες τοὺς δικα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ους καὶ παραδ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ντες αὐτο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ς.</w:t>
      </w:r>
    </w:p>
    <w:p w14:paraId="63984D89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E3598F" w14:textId="53D3FB7B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</w:t>
      </w: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III</w:t>
      </w:r>
    </w:p>
    <w:p w14:paraId="26668904" w14:textId="5EBF5D85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28</w:t>
      </w:r>
      <w:r w:rsidR="004D47FF"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πλησ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ον ἐκε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νων 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λιν γυναῖκες καὶ ἄνδρες μασ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αὐτῶν τὰ χε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λη καὶ κολαζ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καὶ πεπυρωμ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νον 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δηρον κατὰ τῶν ὀφθαλμῶν λαμβ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νοντες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οὗτοι δὲ ἦσαν οἱ βλασφημ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σαντες καὶ κακῶς εἰπ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ντες τὴν ὁδὸν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τῆς δικαιοσ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νης.</w:t>
      </w:r>
    </w:p>
    <w:p w14:paraId="04C612E5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CF7DCF" w14:textId="7DEC8C4B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XIV</w:t>
      </w:r>
    </w:p>
    <w:p w14:paraId="4E36A93B" w14:textId="499A1834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29</w:t>
      </w:r>
      <w:r w:rsidR="004D47FF"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καταντικρὺ το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των ἄλλοι 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λιν ἄνδρες καὶ γυναῖκες τὰς γλ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σσας αὐτῶν μασ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καὶ πῦρ φλεγ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μεν[ο]ν ἔχοντες ἐν τῷ στ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ματι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οὗτοι δὲ ἦσαν οἱ ψευδομ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ρτυρες.</w:t>
      </w:r>
    </w:p>
    <w:p w14:paraId="788ACCEA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E41CDF" w14:textId="63250355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lastRenderedPageBreak/>
        <w:t>X</w:t>
      </w: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V</w:t>
      </w:r>
    </w:p>
    <w:p w14:paraId="1A1C580E" w14:textId="3C497C05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30</w:t>
      </w:r>
      <w:r w:rsidR="004D47FF"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ἐν ἑτ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ρῳ τινὶ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πῳ χ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λικες ἦσαν ὀξ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τεροι ξιφῶν καὶ παντὸς ὀβελ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σκου, πεπυρωμ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καὶ γυναῖκες καὶ ἄνδρες ῥ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κη ῥυπαρὰ ἐνδεδυμ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νοι ἐκυλ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οντο ἐπ᾽ αὐτῶν κολαζ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οὗτοι δὲ ἦσαν οἱ πλουτοῦντες καὶ τῷ πλο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τῳ αὐτῶν πεποιθ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τες καὶ μὴ ἐλε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σαντες ὀρφανοὺς καὶ χ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ρας, ἀλλ᾽ ἀμελ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σαντες τῆς ἐντολῆς τοῦ θεοῦ.</w:t>
      </w:r>
    </w:p>
    <w:p w14:paraId="7BB406BA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72F6EB" w14:textId="47A0139D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</w:t>
      </w: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VI</w:t>
      </w:r>
    </w:p>
    <w:p w14:paraId="328D9C01" w14:textId="0B506F22" w:rsidR="00F17A40" w:rsidRPr="004D47FF" w:rsidRDefault="00F17A40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31</w:t>
      </w:r>
      <w:r w:rsidR="004D47FF"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᾽Εν δὲ ἑτ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ρᾳ λ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μνῃ μεγ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λῃ πεπληρωμ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νῃ π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ου καὶ αἵματος καὶ βορβ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ρου ἀναζ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οντος ἱστ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κεισαν ἄνδρες καὶ γυναῖκες μ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χρι γον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των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οὗτοι δὲ ἦσαν οἱ δανε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ζοντες καὶ ἁπαιτοῦντες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κους τ</w:t>
      </w:r>
      <w:r w:rsidR="004D47FF"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κων.</w:t>
      </w:r>
    </w:p>
    <w:p w14:paraId="4831226C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027668" w14:textId="3793EAA2" w:rsidR="00F17A40" w:rsidRPr="004D47FF" w:rsidRDefault="00F17A40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</w:t>
      </w: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VII</w:t>
      </w:r>
    </w:p>
    <w:p w14:paraId="2A7C2145" w14:textId="75AFDAE2" w:rsidR="004D47FF" w:rsidRPr="004D47FF" w:rsidRDefault="004D47FF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32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Ἄλλοι ἄνδρες καὶ γυναῖκες ἀπὸ κρημνοῦ μεγ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λου καταστρεφ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ἤρχοντο κ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τω καὶ π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λιν ἠλα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νοντο ὑπὸ τῶν ἐπικειμ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νων ἀναβῆναι ἄνω | ἐπὶ τοῦ κρημνοῦ καὶ κατεστρ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φοντο ἐκεῖθεν κ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τω, καὶ ἡσυχ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αν οὐκ εἶχον ἀπὸ τα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της τῆς κολ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σεως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οὗτοι δὲ ἦσαν οἱ μι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ναντες τὰ σ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ώ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ματα ἑαυτῶν ὡς γυναῖκες ἀναστρεφ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μενοι, αἱ δὲ μετ᾽ αὐτῶν γυναῖκες αὗται ἦσαν αἱ συγκοιμηθεῖσαι ἀλλ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λαις ὡς ἂν ἀνὴρ πρὸς γυναῖκα.</w:t>
      </w:r>
    </w:p>
    <w:p w14:paraId="27FD1596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31D749" w14:textId="27C8B3A4" w:rsidR="00F17A40" w:rsidRPr="004D47FF" w:rsidRDefault="004D47FF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</w:t>
      </w:r>
      <w:r w:rsidR="00F17A40"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VIII</w:t>
      </w:r>
    </w:p>
    <w:p w14:paraId="795778CB" w14:textId="43731B88" w:rsidR="004D47FF" w:rsidRPr="004D47FF" w:rsidRDefault="004D47FF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33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παρὰ τῷ κρημνῷ ἐκε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νῳ τ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πος ἦν πυρὸς πλε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στου γ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μων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κἀκεῖ ἱστ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κεισαν ἄνδρες οἵτινες ταῖς ἰδ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αις χερσὶ ξ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ανα ἑαυτοῖς ἐπο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ησαν ἀντὶ θεοῦ.</w:t>
      </w:r>
    </w:p>
    <w:p w14:paraId="614D0F74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56CCF3" w14:textId="5242714F" w:rsidR="00F17A40" w:rsidRPr="004D47FF" w:rsidRDefault="004D47FF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XIX</w:t>
      </w:r>
    </w:p>
    <w:p w14:paraId="6868F858" w14:textId="5DA817C6" w:rsidR="004D47FF" w:rsidRPr="004D47FF" w:rsidRDefault="004D47FF" w:rsidP="00F17A40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παρ᾽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ἐκε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νοις ἄνδρες ἕτεροι καὶ γυναῖκες ῥ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βδους πυρὸς ἔχοντες καὶ ἀλλ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ή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λους τ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πτοντες καὶ μηδ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ποτε παυ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τῆς τοια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ύ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της κολ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σεως &lt;οὗτοι δὲ ἦσαν οἱ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…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&gt;.</w:t>
      </w:r>
    </w:p>
    <w:p w14:paraId="5F5DB336" w14:textId="77777777" w:rsidR="00F17A40" w:rsidRPr="004D47FF" w:rsidRDefault="00F17A40" w:rsidP="00F17A40">
      <w:pPr>
        <w:spacing w:before="120"/>
        <w:jc w:val="both"/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  <w:lang w:val="el-GR"/>
        </w:rPr>
        <w:sectPr w:rsidR="00F17A40" w:rsidRPr="004D47FF" w:rsidSect="00F17A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B10FB0" w14:textId="272E6891" w:rsidR="00F17A40" w:rsidRPr="004D47FF" w:rsidRDefault="004D47FF" w:rsidP="00F17A40">
      <w:pPr>
        <w:pStyle w:val="aramaic"/>
        <w:keepNext/>
        <w:widowControl w:val="0"/>
        <w:bidi w:val="0"/>
        <w:spacing w:before="120" w:beforeAutospacing="0" w:after="0" w:afterAutospacing="0"/>
        <w:jc w:val="center"/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</w:pPr>
      <w:r w:rsidRPr="004D47FF">
        <w:rPr>
          <w:rStyle w:val="chapternumber1"/>
          <w:rFonts w:ascii="Gentium" w:hAnsi="Gentium" w:cs="Gentium" w:hint="default"/>
          <w:b/>
          <w:bCs/>
          <w:i/>
          <w:iCs/>
          <w:noProof/>
          <w:color w:val="auto"/>
          <w:sz w:val="32"/>
          <w:szCs w:val="32"/>
          <w:u w:val="single" w:color="800000"/>
          <w:lang w:val="el-GR"/>
        </w:rPr>
        <w:t>XX</w:t>
      </w:r>
    </w:p>
    <w:p w14:paraId="5A96D5D0" w14:textId="073EE805" w:rsidR="00F17A40" w:rsidRPr="004D47FF" w:rsidRDefault="004D47FF" w:rsidP="004D47FF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D47FF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  <w:lang w:val="el-GR"/>
        </w:rPr>
        <w:t>34</w:t>
      </w:r>
      <w:r w:rsidRPr="004D47FF">
        <w:rPr>
          <w:rFonts w:ascii="Gentium" w:hAnsi="Gentium" w:cs="Gentium"/>
          <w:i/>
          <w:iCs/>
          <w:noProof/>
          <w:color w:val="EE0000"/>
          <w:sz w:val="28"/>
          <w:szCs w:val="28"/>
          <w:lang w:val="el-GR"/>
        </w:rPr>
        <w:t xml:space="preserve"> 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Καὶ ἕτεροι π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ά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λιν ἐγγὺς ἐκε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ί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νων γυναῖκες καὶ ἄνδρες φλεγ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καὶ στρεφ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 καὶ τηγανιζ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ό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μενοι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οὗτοι δὲ ἦσαν οἱ ἀφ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έ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ντες τὴν ὁδὸν τοῦ θεοῦ |</w:t>
      </w:r>
      <w:r w:rsidRPr="004D47FF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… …</w:t>
      </w:r>
    </w:p>
    <w:sectPr w:rsidR="00F17A40" w:rsidRPr="004D47FF" w:rsidSect="0010284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8"/>
    <w:rsid w:val="00032D27"/>
    <w:rsid w:val="000478C2"/>
    <w:rsid w:val="000A43EA"/>
    <w:rsid w:val="000B3557"/>
    <w:rsid w:val="000C058D"/>
    <w:rsid w:val="000F2527"/>
    <w:rsid w:val="00102847"/>
    <w:rsid w:val="001116A3"/>
    <w:rsid w:val="00131052"/>
    <w:rsid w:val="00193ADF"/>
    <w:rsid w:val="001D26DF"/>
    <w:rsid w:val="002059CF"/>
    <w:rsid w:val="00206DAE"/>
    <w:rsid w:val="0021133A"/>
    <w:rsid w:val="0023337E"/>
    <w:rsid w:val="002C6E80"/>
    <w:rsid w:val="002E67A1"/>
    <w:rsid w:val="00306AA2"/>
    <w:rsid w:val="0031142F"/>
    <w:rsid w:val="00322974"/>
    <w:rsid w:val="0033785A"/>
    <w:rsid w:val="003B0117"/>
    <w:rsid w:val="003B315C"/>
    <w:rsid w:val="003C62F2"/>
    <w:rsid w:val="003E1694"/>
    <w:rsid w:val="003E59EE"/>
    <w:rsid w:val="00410A42"/>
    <w:rsid w:val="00461A3B"/>
    <w:rsid w:val="004C2AAB"/>
    <w:rsid w:val="004D47FF"/>
    <w:rsid w:val="00522C2F"/>
    <w:rsid w:val="0052566E"/>
    <w:rsid w:val="005447CE"/>
    <w:rsid w:val="00566845"/>
    <w:rsid w:val="005C686D"/>
    <w:rsid w:val="005D74B8"/>
    <w:rsid w:val="005F4336"/>
    <w:rsid w:val="00661782"/>
    <w:rsid w:val="006A12CF"/>
    <w:rsid w:val="006A3EB1"/>
    <w:rsid w:val="006B250F"/>
    <w:rsid w:val="006E06A6"/>
    <w:rsid w:val="006F55E5"/>
    <w:rsid w:val="0071205B"/>
    <w:rsid w:val="007521F1"/>
    <w:rsid w:val="007A6ED8"/>
    <w:rsid w:val="007B1FA3"/>
    <w:rsid w:val="00870F48"/>
    <w:rsid w:val="008A217F"/>
    <w:rsid w:val="008C36A8"/>
    <w:rsid w:val="00906D2E"/>
    <w:rsid w:val="00953EDD"/>
    <w:rsid w:val="009C59C9"/>
    <w:rsid w:val="009D549B"/>
    <w:rsid w:val="009D5E29"/>
    <w:rsid w:val="009E6E8B"/>
    <w:rsid w:val="009F551A"/>
    <w:rsid w:val="00A478A8"/>
    <w:rsid w:val="00B135A0"/>
    <w:rsid w:val="00B1664C"/>
    <w:rsid w:val="00B31979"/>
    <w:rsid w:val="00B50E38"/>
    <w:rsid w:val="00B657BE"/>
    <w:rsid w:val="00B82901"/>
    <w:rsid w:val="00C02577"/>
    <w:rsid w:val="00C03C35"/>
    <w:rsid w:val="00C073C5"/>
    <w:rsid w:val="00C40258"/>
    <w:rsid w:val="00C578B2"/>
    <w:rsid w:val="00CA1A74"/>
    <w:rsid w:val="00CD2B52"/>
    <w:rsid w:val="00D1153F"/>
    <w:rsid w:val="00D452DB"/>
    <w:rsid w:val="00D57541"/>
    <w:rsid w:val="00D64663"/>
    <w:rsid w:val="00D74652"/>
    <w:rsid w:val="00D95C3F"/>
    <w:rsid w:val="00DA2B33"/>
    <w:rsid w:val="00DB3483"/>
    <w:rsid w:val="00E00A79"/>
    <w:rsid w:val="00E105A8"/>
    <w:rsid w:val="00E44071"/>
    <w:rsid w:val="00E85EB9"/>
    <w:rsid w:val="00E90F71"/>
    <w:rsid w:val="00ED3EE6"/>
    <w:rsid w:val="00EE357D"/>
    <w:rsid w:val="00EF0A9C"/>
    <w:rsid w:val="00F056EF"/>
    <w:rsid w:val="00F17A40"/>
    <w:rsid w:val="00F30D33"/>
    <w:rsid w:val="00F40FB0"/>
    <w:rsid w:val="00F43B9B"/>
    <w:rsid w:val="00F536CA"/>
    <w:rsid w:val="00F5437D"/>
    <w:rsid w:val="00F6118E"/>
    <w:rsid w:val="00F82552"/>
    <w:rsid w:val="00F86737"/>
    <w:rsid w:val="00F96350"/>
    <w:rsid w:val="00FA2BBC"/>
    <w:rsid w:val="00FB1D19"/>
    <w:rsid w:val="00FC57D0"/>
    <w:rsid w:val="00FD13F0"/>
    <w:rsid w:val="00F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F288A"/>
  <w15:docId w15:val="{E5660444-A275-48CA-A885-2B373433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paragraph" w:customStyle="1" w:styleId="close">
    <w:name w:val="close"/>
    <w:basedOn w:val="Normal"/>
    <w:rsid w:val="005447CE"/>
    <w:pPr>
      <w:spacing w:before="100" w:after="100"/>
      <w:ind w:left="400" w:right="400" w:firstLine="200"/>
    </w:pPr>
    <w:rPr>
      <w:lang w:eastAsia="en-GB" w:bidi="he-IL"/>
    </w:rPr>
  </w:style>
  <w:style w:type="character" w:styleId="Hyperlink">
    <w:name w:val="Hyperlink"/>
    <w:basedOn w:val="DefaultParagraphFont"/>
    <w:rsid w:val="00102847"/>
    <w:rPr>
      <w:color w:val="0000FF"/>
      <w:u w:val="single"/>
    </w:rPr>
  </w:style>
  <w:style w:type="character" w:customStyle="1" w:styleId="greek1">
    <w:name w:val="greek1"/>
    <w:basedOn w:val="DefaultParagraphFont"/>
    <w:rsid w:val="00102847"/>
    <w:rPr>
      <w:rFonts w:ascii="Arial Unicode MS" w:eastAsia="Arial Unicode MS" w:hAnsi="Arial Unicode MS" w:cs="Arial Unicode MS" w:hint="eastAsia"/>
      <w:rtl w:val="0"/>
    </w:rPr>
  </w:style>
  <w:style w:type="paragraph" w:customStyle="1" w:styleId="aramaic">
    <w:name w:val="aramaic"/>
    <w:basedOn w:val="Normal"/>
    <w:rsid w:val="00102847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hebrew">
    <w:name w:val="hebrew"/>
    <w:basedOn w:val="Normal"/>
    <w:rsid w:val="00102847"/>
    <w:pPr>
      <w:bidi/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greek">
    <w:name w:val="greek"/>
    <w:basedOn w:val="Normal"/>
    <w:rsid w:val="00102847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lang w:bidi="he-IL"/>
    </w:rPr>
  </w:style>
  <w:style w:type="paragraph" w:customStyle="1" w:styleId="latin">
    <w:name w:val="latin"/>
    <w:basedOn w:val="Normal"/>
    <w:rsid w:val="00102847"/>
    <w:pPr>
      <w:spacing w:before="100" w:beforeAutospacing="1" w:after="100" w:afterAutospacing="1"/>
    </w:pPr>
    <w:rPr>
      <w:rFonts w:ascii="Palatino Linotype" w:eastAsia="Arial Unicode MS" w:hAnsi="Palatino Linotype" w:cs="Arial Unicode MS"/>
      <w:lang w:bidi="he-IL"/>
    </w:rPr>
  </w:style>
  <w:style w:type="character" w:customStyle="1" w:styleId="chapternumber1">
    <w:name w:val="chapternumber1"/>
    <w:basedOn w:val="DefaultParagraphFont"/>
    <w:rsid w:val="00102847"/>
    <w:rPr>
      <w:color w:val="FF0000"/>
    </w:rPr>
  </w:style>
  <w:style w:type="character" w:customStyle="1" w:styleId="versenumber1">
    <w:name w:val="versenumber1"/>
    <w:basedOn w:val="DefaultParagraphFont"/>
    <w:rsid w:val="00102847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FC5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tweblog.blogspot.com/2009/05/apocalypose-of-peter-greek-text-on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Apocalypse of Peter</vt:lpstr>
    </vt:vector>
  </TitlesOfParts>
  <Company>Zacchaeus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Peter</dc:title>
  <dc:subject/>
  <cp:keywords/>
  <dc:description/>
  <cp:lastModifiedBy>Adrian Hills</cp:lastModifiedBy>
  <cp:revision>1</cp:revision>
  <dcterms:created xsi:type="dcterms:W3CDTF">2024-06-23T13:48:00Z</dcterms:created>
  <dcterms:modified xsi:type="dcterms:W3CDTF">2025-07-30T07:43:00Z</dcterms:modified>
  <cp:category>Apocryphal Revelations &amp; Acts (Snnn-Xxx)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G203</vt:lpwstr>
  </property>
  <property fmtid="{D5CDD505-2E9C-101B-9397-08002B2CF9AE}" pid="3" name="Source">
    <vt:lpwstr>Not Available</vt:lpwstr>
  </property>
</Properties>
</file>