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78" w:rsidRPr="009E5178" w:rsidRDefault="009E5178" w:rsidP="00F747BD">
      <w:pPr>
        <w:pStyle w:val="1"/>
        <w:rPr>
          <w:rFonts w:eastAsia="Times New Roman"/>
        </w:rPr>
      </w:pPr>
      <w:r w:rsidRPr="009E5178">
        <w:rPr>
          <w:rFonts w:eastAsia="Times New Roman"/>
        </w:rPr>
        <w:t>Ритмы ЭЭГ</w:t>
      </w:r>
    </w:p>
    <w:p w:rsidR="009E5178" w:rsidRPr="009E5178" w:rsidRDefault="009E5178" w:rsidP="00BF6C02">
      <w:pPr>
        <w:pStyle w:val="1"/>
        <w:rPr>
          <w:rFonts w:eastAsia="Times New Roman"/>
          <w:lang w:eastAsia="ru-RU"/>
        </w:rPr>
      </w:pPr>
      <w:r w:rsidRPr="009E5178">
        <w:rPr>
          <w:rFonts w:eastAsia="Times New Roman"/>
          <w:lang w:eastAsia="ru-RU"/>
        </w:rPr>
        <w:t>Альфа-ритм</w:t>
      </w:r>
    </w:p>
    <w:p w:rsidR="009E5178" w:rsidRDefault="009E5178" w:rsidP="00F747BD">
      <w:r>
        <w:t xml:space="preserve">Альфа-ритм или альфа-волны (англ. alpha rhythm, alpha wave, α-rhythm) — нормальная ритмическая активность ЭЭГ, регистрирующаяся в области первичных или вторичных зон сенсорной коры при открытых или закрытых глазах в состоянии покоя у 85-95% здоровых взрослых. При активации сенсорных областей коры альфа-ритм угнетается. У здорового человека альфа-ритм является доминирующим (т.е. преобладает по амплитуде) в области теменной, затылочной, а также сенсомоторной коры, где отдельно выделяют mu- или сенсомоторные ритмы. Частота альфа-ритма варьирует в пределах от </w:t>
      </w:r>
      <w:r w:rsidRPr="009E5178">
        <w:rPr>
          <w:b/>
        </w:rPr>
        <w:t>8 до 13</w:t>
      </w:r>
      <w:r>
        <w:t xml:space="preserve"> </w:t>
      </w:r>
      <w:r w:rsidRPr="009E5178">
        <w:rPr>
          <w:b/>
        </w:rPr>
        <w:t>Гц</w:t>
      </w:r>
      <w:r>
        <w:t xml:space="preserve">. Амплитуда альфа-волн может варьировать, но у взрослых обычно около </w:t>
      </w:r>
      <w:r w:rsidRPr="009E5178">
        <w:rPr>
          <w:b/>
        </w:rPr>
        <w:t>30-50 мкВ</w:t>
      </w:r>
      <w:r>
        <w:t>. Блокируется или ослабляется при повышении внимания (в особенности зрительного) или мыслительной активности.</w:t>
      </w:r>
    </w:p>
    <w:p w:rsidR="009E5178" w:rsidRDefault="009E5178" w:rsidP="00F747BD">
      <w:r>
        <w:t>Таким образом, в современной литературе термин «альфа-ритм» применяется к любым компонентам ЭЭГ со следующими характеристиками:</w:t>
      </w:r>
    </w:p>
    <w:p w:rsidR="009E5178" w:rsidRDefault="009E5178" w:rsidP="00F747BD">
      <w:pPr>
        <w:pStyle w:val="a3"/>
        <w:numPr>
          <w:ilvl w:val="0"/>
          <w:numId w:val="13"/>
        </w:numPr>
      </w:pPr>
      <w:r>
        <w:t>доминирующий ритм ЭЭГ в затылочно-теменной области с частотой 8-13 Гц;</w:t>
      </w:r>
    </w:p>
    <w:p w:rsidR="009E5178" w:rsidRDefault="009E5178" w:rsidP="00F747BD">
      <w:pPr>
        <w:pStyle w:val="a3"/>
        <w:numPr>
          <w:ilvl w:val="0"/>
          <w:numId w:val="13"/>
        </w:numPr>
      </w:pPr>
      <w:r>
        <w:t>веретенообразность колебаний;</w:t>
      </w:r>
    </w:p>
    <w:p w:rsidR="00280306" w:rsidRDefault="009E5178" w:rsidP="00F747BD">
      <w:pPr>
        <w:pStyle w:val="a3"/>
        <w:numPr>
          <w:ilvl w:val="0"/>
          <w:numId w:val="13"/>
        </w:numPr>
      </w:pPr>
      <w:r>
        <w:t>снижение амплитуды при реакции зрительной и когнитивной активации</w:t>
      </w:r>
    </w:p>
    <w:p w:rsidR="009E5178" w:rsidRPr="009E5178" w:rsidRDefault="009E5178" w:rsidP="009E5178">
      <w:pPr>
        <w:rPr>
          <w:rFonts w:ascii="Times New Roman" w:eastAsia="Times New Roman" w:hAnsi="Times New Roman" w:cs="Times New Roman"/>
          <w:lang w:eastAsia="ru-RU"/>
        </w:rPr>
      </w:pPr>
      <w:r w:rsidRPr="009E5178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9E5178">
        <w:rPr>
          <w:rFonts w:ascii="Times New Roman" w:eastAsia="Times New Roman" w:hAnsi="Times New Roman" w:cs="Times New Roman"/>
          <w:lang w:eastAsia="ru-RU"/>
        </w:rPr>
        <w:instrText xml:space="preserve"> INCLUDEPICTURE "https://cmi.to/wp-content/uploads/2020/03/rhythms_EEG.jpg" \* MERGEFORMATINET </w:instrText>
      </w:r>
      <w:r w:rsidRPr="009E5178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9E517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4539615"/>
            <wp:effectExtent l="0" t="0" r="0" b="0"/>
            <wp:docPr id="1" name="Рисунок 1" descr="https://cmi.to/wp-content/uploads/2020/03/rhythms_E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i.to/wp-content/uploads/2020/03/rhythms_EE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178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9E5178" w:rsidRDefault="009E5178" w:rsidP="009E5178"/>
    <w:p w:rsidR="009E5178" w:rsidRDefault="009E5178" w:rsidP="00F747BD">
      <w:pPr>
        <w:pStyle w:val="2"/>
        <w:rPr>
          <w:rFonts w:eastAsia="Times New Roman"/>
          <w:lang w:eastAsia="ru-RU"/>
        </w:rPr>
      </w:pPr>
      <w:r w:rsidRPr="009E5178">
        <w:rPr>
          <w:rFonts w:eastAsia="Times New Roman"/>
          <w:lang w:eastAsia="ru-RU"/>
        </w:rPr>
        <w:lastRenderedPageBreak/>
        <w:t>ЭЭГ характеристики альфа-ритма</w:t>
      </w:r>
    </w:p>
    <w:p w:rsidR="009E5178" w:rsidRPr="009E5178" w:rsidRDefault="009E5178" w:rsidP="00F747BD">
      <w:r w:rsidRPr="009E5178">
        <w:t>Лучше всего альфа-ритм выражен (доминирует) в затылочных и теменных отделах, по направлению кпереди амплитуда его постепенно уменьшается. Наибольшую амплитуду α-ритм имеет в состоянии спокойного расслабленного бодрствования, особенно при закрытых глазах в затемненном помещении. Для альфа-ритма характерна быстрота реакции, подавление альфа-ритма происходит при открывании глаз; при закрывании глаз амплитуда альфа-активности возвращается в норму, особенно в затылочной области.</w:t>
      </w:r>
    </w:p>
    <w:p w:rsidR="009E5178" w:rsidRPr="009E5178" w:rsidRDefault="009E5178" w:rsidP="00F747BD">
      <w:r w:rsidRPr="009E5178">
        <w:t>Его</w:t>
      </w:r>
      <w:r w:rsidR="00281917">
        <w:t xml:space="preserve"> </w:t>
      </w:r>
      <w:r w:rsidRPr="00415B9A">
        <w:rPr>
          <w:b/>
          <w:i/>
          <w:iCs/>
        </w:rPr>
        <w:t>амплитуда</w:t>
      </w:r>
      <w:r w:rsidRPr="009E5178">
        <w:t>, хотя и является в среднем относительно постоянным параметром для данного индивидуума, весьма существенно колеблется во времени, как правило от</w:t>
      </w:r>
      <w:r w:rsidR="00281917">
        <w:t xml:space="preserve"> </w:t>
      </w:r>
      <w:r w:rsidRPr="009E5178">
        <w:t>30 до 50 мкВ. Помимо изменений амплитуды, связанных с функциональным состоянием мозга, в большинстве случаев достаточно регулярно наблюдаются спонтанные изменения амплитуды, так называемые модуляции</w:t>
      </w:r>
      <w:r w:rsidR="00281917">
        <w:t xml:space="preserve"> </w:t>
      </w:r>
      <w:r w:rsidRPr="009E5178">
        <w:t>альфа-ритма, выражающиеся в чередующемся нарастании и снижении амплитуды волн с образованием характерных «веретен», длительность которых чаще всего колеблется от 2 до 8 с.</w:t>
      </w:r>
    </w:p>
    <w:p w:rsidR="009E5178" w:rsidRPr="009E5178" w:rsidRDefault="009E5178" w:rsidP="00F747BD">
      <w:r w:rsidRPr="009E5178">
        <w:rPr>
          <w:b/>
          <w:i/>
          <w:iCs/>
        </w:rPr>
        <w:t>Модуляция</w:t>
      </w:r>
      <w:r w:rsidR="00281917">
        <w:t xml:space="preserve"> </w:t>
      </w:r>
      <w:r w:rsidRPr="009E5178">
        <w:t>– то есть правильное возрастание и убывание амплитуды альфа-ритма – выглядит на мониторе как горизонтальное веретено.</w:t>
      </w:r>
    </w:p>
    <w:p w:rsidR="009E5178" w:rsidRPr="009E5178" w:rsidRDefault="009E5178" w:rsidP="00F747BD">
      <w:r w:rsidRPr="009E5178">
        <w:rPr>
          <w:b/>
          <w:i/>
          <w:iCs/>
        </w:rPr>
        <w:t>Регулярным</w:t>
      </w:r>
      <w:r w:rsidR="00281917">
        <w:t xml:space="preserve"> </w:t>
      </w:r>
      <w:r w:rsidRPr="009E5178">
        <w:t>считается альфа-ритм тогда, когда периоды (длины) волн отличаются не более чем на 0,5 Гц.</w:t>
      </w:r>
    </w:p>
    <w:p w:rsidR="009E5178" w:rsidRPr="009E5178" w:rsidRDefault="009E5178" w:rsidP="00F747BD">
      <w:r w:rsidRPr="009E5178">
        <w:t>Количественной характеристикой является</w:t>
      </w:r>
      <w:r w:rsidR="00281917">
        <w:t xml:space="preserve"> </w:t>
      </w:r>
      <w:r w:rsidRPr="009E5178">
        <w:rPr>
          <w:b/>
          <w:i/>
          <w:iCs/>
        </w:rPr>
        <w:t>индекс альфа-активности</w:t>
      </w:r>
      <w:r w:rsidRPr="009E5178">
        <w:t>. До 25% альфа-активность считается низкой, до 50% – средней, высокой – более 70%.</w:t>
      </w:r>
      <w:r w:rsidR="00281917">
        <w:t xml:space="preserve"> </w:t>
      </w:r>
      <w:r w:rsidRPr="009E5178">
        <w:t>Альфа активность считается нормальной, если она фиксируется в затылочно-теменной области с индексом не менее 60% или наблюдается во всех областях мозга с индексом не менее 50%.</w:t>
      </w:r>
    </w:p>
    <w:p w:rsidR="009E5178" w:rsidRPr="009E5178" w:rsidRDefault="009E5178" w:rsidP="00F747BD">
      <w:r w:rsidRPr="009E5178">
        <w:t>По</w:t>
      </w:r>
      <w:r w:rsidR="00281917">
        <w:rPr>
          <w:i/>
          <w:iCs/>
        </w:rPr>
        <w:t xml:space="preserve"> </w:t>
      </w:r>
      <w:r w:rsidRPr="009E5178">
        <w:rPr>
          <w:b/>
          <w:i/>
          <w:iCs/>
        </w:rPr>
        <w:t>морфологическим свойствам</w:t>
      </w:r>
      <w:r w:rsidR="00281917">
        <w:t xml:space="preserve"> </w:t>
      </w:r>
      <w:r w:rsidRPr="009E5178">
        <w:t>альфа-ритм представляет собой синусоиду, но у молодых пациентов он может прерываться острыми отрицательными колебаниями, то усиливаться, то ослабляться, вызывая появление «эффекта биения». Подобный ритм может встречаться у одних людей и отсутствовать у других. Этот ритм называют «веретенообразным» (spindles). Он особенно заметен при исследовании сна у пациентов.</w:t>
      </w:r>
    </w:p>
    <w:p w:rsidR="009E5178" w:rsidRDefault="00F747BD" w:rsidP="00F747BD">
      <w:pPr>
        <w:pStyle w:val="2"/>
        <w:rPr>
          <w:rFonts w:eastAsia="Times New Roman"/>
          <w:lang w:eastAsia="ru-RU"/>
        </w:rPr>
      </w:pPr>
      <w:r w:rsidRPr="00F747BD">
        <w:rPr>
          <w:rFonts w:eastAsia="Times New Roman"/>
          <w:lang w:eastAsia="ru-RU"/>
        </w:rPr>
        <w:t>Факторы, влияющие на альфа-ритм</w:t>
      </w:r>
    </w:p>
    <w:p w:rsidR="00F747BD" w:rsidRPr="00F747BD" w:rsidRDefault="00F747BD" w:rsidP="00F747BD">
      <w:pPr>
        <w:rPr>
          <w:rFonts w:eastAsia="Times New Roman"/>
          <w:lang w:eastAsia="ru-RU"/>
        </w:rPr>
      </w:pPr>
      <w:r w:rsidRPr="00F747BD">
        <w:rPr>
          <w:rFonts w:eastAsia="Times New Roman"/>
          <w:b/>
          <w:bCs/>
          <w:lang w:eastAsia="ru-RU"/>
        </w:rPr>
        <w:t>Возраст.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>У большинства детей к трем годам альфа-ритм имеет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i/>
          <w:iCs/>
          <w:lang w:eastAsia="ru-RU"/>
        </w:rPr>
        <w:t>частоту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>8 Гц, у детей старше 10 лет – 10 Гц.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 xml:space="preserve"> У взрослых людей альфа-ритм становится доминирующей формой активности и преобладает во всех областях коры, средняя частота равняется 10–10,5 Гц. Альфа-ритм (его частота и амплитуда) меняется с возрастом, что является отражением возрастных изменений в головном мозге человека при старении. С возрастом частота альфа-ритма замедляется, а у людей старше 80 лет альфа-ритм в среднем имеет частоту 7,5 Гц.</w:t>
      </w:r>
    </w:p>
    <w:p w:rsidR="00F747BD" w:rsidRPr="00F747BD" w:rsidRDefault="00F747BD" w:rsidP="00F747BD">
      <w:pPr>
        <w:rPr>
          <w:rFonts w:eastAsia="Times New Roman"/>
          <w:lang w:eastAsia="ru-RU"/>
        </w:rPr>
      </w:pPr>
      <w:r w:rsidRPr="00F747BD">
        <w:rPr>
          <w:rFonts w:eastAsia="Times New Roman"/>
          <w:b/>
          <w:bCs/>
          <w:lang w:eastAsia="ru-RU"/>
        </w:rPr>
        <w:t>Половые различия.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>Альфа-ритм не имеет половых различий и одинаков у мужчин и женщин</w:t>
      </w:r>
      <w:r w:rsidR="00B47DE4">
        <w:rPr>
          <w:rFonts w:eastAsia="Times New Roman"/>
          <w:lang w:eastAsia="ru-RU"/>
        </w:rPr>
        <w:t>, но</w:t>
      </w:r>
      <w:r w:rsidRPr="00F747BD">
        <w:rPr>
          <w:rFonts w:eastAsia="Times New Roman"/>
          <w:lang w:eastAsia="ru-RU"/>
        </w:rPr>
        <w:t xml:space="preserve"> </w:t>
      </w:r>
      <w:r w:rsidR="00B47DE4">
        <w:rPr>
          <w:rFonts w:eastAsia="Times New Roman"/>
          <w:lang w:eastAsia="ru-RU"/>
        </w:rPr>
        <w:t>ч</w:t>
      </w:r>
      <w:r w:rsidRPr="00F747BD">
        <w:rPr>
          <w:rFonts w:eastAsia="Times New Roman"/>
          <w:lang w:eastAsia="ru-RU"/>
        </w:rPr>
        <w:t>астота и амплитуда альфа-ритма зависят от фазы менструального цикла у женщин. Частота альфа-ритма увеличивается при уменьшении амплитуды в предменструальной фазе, а замедление частоты и увеличение амплитуды фиксируется во время месячных (Chang B., et. al., 2011 г.).</w:t>
      </w:r>
    </w:p>
    <w:p w:rsidR="00F747BD" w:rsidRPr="00F747BD" w:rsidRDefault="00F747BD" w:rsidP="00F747BD">
      <w:pPr>
        <w:rPr>
          <w:rFonts w:eastAsia="Times New Roman"/>
          <w:lang w:eastAsia="ru-RU"/>
        </w:rPr>
      </w:pPr>
      <w:r w:rsidRPr="00F747BD">
        <w:rPr>
          <w:rFonts w:eastAsia="Times New Roman"/>
          <w:lang w:eastAsia="ru-RU"/>
        </w:rPr>
        <w:lastRenderedPageBreak/>
        <w:t>При повышении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b/>
          <w:bCs/>
          <w:lang w:eastAsia="ru-RU"/>
        </w:rPr>
        <w:t>температуры тела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>увеличивается частота альфа-ритма. Онкологические заболевания, при которых наблюдается гипотермия, сопровождаются уменьшением частоты и амплитуды альфа-ритма.</w:t>
      </w:r>
    </w:p>
    <w:p w:rsidR="00F747BD" w:rsidRPr="00F747BD" w:rsidRDefault="00F747BD" w:rsidP="00F747BD">
      <w:pPr>
        <w:rPr>
          <w:rFonts w:eastAsia="Times New Roman"/>
          <w:lang w:eastAsia="ru-RU"/>
        </w:rPr>
      </w:pPr>
      <w:r w:rsidRPr="00F747BD">
        <w:rPr>
          <w:rFonts w:eastAsia="Times New Roman"/>
          <w:b/>
          <w:bCs/>
          <w:lang w:eastAsia="ru-RU"/>
        </w:rPr>
        <w:t>Сердечный нервный узел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>(пейсмекер-водитель ритма) при его активации также повышает частоту альфа-ритма более чем на 1-2 Гц. Это происходит за счет усиления сердечного выброса, который приводит к повышению альфа-ритма.</w:t>
      </w:r>
    </w:p>
    <w:p w:rsidR="00F747BD" w:rsidRPr="00EE584A" w:rsidRDefault="00F747BD" w:rsidP="00F747BD">
      <w:pPr>
        <w:rPr>
          <w:rFonts w:eastAsia="Times New Roman"/>
          <w:lang w:eastAsia="ru-RU"/>
        </w:rPr>
      </w:pPr>
      <w:r w:rsidRPr="00F747BD">
        <w:rPr>
          <w:rFonts w:eastAsia="Times New Roman"/>
          <w:b/>
          <w:bCs/>
          <w:lang w:eastAsia="ru-RU"/>
        </w:rPr>
        <w:t>Лекарственные вещества</w:t>
      </w:r>
      <w:r w:rsidR="00281917">
        <w:rPr>
          <w:rFonts w:eastAsia="Times New Roman"/>
          <w:lang w:eastAsia="ru-RU"/>
        </w:rPr>
        <w:t xml:space="preserve"> </w:t>
      </w:r>
      <w:r w:rsidRPr="00F747BD">
        <w:rPr>
          <w:rFonts w:eastAsia="Times New Roman"/>
          <w:lang w:eastAsia="ru-RU"/>
        </w:rPr>
        <w:t>и лечение различными препаратами могут замедлять альфа-ритм.</w:t>
      </w:r>
    </w:p>
    <w:p w:rsidR="00BF6C02" w:rsidRDefault="00BF6C02" w:rsidP="00BF6C02">
      <w:pPr>
        <w:pStyle w:val="1"/>
        <w:rPr>
          <w:rFonts w:eastAsia="Times New Roman"/>
          <w:lang w:eastAsia="ru-RU"/>
        </w:rPr>
      </w:pPr>
      <w:r w:rsidRPr="00BF6C02">
        <w:rPr>
          <w:rFonts w:eastAsia="Times New Roman"/>
          <w:lang w:eastAsia="ru-RU"/>
        </w:rPr>
        <w:t>Мю-ритмы</w:t>
      </w:r>
      <w:r w:rsidR="00F10FB2">
        <w:rPr>
          <w:rFonts w:eastAsia="Times New Roman"/>
          <w:lang w:eastAsia="ru-RU"/>
        </w:rPr>
        <w:t xml:space="preserve"> (сенсомоторные ритмы)</w:t>
      </w:r>
    </w:p>
    <w:p w:rsidR="00F10FB2" w:rsidRDefault="00F10FB2" w:rsidP="00F10FB2">
      <w:pPr>
        <w:rPr>
          <w:lang w:eastAsia="ru-RU"/>
        </w:rPr>
      </w:pPr>
      <w:r w:rsidRPr="00F10FB2">
        <w:rPr>
          <w:lang w:eastAsia="ru-RU"/>
        </w:rPr>
        <w:t xml:space="preserve">Мю-ритм (Mu rhythm) – ритм в полосе частот </w:t>
      </w:r>
      <w:r w:rsidRPr="00F10FB2">
        <w:rPr>
          <w:b/>
          <w:lang w:eastAsia="ru-RU"/>
        </w:rPr>
        <w:t>8-13 Гц</w:t>
      </w:r>
      <w:r w:rsidRPr="00F10FB2">
        <w:rPr>
          <w:lang w:eastAsia="ru-RU"/>
        </w:rPr>
        <w:t xml:space="preserve">, представляющий собой аркообразные волны, регистрируемые в центральных и центрально-височных регионах скальпа в состоянии бодрствования. Амплитуда различна, но обычно ниже </w:t>
      </w:r>
      <w:r w:rsidRPr="00F10FB2">
        <w:rPr>
          <w:b/>
          <w:lang w:eastAsia="ru-RU"/>
        </w:rPr>
        <w:t>50 мкВ</w:t>
      </w:r>
      <w:r w:rsidRPr="00F10FB2">
        <w:rPr>
          <w:lang w:eastAsia="ru-RU"/>
        </w:rPr>
        <w:t>. Наиболее явно блокируется или ослабляется контрлатеральными движениями, мысленным представлением движений, состоянием готовности к движению или тактильной стимуляцией. Обозначается греческой буквой µ. Синонимы: аркоидные (arceau), аркообразные (wicket), гребенчатые ритмы.</w:t>
      </w:r>
      <w:r>
        <w:rPr>
          <w:lang w:eastAsia="ru-RU"/>
        </w:rPr>
        <w:t xml:space="preserve"> </w:t>
      </w:r>
      <w:r w:rsidRPr="00F10FB2">
        <w:rPr>
          <w:lang w:eastAsia="ru-RU"/>
        </w:rPr>
        <w:t>Сенсомоторные ритмы имеют немного более высокую частоту, чем затылочные альфа-ритмы.</w:t>
      </w:r>
    </w:p>
    <w:p w:rsidR="000A119F" w:rsidRPr="000A119F" w:rsidRDefault="000A119F" w:rsidP="000A119F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0A5E23DA" wp14:editId="589221CF">
            <wp:extent cx="5822830" cy="3467207"/>
            <wp:effectExtent l="0" t="0" r="6985" b="0"/>
            <wp:docPr id="54" name="Рисунок 54" descr="https://cmi.to/wp-content/uploads/2019/09/kolichestvennaya_eeg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i.to/wp-content/uploads/2019/09/kolichestvennaya_eeg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63" cy="346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9F" w:rsidRPr="000A119F" w:rsidRDefault="000A119F" w:rsidP="00703A2F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A119F">
        <w:rPr>
          <w:rFonts w:eastAsia="Times New Roman"/>
          <w:bdr w:val="none" w:sz="0" w:space="0" w:color="auto" w:frame="1"/>
          <w:lang w:eastAsia="ru-RU"/>
        </w:rPr>
        <w:t>Мю-ритмы, фрагмент электроэнцефалограммы.</w:t>
      </w:r>
      <w:r w:rsidR="00703A2F">
        <w:rPr>
          <w:rFonts w:eastAsia="Times New Roman"/>
          <w:bdr w:val="none" w:sz="0" w:space="0" w:color="auto" w:frame="1"/>
          <w:lang w:eastAsia="ru-RU"/>
        </w:rPr>
        <w:t xml:space="preserve"> </w:t>
      </w:r>
      <w:r w:rsidRPr="000A119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ЭЭГ, зарегистрированная у здорового взрослого субъекта в течение спокойного бодрствования с открытыми глазами. Обратите внимание на различные ритмы с частотой приблизительно 10 циклов в секунду в отведениях С3 и С4. Вставка — две топограммы потенциалов, снятых в два момента времени, указанных черными вертикальными линиями.</w:t>
      </w:r>
    </w:p>
    <w:p w:rsidR="000A119F" w:rsidRDefault="00703A2F" w:rsidP="00F10FB2">
      <w:pPr>
        <w:rPr>
          <w:lang w:eastAsia="ru-RU"/>
        </w:rPr>
      </w:pPr>
      <w:r>
        <w:rPr>
          <w:lang w:eastAsia="ru-RU"/>
        </w:rPr>
        <w:t>Н</w:t>
      </w:r>
      <w:r w:rsidR="005902B5" w:rsidRPr="005902B5">
        <w:rPr>
          <w:lang w:eastAsia="ru-RU"/>
        </w:rPr>
        <w:t xml:space="preserve">адо подчеркнуть, что мю-ритмы обнаружены и в левом, и в правом полушариях (и во многих случаях выглядят весьма симметричными в спектрах ЭЭГ), </w:t>
      </w:r>
      <w:r>
        <w:rPr>
          <w:lang w:eastAsia="ru-RU"/>
        </w:rPr>
        <w:t xml:space="preserve">и </w:t>
      </w:r>
      <w:r w:rsidR="005902B5" w:rsidRPr="005902B5">
        <w:rPr>
          <w:lang w:eastAsia="ru-RU"/>
        </w:rPr>
        <w:t>они обычно независимы, то есть производятся независимыми генераторами. Это продемонстрировано на рис. 2 при помощи когерентного анализа.</w:t>
      </w:r>
    </w:p>
    <w:p w:rsidR="00703A2F" w:rsidRPr="00703A2F" w:rsidRDefault="00703A2F" w:rsidP="00703A2F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7927E434" wp14:editId="0A6A8F36">
            <wp:extent cx="5782239" cy="4666891"/>
            <wp:effectExtent l="0" t="0" r="9525" b="635"/>
            <wp:docPr id="55" name="Рисунок 55" descr="https://cmi.to/wp-content/uploads/2019/09/kolichestvennaya_eeg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mi.to/wp-content/uploads/2019/09/kolichestvennaya_eeg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23" cy="46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2F" w:rsidRPr="009A327C" w:rsidRDefault="00703A2F" w:rsidP="009A327C">
      <w:pPr>
        <w:rPr>
          <w:rFonts w:eastAsia="Times New Roman"/>
          <w:lang w:eastAsia="ru-RU"/>
        </w:rPr>
      </w:pPr>
      <w:r w:rsidRPr="009A327C">
        <w:rPr>
          <w:rFonts w:eastAsia="Times New Roman"/>
          <w:bdr w:val="none" w:sz="0" w:space="0" w:color="auto" w:frame="1"/>
          <w:lang w:eastAsia="ru-RU"/>
        </w:rPr>
        <w:t>Независимость лево- и правосторонних мю-ритмов</w:t>
      </w:r>
      <w:r w:rsidR="009A327C" w:rsidRPr="009A327C">
        <w:rPr>
          <w:rFonts w:eastAsia="Times New Roman"/>
          <w:bdr w:val="none" w:sz="0" w:space="0" w:color="auto" w:frame="1"/>
          <w:lang w:eastAsia="ru-RU"/>
        </w:rPr>
        <w:t>.</w:t>
      </w:r>
      <w:r w:rsidR="009A327C" w:rsidRPr="009A327C">
        <w:rPr>
          <w:rFonts w:eastAsia="Times New Roman"/>
          <w:bCs/>
          <w:sz w:val="26"/>
          <w:szCs w:val="26"/>
          <w:bdr w:val="none" w:sz="0" w:space="0" w:color="auto" w:frame="1"/>
          <w:lang w:eastAsia="ru-RU"/>
        </w:rPr>
        <w:t xml:space="preserve"> </w:t>
      </w:r>
      <w:r w:rsidRPr="009A327C">
        <w:rPr>
          <w:rFonts w:eastAsia="Times New Roman"/>
          <w:bdr w:val="none" w:sz="0" w:space="0" w:color="auto" w:frame="1"/>
          <w:lang w:eastAsia="ru-RU"/>
        </w:rPr>
        <w:t>Пример спектров мощности здорового взрослого субъекта. А. Топограммы распределения мощности левого и правого мю-ритмов в максимуме их амплитуды. Обратите внимание, что эти мю-ритмы немного отличаются по частоте. Б. Топограммы когерентности отведений СЗ и С4 соответственно. Обратите внимание, что положительный пик когерентности в одной стороне сопровождается отрицательным пиком в противоположной стороне, что указывает на независимость левых и правых мю-ритмов.</w:t>
      </w:r>
      <w:r w:rsidR="003419A7">
        <w:rPr>
          <w:rFonts w:eastAsia="Times New Roman"/>
          <w:bdr w:val="none" w:sz="0" w:space="0" w:color="auto" w:frame="1"/>
          <w:lang w:eastAsia="ru-RU"/>
        </w:rPr>
        <w:t xml:space="preserve"> </w:t>
      </w:r>
    </w:p>
    <w:p w:rsidR="00703A2F" w:rsidRDefault="003419A7" w:rsidP="00F10FB2">
      <w:pPr>
        <w:rPr>
          <w:lang w:eastAsia="ru-RU"/>
        </w:rPr>
      </w:pPr>
      <w:r w:rsidRPr="003419A7">
        <w:rPr>
          <w:lang w:eastAsia="ru-RU"/>
        </w:rPr>
        <w:t xml:space="preserve">Как выявляется на спектрах ЭЭГ, в ЭЭГ доминируют два различных ритма: один с максимумом мощности ЭЭГ в отведении </w:t>
      </w:r>
      <w:r w:rsidRPr="003419A7">
        <w:rPr>
          <w:b/>
          <w:lang w:eastAsia="ru-RU"/>
        </w:rPr>
        <w:t>СЗ</w:t>
      </w:r>
      <w:r w:rsidRPr="003419A7">
        <w:rPr>
          <w:lang w:eastAsia="ru-RU"/>
        </w:rPr>
        <w:t xml:space="preserve"> с пиковой частотой </w:t>
      </w:r>
      <w:r w:rsidRPr="003419A7">
        <w:rPr>
          <w:b/>
          <w:lang w:eastAsia="ru-RU"/>
        </w:rPr>
        <w:t>10 Гц</w:t>
      </w:r>
      <w:r w:rsidRPr="003419A7">
        <w:rPr>
          <w:lang w:eastAsia="ru-RU"/>
        </w:rPr>
        <w:t xml:space="preserve"> и другой с максимумом мощности ЭЭГ в отведении </w:t>
      </w:r>
      <w:r w:rsidRPr="003419A7">
        <w:rPr>
          <w:b/>
          <w:lang w:eastAsia="ru-RU"/>
        </w:rPr>
        <w:t>С4</w:t>
      </w:r>
      <w:r w:rsidRPr="003419A7">
        <w:rPr>
          <w:lang w:eastAsia="ru-RU"/>
        </w:rPr>
        <w:t xml:space="preserve"> с пиковой частотой </w:t>
      </w:r>
      <w:r w:rsidRPr="003419A7">
        <w:rPr>
          <w:b/>
          <w:lang w:eastAsia="ru-RU"/>
        </w:rPr>
        <w:t>9,5 Гц</w:t>
      </w:r>
      <w:r w:rsidRPr="003419A7">
        <w:rPr>
          <w:lang w:eastAsia="ru-RU"/>
        </w:rPr>
        <w:t>. Карты когерентности, вычисленной отдельно для СЗ и С4, представлены внизу справа. Как видно, сенсомоторный ритм с максимумом в СЗ имеет самую высокую когерентность на частоте левого ритма (10 Гц) с близлежащими электродами левого полушария и самую низкую когерентность с С4 электродом и, наоборот, ритм в С4 не работает синхронно с ритмом в отведении СЗ на своей пиковой частоте (9,5 Гц).</w:t>
      </w:r>
    </w:p>
    <w:p w:rsidR="00F80F6C" w:rsidRDefault="00F80F6C" w:rsidP="00F80F6C">
      <w:pPr>
        <w:pStyle w:val="2"/>
        <w:rPr>
          <w:lang w:eastAsia="ru-RU"/>
        </w:rPr>
      </w:pPr>
      <w:r>
        <w:rPr>
          <w:lang w:eastAsia="ru-RU"/>
        </w:rPr>
        <w:t>Затылочные альфа-ритмы (собственно альфа-ритмы)</w:t>
      </w:r>
    </w:p>
    <w:p w:rsidR="00F80F6C" w:rsidRDefault="00F80F6C" w:rsidP="00F80F6C">
      <w:pPr>
        <w:rPr>
          <w:lang w:eastAsia="ru-RU"/>
        </w:rPr>
      </w:pPr>
      <w:r>
        <w:rPr>
          <w:lang w:eastAsia="ru-RU"/>
        </w:rPr>
        <w:t>Высокоамплитудные ритмы, регистрирующиеся затылочными электродами от коры мозга человека, представляют другой пример альфа-ритмов.</w:t>
      </w:r>
      <w:r w:rsidR="00CE6974">
        <w:rPr>
          <w:lang w:eastAsia="ru-RU"/>
        </w:rPr>
        <w:t xml:space="preserve"> В</w:t>
      </w:r>
      <w:r>
        <w:rPr>
          <w:lang w:eastAsia="ru-RU"/>
        </w:rPr>
        <w:t xml:space="preserve"> затылочный ритм у этого человека проявляется в спектрах в форме острого пика. Визуально также можно оценить, что ритмы в О1 и О2-электродах этого человека синхронны. Синхронность — не обязательная особенность: у некоторых других здоровых людей ритмы в О1 и О2 могут быть независимыми друг от друга.</w:t>
      </w:r>
    </w:p>
    <w:p w:rsidR="00F80F6C" w:rsidRDefault="00F80F6C" w:rsidP="00F80F6C">
      <w:pPr>
        <w:rPr>
          <w:lang w:eastAsia="ru-RU"/>
        </w:rPr>
      </w:pPr>
    </w:p>
    <w:p w:rsidR="00F80F6C" w:rsidRDefault="00F80F6C" w:rsidP="00F80F6C">
      <w:pPr>
        <w:rPr>
          <w:lang w:eastAsia="ru-RU"/>
        </w:rPr>
      </w:pPr>
      <w:r>
        <w:rPr>
          <w:lang w:eastAsia="ru-RU"/>
        </w:rPr>
        <w:lastRenderedPageBreak/>
        <w:t xml:space="preserve">Затылочный ритм увеличивается (синхронизируется), когда человек закрывает глаза. Общие усредненные спектры в затылочных отведениях для группы здоровых взрослых в состояниях с открытыми и закрытыми глазами представлены на рис. Как </w:t>
      </w:r>
      <w:r w:rsidR="00EE584A">
        <w:rPr>
          <w:lang w:eastAsia="ru-RU"/>
        </w:rPr>
        <w:t>видно</w:t>
      </w:r>
      <w:r>
        <w:rPr>
          <w:lang w:eastAsia="ru-RU"/>
        </w:rPr>
        <w:t>, закрывание глаз существенно увеличивает мощность ЭЭГ в диапазоне альфа-частот в затылочных областях. Эта синхронизация вызвана блокировкой зрительных входов к затылочным областям. Этот факт является одной из причин, почему затылочный альфа-ритм рассматривают как ритм «холостого хода» затылочной коры. Затылочный ритм обычно доминирует в записи ЭЭГ (также как и в спектрах) во время состояния спокойного бодрствования с закрытыми глазами. В некоторых редких случаях существуют не один, а два затылочных альфа-ритма. Они могут генерироваться в различных областях затылочной доли и могут иметь различные пиковые частоты.</w:t>
      </w:r>
    </w:p>
    <w:p w:rsidR="00EE584A" w:rsidRPr="00EE584A" w:rsidRDefault="00EE584A" w:rsidP="00EE584A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3504C8E2" wp14:editId="139B5DC5">
            <wp:extent cx="5760000" cy="3562019"/>
            <wp:effectExtent l="0" t="0" r="0" b="635"/>
            <wp:docPr id="57" name="Рисунок 57" descr="https://cmi.to/wp-content/uploads/2019/09/kolichestvennaya_eeg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mi.to/wp-content/uploads/2019/09/kolichestvennaya_eeg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4A" w:rsidRPr="00EE584A" w:rsidRDefault="00EE584A" w:rsidP="00EE584A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E584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Затылочный ритм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. </w:t>
      </w:r>
      <w:r w:rsidRPr="00EE584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Фрагмент электроэнцефалограммы, зарегистрированной у здорового взрослого субъекта в течение спокойного бодрствования с открытыми глазами. Обратите внимание на отчетливый ритм частотой приблизительно 10 циклов в секунду в отведениях О1 и О2. Вставка (вверху) - две топограммы потенциалов, снятых в два момента времени, указанных черными вертикальными линиями. Вставка (внизу) — спектры мощности ЭЭГ в отведениях О1 и О2.</w:t>
      </w:r>
    </w:p>
    <w:p w:rsidR="00A11C06" w:rsidRPr="00A11C06" w:rsidRDefault="00A11C06" w:rsidP="00A11C06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4A6915F9" wp14:editId="3C7CCF45">
            <wp:extent cx="4157980" cy="3079750"/>
            <wp:effectExtent l="0" t="0" r="0" b="6350"/>
            <wp:docPr id="58" name="Рисунок 58" descr="https://cmi.to/wp-content/uploads/2019/09/kolichestvennaya_eeg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mi.to/wp-content/uploads/2019/09/kolichestvennaya_eeg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06" w:rsidRPr="00A11C06" w:rsidRDefault="00A11C06" w:rsidP="00A11C06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11C0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Синхронизация затылочного альфа-ритма в состоянии с закрытыми глазами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. </w:t>
      </w:r>
      <w:r w:rsidRPr="00A11C0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Усредненные спектры для группы здоровых взрослых субъектов в состоянии спокойного бодрствования с закрытыми глазами по сравнению с состоянием с открытыми глазами. Внизу: топограмма разностного спектра для этих двух состояний.</w:t>
      </w:r>
    </w:p>
    <w:p w:rsidR="00195E76" w:rsidRPr="00195E76" w:rsidRDefault="00195E76" w:rsidP="00195E76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1B284D6E" wp14:editId="742F33BF">
            <wp:extent cx="5313680" cy="6978650"/>
            <wp:effectExtent l="0" t="0" r="1270" b="0"/>
            <wp:docPr id="59" name="Рисунок 59" descr="https://cmi.to/wp-content/uploads/2019/09/kolichestvennaya_eeg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mi.to/wp-content/uploads/2019/09/kolichestvennaya_eeg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76" w:rsidRPr="00195E76" w:rsidRDefault="00195E76" w:rsidP="00195E76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195E7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Зависимость затылочного альфа-ритма и мю-ритмов от возраста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. </w:t>
      </w:r>
      <w:r w:rsidRPr="00195E7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Обратите внимание, что усредненная мощность ЭЭГ в альфа-диапазоне заметно уменьшается с возрастом, в то время как частота максимума мощности усредненных спектров (частота ритмов) изменяется незначительно.</w:t>
      </w:r>
    </w:p>
    <w:p w:rsidR="00F10FB2" w:rsidRDefault="00F80F6C" w:rsidP="00F80F6C">
      <w:pPr>
        <w:rPr>
          <w:lang w:eastAsia="ru-RU"/>
        </w:rPr>
      </w:pPr>
      <w:r>
        <w:rPr>
          <w:lang w:eastAsia="ru-RU"/>
        </w:rPr>
        <w:t>Согласно литературе, частота затылочных ритмов и</w:t>
      </w:r>
      <w:r w:rsidR="00EE584A">
        <w:rPr>
          <w:lang w:eastAsia="ru-RU"/>
        </w:rPr>
        <w:t xml:space="preserve">зменяется с возрастом. На рис </w:t>
      </w:r>
      <w:r>
        <w:rPr>
          <w:lang w:eastAsia="ru-RU"/>
        </w:rPr>
        <w:t xml:space="preserve"> изображены спектры ЭЭГ, усредненные по группам здоровых людей в возрасте от 7 до 89 лет. Наблюдается небольшое увеличение средней частоты с 7 до 20 лет и небольшое уменьшение в последующие годы. Однако разница спектров ЭЭГ, представленная шириной пика, является большей, чем изменения с возрастом. Частота доминирующего альфа-ритма у здоровых пожилых людей приблизительно 10 Гц, так что частота затылочного альфа-ритма меньше чем 7,5 Гц обычно расценивается как умеренное отклонение.</w:t>
      </w:r>
    </w:p>
    <w:p w:rsidR="00421354" w:rsidRPr="00421354" w:rsidRDefault="00421354" w:rsidP="00421354">
      <w:pPr>
        <w:pStyle w:val="2"/>
      </w:pPr>
      <w:r w:rsidRPr="00421354">
        <w:rPr>
          <w:rStyle w:val="font4"/>
        </w:rPr>
        <w:lastRenderedPageBreak/>
        <w:t>Теменной альфа-ритм</w:t>
      </w:r>
    </w:p>
    <w:p w:rsidR="007233A0" w:rsidRDefault="00421354" w:rsidP="00421354">
      <w:r>
        <w:t xml:space="preserve">В некоторых редких случаях высокоамплитудные ритмы в диапазоне альфа-частот могут быть обнаружены в теменных областях с максимумом в </w:t>
      </w:r>
      <w:r w:rsidRPr="007233A0">
        <w:rPr>
          <w:b/>
        </w:rPr>
        <w:t>Pz</w:t>
      </w:r>
      <w:r>
        <w:t>. Это рассматривается как нормальный вариант альфа-ритма. Этот ритм может увеличиваться в состоянии с закрытыми глазами, так же как затылочный альфа-ритм, хотя у некоторых людей мы наблюдали уменьшение теменного альфа-ритма в ответ на закрывание глаз. Теменной ритм может присутствовать в ЭЭГ вместе с затылочным ритмом и, по-видимому, независим от затылочного ритма. Частота теменного ритма обычно меньше частоты затылочного ритма, измеренная у того же человека. Суммарная мощность теменных ритмов возрастает с повышением трудности задачи и увеличивается в состоянии решения задачи по сравнению с состоянием спокойного бодрствования с открытыми глазами. Функциональное значение теменного ритма полностью не понято. Функциональный анализ сталкивается с двумя трудностями:</w:t>
      </w:r>
    </w:p>
    <w:p w:rsidR="007233A0" w:rsidRDefault="00421354" w:rsidP="00421354">
      <w:r>
        <w:t xml:space="preserve">1) теменной альфа-ритм присутствует у немногих людей; </w:t>
      </w:r>
    </w:p>
    <w:p w:rsidR="00421354" w:rsidRDefault="00421354" w:rsidP="00421354">
      <w:r>
        <w:t>2) он маскируется соседним затылочным альфа-ритмом.</w:t>
      </w:r>
    </w:p>
    <w:p w:rsidR="00B02C13" w:rsidRPr="00B02C13" w:rsidRDefault="00B02C13" w:rsidP="00B02C13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51E12ED5" wp14:editId="46CE7260">
            <wp:extent cx="5760000" cy="4144477"/>
            <wp:effectExtent l="0" t="0" r="0" b="8890"/>
            <wp:docPr id="60" name="Рисунок 60" descr="https://cmi.to/wp-content/uploads/2019/09/kolichestvennaya_eeg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mi.to/wp-content/uploads/2019/09/kolichestvennaya_eeg2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14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13" w:rsidRPr="00EC2869" w:rsidRDefault="00B02C13" w:rsidP="00EC2869">
      <w:r w:rsidRPr="00EC2869">
        <w:t>Анализ независимых компонент амплитудных спектров</w:t>
      </w:r>
      <w:r w:rsidR="00EC2869" w:rsidRPr="00EC2869">
        <w:t xml:space="preserve">. </w:t>
      </w:r>
      <w:r w:rsidRPr="00EC2869">
        <w:t>Анализ независимых компонент был применен к амплитудным спектрам ЭЭГ, вычисленным для более 300 здоровых субъектов, выполняющих зрительную двухстимульную GO/NOGO-задачу. Представлены шесть независимых компонент, соответствующих различным ритмам. Для каждой компоненты слева направо приведена топография компонент, представление соответствующей компоненты для отдельного субъекта, ниже — спектральные характеристики компонент.</w:t>
      </w:r>
    </w:p>
    <w:p w:rsidR="00EC2869" w:rsidRPr="00EC2869" w:rsidRDefault="00EC2869" w:rsidP="00EC2869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7906B446" wp14:editId="113ED4BF">
            <wp:extent cx="6150610" cy="7806690"/>
            <wp:effectExtent l="0" t="0" r="2540" b="3810"/>
            <wp:docPr id="61" name="Рисунок 61" descr="https://cmi.to/wp-content/uploads/2019/09/kolichestvennaya_eeg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mi.to/wp-content/uploads/2019/09/kolichestvennaya_eeg3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54" w:rsidRDefault="00EC2869" w:rsidP="00421354">
      <w:r w:rsidRPr="00EC2869">
        <w:rPr>
          <w:rFonts w:eastAsia="Times New Roman"/>
          <w:bdr w:val="none" w:sz="0" w:space="0" w:color="auto" w:frame="1"/>
          <w:lang w:eastAsia="ru-RU"/>
        </w:rPr>
        <w:t>Голограммы и LORETA-изображения трех типов альфа-ритмов</w:t>
      </w:r>
      <w:r>
        <w:rPr>
          <w:rFonts w:eastAsia="Times New Roman"/>
          <w:bdr w:val="none" w:sz="0" w:space="0" w:color="auto" w:frame="1"/>
          <w:lang w:eastAsia="ru-RU"/>
        </w:rPr>
        <w:t xml:space="preserve">. </w:t>
      </w:r>
      <w:r w:rsidRPr="00EC2869">
        <w:rPr>
          <w:rFonts w:eastAsia="Times New Roman"/>
          <w:bdr w:val="none" w:sz="0" w:space="0" w:color="auto" w:frame="1"/>
          <w:lang w:eastAsia="ru-RU"/>
        </w:rPr>
        <w:t>Примеры топограмм и соответствующих электромагнитных томографических изображений трех здоровых взрослых субъектов. Все субъекты находились в состоянии спокойного бодрствования с открытыми глазами. А. Индивидуум с затылочным альфа-ритмом. Б. Индивидуум с мю-ритмами. В. Индивидуум с теменным альфа-ритмом. Изображения LORETA отображают распределение генераторов ритмов в затылочно-теменной области, постцентральной сенсомоторной полосе и среднетеменной области соответственно.</w:t>
      </w:r>
      <w:r>
        <w:rPr>
          <w:rFonts w:eastAsia="Times New Roman"/>
          <w:bdr w:val="none" w:sz="0" w:space="0" w:color="auto" w:frame="1"/>
          <w:lang w:eastAsia="ru-RU"/>
        </w:rPr>
        <w:t xml:space="preserve"> </w:t>
      </w:r>
    </w:p>
    <w:p w:rsidR="00EC2869" w:rsidRPr="00EC2869" w:rsidRDefault="00EC2869" w:rsidP="00EC2869">
      <w:pPr>
        <w:pStyle w:val="2"/>
      </w:pPr>
      <w:r w:rsidRPr="00EC2869">
        <w:rPr>
          <w:rStyle w:val="font6"/>
        </w:rPr>
        <w:lastRenderedPageBreak/>
        <w:t>Изменения в ответ на решение задач</w:t>
      </w:r>
    </w:p>
    <w:p w:rsidR="00EC2869" w:rsidRPr="00EC2869" w:rsidRDefault="00EC2869" w:rsidP="00EC2869">
      <w:pPr>
        <w:rPr>
          <w:rFonts w:eastAsia="Times New Roman"/>
          <w:bdr w:val="none" w:sz="0" w:space="0" w:color="auto" w:frame="1"/>
          <w:lang w:eastAsia="ru-RU"/>
        </w:rPr>
      </w:pPr>
      <w:r w:rsidRPr="00EC2869">
        <w:rPr>
          <w:rFonts w:eastAsia="Times New Roman"/>
          <w:bdr w:val="none" w:sz="0" w:space="0" w:color="auto" w:frame="1"/>
          <w:lang w:eastAsia="ru-RU"/>
        </w:rPr>
        <w:t>Соглас</w:t>
      </w:r>
      <w:r>
        <w:rPr>
          <w:rFonts w:eastAsia="Times New Roman"/>
          <w:bdr w:val="none" w:sz="0" w:space="0" w:color="auto" w:frame="1"/>
          <w:lang w:eastAsia="ru-RU"/>
        </w:rPr>
        <w:t>но теории генерации альфа-волн</w:t>
      </w:r>
      <w:r w:rsidRPr="00EC2869">
        <w:rPr>
          <w:rFonts w:eastAsia="Times New Roman"/>
          <w:bdr w:val="none" w:sz="0" w:space="0" w:color="auto" w:frame="1"/>
          <w:lang w:eastAsia="ru-RU"/>
        </w:rPr>
        <w:t>, любое увеличение сигнала на сенсорном входе должно подавить соответствующий альфа-ритм. Реакцию подавления называют реакцией десинхронизации, потому что высокоамплитудные альфа-волны можно рассматривать как результат синхронизации в нейронных сетях. Реакция десинхронизации альфа-ритмов в ответ на сенсорное возбуждение действительно наблюдалась во многих исследованиях. Эти исследования также внесли некоторую ясность относительно механизмов генерации альфа-ритмов и их функционального значения.</w:t>
      </w:r>
    </w:p>
    <w:p w:rsidR="00590B0C" w:rsidRPr="00590B0C" w:rsidRDefault="00590B0C" w:rsidP="00590B0C">
      <w:pPr>
        <w:pStyle w:val="2"/>
      </w:pPr>
      <w:r w:rsidRPr="00590B0C">
        <w:rPr>
          <w:rStyle w:val="font4"/>
        </w:rPr>
        <w:t>Вызванная десинхронизация мю-ритмов в ответ на двигательную активность</w:t>
      </w:r>
    </w:p>
    <w:p w:rsidR="00103AA9" w:rsidRDefault="00130E81" w:rsidP="00103AA9">
      <w:pPr>
        <w:rPr>
          <w:lang w:eastAsia="ru-RU"/>
        </w:rPr>
      </w:pPr>
      <w:r>
        <w:rPr>
          <w:lang w:eastAsia="ru-RU"/>
        </w:rPr>
        <w:t>Существуют два варианта</w:t>
      </w:r>
      <w:r w:rsidR="00103AA9">
        <w:rPr>
          <w:lang w:eastAsia="ru-RU"/>
        </w:rPr>
        <w:t xml:space="preserve"> пространственного картирования ERD/ERS </w:t>
      </w:r>
      <w:r w:rsidR="00103AA9">
        <w:rPr>
          <w:lang w:eastAsia="ru-RU"/>
        </w:rPr>
        <w:t>(</w:t>
      </w:r>
      <w:r w:rsidR="00103AA9" w:rsidRPr="00103AA9">
        <w:rPr>
          <w:lang w:eastAsia="ru-RU"/>
        </w:rPr>
        <w:t>ERD — event related desynchronization</w:t>
      </w:r>
      <w:r w:rsidR="00103AA9">
        <w:rPr>
          <w:lang w:eastAsia="ru-RU"/>
        </w:rPr>
        <w:t xml:space="preserve"> - </w:t>
      </w:r>
      <w:r w:rsidR="00103AA9" w:rsidRPr="00103AA9">
        <w:rPr>
          <w:lang w:eastAsia="ru-RU"/>
        </w:rPr>
        <w:t>вызванн</w:t>
      </w:r>
      <w:r w:rsidR="00103AA9">
        <w:rPr>
          <w:lang w:eastAsia="ru-RU"/>
        </w:rPr>
        <w:t>ая</w:t>
      </w:r>
      <w:r w:rsidR="00103AA9" w:rsidRPr="00103AA9">
        <w:rPr>
          <w:lang w:eastAsia="ru-RU"/>
        </w:rPr>
        <w:t xml:space="preserve"> десинхронизаци</w:t>
      </w:r>
      <w:r w:rsidR="00103AA9">
        <w:rPr>
          <w:lang w:eastAsia="ru-RU"/>
        </w:rPr>
        <w:t xml:space="preserve">я, </w:t>
      </w:r>
      <w:r w:rsidR="00103AA9" w:rsidRPr="00103AA9">
        <w:rPr>
          <w:lang w:eastAsia="ru-RU"/>
        </w:rPr>
        <w:t>ERS</w:t>
      </w:r>
      <w:r w:rsidR="00103AA9">
        <w:rPr>
          <w:lang w:eastAsia="ru-RU"/>
        </w:rPr>
        <w:t xml:space="preserve"> - </w:t>
      </w:r>
      <w:r w:rsidR="00103AA9" w:rsidRPr="00103AA9">
        <w:rPr>
          <w:lang w:eastAsia="ru-RU"/>
        </w:rPr>
        <w:t>вызванн</w:t>
      </w:r>
      <w:r w:rsidR="00103AA9">
        <w:rPr>
          <w:lang w:eastAsia="ru-RU"/>
        </w:rPr>
        <w:t>ая</w:t>
      </w:r>
      <w:r w:rsidR="00103AA9" w:rsidRPr="00103AA9">
        <w:rPr>
          <w:lang w:eastAsia="ru-RU"/>
        </w:rPr>
        <w:t xml:space="preserve"> синхронизаци</w:t>
      </w:r>
      <w:r w:rsidR="00103AA9">
        <w:rPr>
          <w:lang w:eastAsia="ru-RU"/>
        </w:rPr>
        <w:t xml:space="preserve">я) </w:t>
      </w:r>
      <w:r>
        <w:rPr>
          <w:lang w:eastAsia="ru-RU"/>
        </w:rPr>
        <w:t>На рис в</w:t>
      </w:r>
      <w:r w:rsidR="00103AA9">
        <w:rPr>
          <w:lang w:eastAsia="ru-RU"/>
        </w:rPr>
        <w:t xml:space="preserve"> спектрах ЭЭГ человека наблюдается отчетливый мю-ритм как в состоянии с открытыми глазами, так и в состоянии с закрытыми глазами. </w:t>
      </w:r>
      <w:r>
        <w:rPr>
          <w:lang w:eastAsia="ru-RU"/>
        </w:rPr>
        <w:t>Данный</w:t>
      </w:r>
      <w:r w:rsidR="00103AA9">
        <w:rPr>
          <w:lang w:eastAsia="ru-RU"/>
        </w:rPr>
        <w:t xml:space="preserve"> испытуемый также выполнял двухстимульную GO/NOGO и слуховую oddball-задачи. Для оценки вызванной Десинхронизации в ответ на стимулы, предполагавшие двигательный ответ (нажатие на кнопку), анализ был проведен в соответствии с разработанным G. Pfurtschelle</w:t>
      </w:r>
      <w:r>
        <w:rPr>
          <w:lang w:eastAsia="ru-RU"/>
        </w:rPr>
        <w:t xml:space="preserve">r методом. В верхней части рис </w:t>
      </w:r>
      <w:r w:rsidR="00103AA9">
        <w:rPr>
          <w:lang w:eastAsia="ru-RU"/>
        </w:rPr>
        <w:t>представлены вызванная десинхронизация/синхронизация между первым предупреждающим стимулом и вторым, который может быть или GO-стимулом (запускающим двигательную реакцию), или NOGO-стимулом (не требующим двигательного ответа). Можно заметить, что подготовительный период сопровождается десинхронизацией мю-ритма в контралатеральном полушарии и синхронизацией в ипсилатеральном полушарии. Внизу на рис. представлены вызванная десинхронизация/синхронизация в ответ на слуховые стимулы: редкий стимул-мишень, предъявление которого требовало нажатия правым пальцем на кнопку, и стимул «не мишень», в ответ на который нажимать на кнопку не требовалось. Можно видеть, что предъявление только стимула-мишени вызывает сильную десинхронизацию мю-ритма.</w:t>
      </w:r>
    </w:p>
    <w:p w:rsidR="00CC45EB" w:rsidRPr="00CC45EB" w:rsidRDefault="00CC45EB" w:rsidP="00CC45EB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32746BD8" wp14:editId="375A09BF">
            <wp:extent cx="6513195" cy="4399280"/>
            <wp:effectExtent l="0" t="0" r="1905" b="1270"/>
            <wp:docPr id="62" name="Рисунок 62" descr="https://cmi.to/wp-content/uploads/2019/09/kolichestvennaya_eeg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mi.to/wp-content/uploads/2019/09/kolichestvennaya_eeg3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EB" w:rsidRPr="00CC45EB" w:rsidRDefault="00CC45EB" w:rsidP="00CC45EB">
      <w:pPr>
        <w:rPr>
          <w:lang w:eastAsia="ru-RU"/>
        </w:rPr>
      </w:pPr>
      <w:r w:rsidRPr="00CC45EB">
        <w:rPr>
          <w:lang w:eastAsia="ru-RU"/>
        </w:rPr>
        <w:t>Вызванная десинхронизация во время подготовки к движению и во время самого движения</w:t>
      </w:r>
      <w:r>
        <w:rPr>
          <w:lang w:eastAsia="ru-RU"/>
        </w:rPr>
        <w:t xml:space="preserve">. </w:t>
      </w:r>
      <w:r>
        <w:rPr>
          <w:lang w:eastAsia="ru-RU"/>
        </w:rPr>
        <w:br/>
      </w:r>
      <w:r w:rsidRPr="00CC45EB">
        <w:rPr>
          <w:lang w:eastAsia="ru-RU"/>
        </w:rPr>
        <w:t>А. Вызванная десинхронизация, вычисленная для здорового взрослого субъекта, выполняющего двухстимульную GO/NOGO-задачу. Предъявляются пары изображений животных и растений в различных комбинациях, задача — нажать кнопку в ответ на два предъявленные подряд изображения животных. Обратите внимание на десинхронизацию мю-ритма с левой стороны, сопровождаемую вызванной синхронизацией в правой стороне во время подготовки</w:t>
      </w:r>
      <w:r>
        <w:rPr>
          <w:lang w:eastAsia="ru-RU"/>
        </w:rPr>
        <w:t xml:space="preserve"> к движению.</w:t>
      </w:r>
      <w:r>
        <w:rPr>
          <w:lang w:eastAsia="ru-RU"/>
        </w:rPr>
        <w:br/>
      </w:r>
      <w:r w:rsidRPr="00CC45EB">
        <w:rPr>
          <w:lang w:eastAsia="ru-RU"/>
        </w:rPr>
        <w:t>Б. Вызванная десинхронизация, вычисленная для того же самого субъекта, выполняющего слуховую oddball-задачу. Значительная вызванная десинхронизация наблюдается при движениях в ответ на целевой стимул. Обратите внимание, что десинхронизация в одной области сопровождается противоположной реакцией — синхронизацией — в смежной области.</w:t>
      </w:r>
    </w:p>
    <w:p w:rsidR="00103AA9" w:rsidRDefault="00CC45EB" w:rsidP="00103AA9">
      <w:pPr>
        <w:rPr>
          <w:lang w:eastAsia="ru-RU"/>
        </w:rPr>
      </w:pPr>
      <w:r>
        <w:rPr>
          <w:lang w:eastAsia="ru-RU"/>
        </w:rPr>
        <w:t>Было</w:t>
      </w:r>
      <w:r w:rsidR="00103AA9">
        <w:rPr>
          <w:lang w:eastAsia="ru-RU"/>
        </w:rPr>
        <w:t xml:space="preserve"> показа</w:t>
      </w:r>
      <w:r>
        <w:rPr>
          <w:lang w:eastAsia="ru-RU"/>
        </w:rPr>
        <w:t>но</w:t>
      </w:r>
      <w:r w:rsidR="00103AA9">
        <w:rPr>
          <w:lang w:eastAsia="ru-RU"/>
        </w:rPr>
        <w:t xml:space="preserve">, что мю-ритмы могут быть дифференцированы на основе их пространственной локализации. Например, области лица и ноги в сенсомоторной коре производят различные мю-ритмы. </w:t>
      </w:r>
      <w:r>
        <w:rPr>
          <w:lang w:eastAsia="ru-RU"/>
        </w:rPr>
        <w:t>М</w:t>
      </w:r>
      <w:r w:rsidR="00103AA9">
        <w:rPr>
          <w:lang w:eastAsia="ru-RU"/>
        </w:rPr>
        <w:t xml:space="preserve">ю-ритмы могут разделяться по частотам. </w:t>
      </w:r>
      <w:r w:rsidR="00103AA9" w:rsidRPr="00CC45EB">
        <w:rPr>
          <w:b/>
          <w:lang w:eastAsia="ru-RU"/>
        </w:rPr>
        <w:t>Более низкочастотный (8—10 Гц</w:t>
      </w:r>
      <w:r w:rsidR="00103AA9">
        <w:rPr>
          <w:lang w:eastAsia="ru-RU"/>
        </w:rPr>
        <w:t xml:space="preserve">) мю-ритм показывает широко распространенный неспецифический к типу движений паттерн вызванной десинхронизации, сходный для движений пальцев или ступней, тогда как </w:t>
      </w:r>
      <w:r w:rsidR="00103AA9" w:rsidRPr="00CC45EB">
        <w:rPr>
          <w:b/>
          <w:lang w:eastAsia="ru-RU"/>
        </w:rPr>
        <w:t>более высокочастотный (10—13 Гц</w:t>
      </w:r>
      <w:r w:rsidR="00103AA9">
        <w:rPr>
          <w:lang w:eastAsia="ru-RU"/>
        </w:rPr>
        <w:t>) мю-ритм демонстрирует более сфокусированный, специфический для типов движения паттерн вызванной десинхронизации, отличающийся для движений ступней и пальцев. Оба эти ритма блокируются перед и во время движений, и поэтому их можно рассматривать как мю-ритмы, хотя их реактивные компоненты различны.</w:t>
      </w:r>
    </w:p>
    <w:p w:rsidR="00103AA9" w:rsidRDefault="005B4863" w:rsidP="00103AA9">
      <w:pPr>
        <w:rPr>
          <w:lang w:eastAsia="ru-RU"/>
        </w:rPr>
      </w:pPr>
      <w:r>
        <w:rPr>
          <w:lang w:eastAsia="ru-RU"/>
        </w:rPr>
        <w:t>Согласно данным</w:t>
      </w:r>
      <w:r w:rsidR="00103AA9">
        <w:rPr>
          <w:lang w:eastAsia="ru-RU"/>
        </w:rPr>
        <w:t>, десинхронизация высокочастотного мю-ритма соматотопически специфична и топографически ограничена. Десинхронизация этого ритма начинается в области контралатеральной руки за две секунды перед началом сознательного движения ипсилатеральной руки. Десинхронизация часто сопровождается синхронизацией в центрально-</w:t>
      </w:r>
      <w:r w:rsidR="00103AA9">
        <w:rPr>
          <w:lang w:eastAsia="ru-RU"/>
        </w:rPr>
        <w:lastRenderedPageBreak/>
        <w:t xml:space="preserve">теменных областях, </w:t>
      </w:r>
      <w:r>
        <w:rPr>
          <w:lang w:eastAsia="ru-RU"/>
        </w:rPr>
        <w:t>она</w:t>
      </w:r>
      <w:r w:rsidR="00103AA9">
        <w:rPr>
          <w:lang w:eastAsia="ru-RU"/>
        </w:rPr>
        <w:t xml:space="preserve"> была названа «</w:t>
      </w:r>
      <w:r w:rsidR="00103AA9" w:rsidRPr="005B4863">
        <w:rPr>
          <w:b/>
          <w:lang w:eastAsia="ru-RU"/>
        </w:rPr>
        <w:t>очаговой</w:t>
      </w:r>
      <w:r w:rsidR="00103AA9">
        <w:rPr>
          <w:lang w:eastAsia="ru-RU"/>
        </w:rPr>
        <w:t xml:space="preserve"> (локальной) десинхронизацией, окруженной зоной синхронизации». В целом этот термин описывает наблюдение, что десинхронизация ритмичной альфа-активности происходит не в изоляции, а может сопровождаться синхронизацией в соседних корковых областях. Области латеральной синхронизации могут соответствовать той же самой сенсорной модальности или другой модальности.</w:t>
      </w:r>
    </w:p>
    <w:p w:rsidR="00394B1C" w:rsidRDefault="005B4863" w:rsidP="00103AA9">
      <w:pPr>
        <w:rPr>
          <w:lang w:eastAsia="ru-RU"/>
        </w:rPr>
      </w:pPr>
      <w:r>
        <w:rPr>
          <w:lang w:eastAsia="ru-RU"/>
        </w:rPr>
        <w:t>Был предложен</w:t>
      </w:r>
      <w:r w:rsidR="00103AA9">
        <w:rPr>
          <w:lang w:eastAsia="ru-RU"/>
        </w:rPr>
        <w:t xml:space="preserve"> таламический селективный, воротный механизм.</w:t>
      </w:r>
      <w:r>
        <w:rPr>
          <w:lang w:eastAsia="ru-RU"/>
        </w:rPr>
        <w:t xml:space="preserve"> Т</w:t>
      </w:r>
      <w:r w:rsidR="00103AA9">
        <w:rPr>
          <w:lang w:eastAsia="ru-RU"/>
        </w:rPr>
        <w:t>а же самая таламическая модель, использовалась для объяснения возникновения сонных веретен, может быть применена для объяснения генерации мю-ритма. Определяющую роль в его схеме играют взаимодействия между таламокорковыми клетками и тормозными нейронами таламического ретикулярного ядра. Последнее формирует топографически организованный тормозной механизм обратной связи, который способен управлять информационным потоком через таламус. Эту функцию управления таламических ретикулярных тормозных нейронов называют «селекцией, о</w:t>
      </w:r>
      <w:r>
        <w:rPr>
          <w:lang w:eastAsia="ru-RU"/>
        </w:rPr>
        <w:t>тбором</w:t>
      </w:r>
      <w:r w:rsidR="00103AA9">
        <w:rPr>
          <w:lang w:eastAsia="ru-RU"/>
        </w:rPr>
        <w:t xml:space="preserve">, или воротным механизмом». Когда </w:t>
      </w:r>
      <w:r>
        <w:rPr>
          <w:lang w:eastAsia="ru-RU"/>
        </w:rPr>
        <w:t xml:space="preserve">ионные </w:t>
      </w:r>
      <w:r w:rsidR="00103AA9">
        <w:rPr>
          <w:lang w:eastAsia="ru-RU"/>
        </w:rPr>
        <w:t xml:space="preserve">ворота закрыты, таламические нейроны разряжаются в виде пачек спайков, которые проявляются в корковом мю-ритме. Когда </w:t>
      </w:r>
      <w:r>
        <w:rPr>
          <w:lang w:eastAsia="ru-RU"/>
        </w:rPr>
        <w:t xml:space="preserve">ионные </w:t>
      </w:r>
      <w:r w:rsidR="00103AA9">
        <w:rPr>
          <w:lang w:eastAsia="ru-RU"/>
        </w:rPr>
        <w:t xml:space="preserve">ворота открыты, таламические нейроны разряжаются в тоновом режиме, который проявляется в десинхронизации мю-ритма. Согласно предложенному механизму, латеральное торможение, которое существует между ретикулярными нейронами, отвечает за явление «локальной десинхронизации, окруженной зоной синхронизации». Исходя из всего вышесказанного, можно заключить, что роландические </w:t>
      </w:r>
      <w:r w:rsidR="00103AA9" w:rsidRPr="005B4863">
        <w:rPr>
          <w:b/>
          <w:lang w:eastAsia="ru-RU"/>
        </w:rPr>
        <w:t>мю-ритмы подавляются в ответ на реальные или воображаемые движения</w:t>
      </w:r>
      <w:r w:rsidR="00103AA9">
        <w:rPr>
          <w:lang w:eastAsia="ru-RU"/>
        </w:rPr>
        <w:t>.</w:t>
      </w:r>
    </w:p>
    <w:p w:rsidR="00903E1C" w:rsidRPr="00903E1C" w:rsidRDefault="00903E1C" w:rsidP="00903E1C">
      <w:pPr>
        <w:pStyle w:val="2"/>
      </w:pPr>
      <w:r w:rsidRPr="00903E1C">
        <w:rPr>
          <w:rStyle w:val="font4"/>
        </w:rPr>
        <w:t>Вызванная десинхронизация затылочных ритмов в ответ на зрительные стимулы</w:t>
      </w:r>
    </w:p>
    <w:p w:rsidR="00EE584A" w:rsidRDefault="004232FE" w:rsidP="00F80F6C">
      <w:pPr>
        <w:rPr>
          <w:lang w:eastAsia="ru-RU"/>
        </w:rPr>
      </w:pPr>
      <w:r w:rsidRPr="004232FE">
        <w:rPr>
          <w:lang w:eastAsia="ru-RU"/>
        </w:rPr>
        <w:t>Похожие результаты показаны и для затылочных альфа-ритмов: они подавляются в ответ на зрительные стимулы. Кроме того, реакции в альфа-диапазоне отражают умственное напряжение, связанное с обработкой этих стимулов. Этот</w:t>
      </w:r>
      <w:r>
        <w:rPr>
          <w:lang w:eastAsia="ru-RU"/>
        </w:rPr>
        <w:t xml:space="preserve"> факт проиллюстрирован на рис</w:t>
      </w:r>
      <w:r w:rsidRPr="004232FE">
        <w:rPr>
          <w:lang w:eastAsia="ru-RU"/>
        </w:rPr>
        <w:t>, где представлены данные, взятые из HBI базы данных. Вызванная десинхронизация/синхронизация для альфа-диапазона частот (</w:t>
      </w:r>
      <w:r w:rsidRPr="004232FE">
        <w:rPr>
          <w:b/>
          <w:lang w:eastAsia="ru-RU"/>
        </w:rPr>
        <w:t>8—12 Гц</w:t>
      </w:r>
      <w:r w:rsidRPr="004232FE">
        <w:rPr>
          <w:lang w:eastAsia="ru-RU"/>
        </w:rPr>
        <w:t>) вычислялась для группы здоровых людей в возрасте 12—13 лет. Они выполнили двухстимульное зрительное задание. Вызванная десинхронизация в затылочных областях в ответ на релевантные и нерелевантные стимулы представлена слева. Предъявление в паре стимулов первым релевантного стимула указывало на то, что испытуемые должны были ждать второго стимула (после которого требовался ответ GO или NOGO), в то время как предъявление нерелевантного стимула указывало, что вся проба должна игнорироваться. Как можно видеть, на первом этапе обработки информации (</w:t>
      </w:r>
      <w:r w:rsidRPr="004232FE">
        <w:rPr>
          <w:b/>
          <w:lang w:eastAsia="ru-RU"/>
        </w:rPr>
        <w:t>до 240</w:t>
      </w:r>
      <w:r w:rsidRPr="004232FE">
        <w:rPr>
          <w:lang w:eastAsia="ru-RU"/>
        </w:rPr>
        <w:t xml:space="preserve"> мс после стимула) оба типа стимулов выявляли одну и ту же десинхронизацию затылочной α-активности. Однако более поздние этапы обработки информации связаны с большей десинхронизацией затылочной альфа-активности для релевантного стимула по сравнению с нерелевантным.</w:t>
      </w:r>
    </w:p>
    <w:p w:rsidR="00CA13C3" w:rsidRPr="00CA13C3" w:rsidRDefault="00CA13C3" w:rsidP="00CA13C3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1434BAC8" wp14:editId="45EE4EB1">
            <wp:extent cx="5760000" cy="3021404"/>
            <wp:effectExtent l="0" t="0" r="0" b="7620"/>
            <wp:docPr id="63" name="Рисунок 63" descr="https://cmi.to/wp-content/uploads/2019/09/kolichestvennaya_eeg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mi.to/wp-content/uploads/2019/09/kolichestvennaya_eeg3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2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C3" w:rsidRPr="00CA13C3" w:rsidRDefault="00CA13C3" w:rsidP="00CA13C3">
      <w:pPr>
        <w:rPr>
          <w:lang w:eastAsia="ru-RU"/>
        </w:rPr>
      </w:pPr>
      <w:r w:rsidRPr="00CA13C3">
        <w:rPr>
          <w:lang w:eastAsia="ru-RU"/>
        </w:rPr>
        <w:t>Вызванная десинхронизация затылочных альфа-ритмов в ответ на зрительное возбуждение</w:t>
      </w:r>
      <w:r>
        <w:rPr>
          <w:lang w:eastAsia="ru-RU"/>
        </w:rPr>
        <w:t xml:space="preserve">. </w:t>
      </w:r>
      <w:r w:rsidRPr="00CA13C3">
        <w:rPr>
          <w:lang w:eastAsia="ru-RU"/>
        </w:rPr>
        <w:t xml:space="preserve">Представлена усредненная вызванная десинхронизация, рассчитанная в диапазоне частот 8-12 Гц для релевантных и нерелевантных стимулов в двухстимульном GO/NOGO-тесте. Для примера была выбрана группа здоровых субъектов 12-13 лет. </w:t>
      </w:r>
      <w:r>
        <w:rPr>
          <w:lang w:eastAsia="ru-RU"/>
        </w:rPr>
        <w:t>Р</w:t>
      </w:r>
      <w:r w:rsidRPr="00CA13C3">
        <w:rPr>
          <w:lang w:eastAsia="ru-RU"/>
        </w:rPr>
        <w:t xml:space="preserve">елевантный стимул вызывает </w:t>
      </w:r>
      <w:r>
        <w:rPr>
          <w:lang w:eastAsia="ru-RU"/>
        </w:rPr>
        <w:t>больший</w:t>
      </w:r>
      <w:r w:rsidRPr="00CA13C3">
        <w:rPr>
          <w:lang w:eastAsia="ru-RU"/>
        </w:rPr>
        <w:t xml:space="preserve"> </w:t>
      </w:r>
      <w:r>
        <w:rPr>
          <w:lang w:eastAsia="ru-RU"/>
        </w:rPr>
        <w:t>по длительлности</w:t>
      </w:r>
      <w:r w:rsidRPr="00CA13C3">
        <w:rPr>
          <w:lang w:eastAsia="ru-RU"/>
        </w:rPr>
        <w:t xml:space="preserve"> ответ, но с такой же амплитудой на начальных </w:t>
      </w:r>
      <w:r>
        <w:rPr>
          <w:lang w:eastAsia="ru-RU"/>
        </w:rPr>
        <w:t>ста</w:t>
      </w:r>
      <w:r w:rsidRPr="00CA13C3">
        <w:rPr>
          <w:lang w:eastAsia="ru-RU"/>
        </w:rPr>
        <w:t>диях обработки, что и нерелевантный стимул. Обозначения: т1, т2—топограммы вызванной десинхронизации.</w:t>
      </w:r>
    </w:p>
    <w:p w:rsidR="004232FE" w:rsidRDefault="001E3B06" w:rsidP="001E3B06">
      <w:pPr>
        <w:pStyle w:val="1"/>
        <w:rPr>
          <w:lang w:eastAsia="ru-RU"/>
        </w:rPr>
      </w:pPr>
      <w:r w:rsidRPr="001E3B06">
        <w:rPr>
          <w:lang w:eastAsia="ru-RU"/>
        </w:rPr>
        <w:t>Спектральный анализ</w:t>
      </w:r>
      <w:r>
        <w:rPr>
          <w:lang w:eastAsia="ru-RU"/>
        </w:rPr>
        <w:t xml:space="preserve"> ЭЭГ</w:t>
      </w:r>
    </w:p>
    <w:p w:rsidR="001E3B06" w:rsidRPr="001E3B06" w:rsidRDefault="001E3B06" w:rsidP="001E3B06">
      <w:pPr>
        <w:rPr>
          <w:lang w:eastAsia="ru-RU"/>
        </w:rPr>
      </w:pPr>
      <w:r w:rsidRPr="001E3B06">
        <w:rPr>
          <w:lang w:eastAsia="ru-RU"/>
        </w:rPr>
        <w:t>Для анализа фоновой</w:t>
      </w:r>
      <w:r w:rsidR="00281917">
        <w:rPr>
          <w:lang w:eastAsia="ru-RU"/>
        </w:rPr>
        <w:t xml:space="preserve"> </w:t>
      </w:r>
      <w:r w:rsidRPr="001E3B06">
        <w:rPr>
          <w:lang w:eastAsia="ru-RU"/>
        </w:rPr>
        <w:t>биоэлектрической активности мозга</w:t>
      </w:r>
      <w:r w:rsidR="00281917">
        <w:rPr>
          <w:lang w:eastAsia="ru-RU"/>
        </w:rPr>
        <w:t xml:space="preserve"> </w:t>
      </w:r>
      <w:r w:rsidRPr="001E3B06">
        <w:rPr>
          <w:lang w:eastAsia="ru-RU"/>
        </w:rPr>
        <w:t>широко применяется спектральный метод анализа, описывающий распределение мощности по частотным составляющим изучаемого процесса. Можно указать следующие причины такого широкого применения метода:</w:t>
      </w:r>
    </w:p>
    <w:p w:rsidR="001E3B06" w:rsidRPr="001E3B06" w:rsidRDefault="001E3B06" w:rsidP="001E3B06">
      <w:pPr>
        <w:pStyle w:val="a3"/>
        <w:numPr>
          <w:ilvl w:val="0"/>
          <w:numId w:val="15"/>
        </w:numPr>
        <w:rPr>
          <w:lang w:eastAsia="ru-RU"/>
        </w:rPr>
      </w:pPr>
      <w:r w:rsidRPr="001E3B06">
        <w:rPr>
          <w:lang w:eastAsia="ru-RU"/>
        </w:rPr>
        <w:t>амплитудно-частотные характеристики ЭЭГ наиболее информативны для исследования текущего функционального состояния ЦНС;</w:t>
      </w:r>
    </w:p>
    <w:p w:rsidR="001E3B06" w:rsidRPr="001E3B06" w:rsidRDefault="001E3B06" w:rsidP="001E3B06">
      <w:pPr>
        <w:pStyle w:val="a3"/>
        <w:numPr>
          <w:ilvl w:val="0"/>
          <w:numId w:val="15"/>
        </w:numPr>
        <w:rPr>
          <w:lang w:eastAsia="ru-RU"/>
        </w:rPr>
      </w:pPr>
      <w:r w:rsidRPr="001E3B06">
        <w:rPr>
          <w:lang w:eastAsia="ru-RU"/>
        </w:rPr>
        <w:t>спектральные характеристики ЭЭГ поддаются математической и статистической обработке и потенциально могут дать эффективные методы анализа ЭЭГ, которые невозможно получить при традиционных методиках.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t xml:space="preserve">Частотный анализ предполагает изучение распределения какого-либо параметра ЭЭГ в зависимости от частоты. В первую очередь интерес представляет мощность для частотных составляющих ЭЭГ. Для измерения мощности в заданной частотной полосе во временной области необходимо отфильтровать достаточно большой участок ЭЭГ и вычислить средний квадрат значений амплитуды ЭЭГ. Таким образом, получаем </w:t>
      </w:r>
      <w:r w:rsidRPr="00414BCB">
        <w:rPr>
          <w:b/>
          <w:lang w:eastAsia="ru-RU"/>
        </w:rPr>
        <w:t>мощность</w:t>
      </w:r>
      <w:r w:rsidRPr="008D5B89">
        <w:rPr>
          <w:lang w:eastAsia="ru-RU"/>
        </w:rPr>
        <w:t xml:space="preserve"> ЭЭГ (</w:t>
      </w:r>
      <w:r w:rsidRPr="00414BCB">
        <w:rPr>
          <w:b/>
          <w:lang w:eastAsia="ru-RU"/>
        </w:rPr>
        <w:t>микровольты в квадрате</w:t>
      </w:r>
      <w:r w:rsidRPr="008D5B89">
        <w:rPr>
          <w:lang w:eastAsia="ru-RU"/>
        </w:rPr>
        <w:t xml:space="preserve">) на заданном диапазоне частот, средняя амплитуда вычисляется через квадратный корень от мощности. Совокупность значений вычисленных таким образом амплитуды и мощности для всего частотного диапазона образует амплитудный спектр и спектр мощности соответственно. Для непрерывного (аналогового) сигнала можно получить непрерывный спектр значений амплитуды, в этом случае вычисляется </w:t>
      </w:r>
      <w:r w:rsidRPr="00414BCB">
        <w:rPr>
          <w:b/>
          <w:lang w:eastAsia="ru-RU"/>
        </w:rPr>
        <w:t>спектральная плотность мощности</w:t>
      </w:r>
      <w:r w:rsidRPr="008D5B89">
        <w:rPr>
          <w:lang w:eastAsia="ru-RU"/>
        </w:rPr>
        <w:t xml:space="preserve"> с размерностью </w:t>
      </w:r>
      <w:r w:rsidRPr="00414BCB">
        <w:rPr>
          <w:b/>
          <w:lang w:eastAsia="ru-RU"/>
        </w:rPr>
        <w:t>микровольт в квадрате/Герц</w:t>
      </w:r>
      <w:r w:rsidRPr="008D5B89">
        <w:rPr>
          <w:lang w:eastAsia="ru-RU"/>
        </w:rPr>
        <w:t xml:space="preserve">, а мощность на заданном диапазоне вычисляется через интегрирование спектральной плотности мощности в заданных частотных границах. При количественном анализе под словами «амплитуда ЭЭГ» подразумевается амплитуда </w:t>
      </w:r>
      <w:r w:rsidRPr="00414BCB">
        <w:rPr>
          <w:b/>
          <w:lang w:eastAsia="ru-RU"/>
        </w:rPr>
        <w:t>не от пика до пика</w:t>
      </w:r>
      <w:r w:rsidRPr="008D5B89">
        <w:rPr>
          <w:lang w:eastAsia="ru-RU"/>
        </w:rPr>
        <w:t xml:space="preserve">, как при </w:t>
      </w:r>
      <w:r w:rsidRPr="008D5B89">
        <w:rPr>
          <w:lang w:eastAsia="ru-RU"/>
        </w:rPr>
        <w:lastRenderedPageBreak/>
        <w:t xml:space="preserve">традиционном визуальном анализе, </w:t>
      </w:r>
      <w:r w:rsidRPr="00414BCB">
        <w:rPr>
          <w:b/>
          <w:lang w:eastAsia="ru-RU"/>
        </w:rPr>
        <w:t>а от пика до изолинии</w:t>
      </w:r>
      <w:r w:rsidRPr="008D5B89">
        <w:rPr>
          <w:lang w:eastAsia="ru-RU"/>
        </w:rPr>
        <w:t xml:space="preserve">, т.е. нуле калибровочного сигнала. Спектральная амплитуда представляет собой усредненное значение на рассматриваемом временном интервале, в отличие от визуального анализа, где выборочно выбираются участки ЭЭГ с наиболее выраженным ритмом. По этим причинам </w:t>
      </w:r>
      <w:r w:rsidRPr="0072744B">
        <w:rPr>
          <w:b/>
          <w:lang w:eastAsia="ru-RU"/>
        </w:rPr>
        <w:t>спектральная амплитуда будет в 5-7 раз меньше, чем амплитуда в традиционном анализе</w:t>
      </w:r>
      <w:r w:rsidRPr="008D5B89">
        <w:rPr>
          <w:lang w:eastAsia="ru-RU"/>
        </w:rPr>
        <w:t>.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t xml:space="preserve">В настоящее время для частотного анализа применяют, как правило, спектральный анализ. Математической основой спектрального анализа является </w:t>
      </w:r>
      <w:r w:rsidRPr="00ED3A33">
        <w:rPr>
          <w:b/>
          <w:lang w:eastAsia="ru-RU"/>
        </w:rPr>
        <w:t>преобразование Фурье</w:t>
      </w:r>
      <w:r w:rsidRPr="008D5B89">
        <w:rPr>
          <w:lang w:eastAsia="ru-RU"/>
        </w:rPr>
        <w:t xml:space="preserve"> исходных ЭЭГ-данных, которые рассма</w:t>
      </w:r>
      <w:r w:rsidR="00ED3A33">
        <w:rPr>
          <w:lang w:eastAsia="ru-RU"/>
        </w:rPr>
        <w:t>триваются как случайный процесс</w:t>
      </w:r>
      <w:r w:rsidRPr="008D5B89">
        <w:rPr>
          <w:lang w:eastAsia="ru-RU"/>
        </w:rPr>
        <w:t xml:space="preserve">. На спектральную оценку могут влиять и допущения относительно исходных данных, и метод усреднения, и алгоритм вычисления и прочие обстоятельства, делающие спектральный анализ достаточно субъективным. На практике в большинстве случаев используется </w:t>
      </w:r>
      <w:r w:rsidRPr="00ED3A33">
        <w:rPr>
          <w:b/>
          <w:lang w:eastAsia="ru-RU"/>
        </w:rPr>
        <w:t>метод Кули и Тьюки</w:t>
      </w:r>
      <w:r w:rsidRPr="008D5B89">
        <w:rPr>
          <w:lang w:eastAsia="ru-RU"/>
        </w:rPr>
        <w:t xml:space="preserve"> – расчет спектра прямым дискретным преобразованием Фурье с использованием алгоритма быстрого преобразования Фурье. Реже используется вычисление спектров через преобразование Фурье корреляционной функции.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t>Так как ЭЭГ-сигнал представлен в системе дискретных равноотстоящих</w:t>
      </w:r>
      <w:r w:rsidR="00281917">
        <w:rPr>
          <w:lang w:eastAsia="ru-RU"/>
        </w:rPr>
        <w:t xml:space="preserve"> </w:t>
      </w:r>
      <w:r w:rsidRPr="00B80958">
        <w:rPr>
          <w:b/>
          <w:lang w:eastAsia="ru-RU"/>
        </w:rPr>
        <w:t>N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точек (отсчетах АЦП) на заданном участке ЭЭГ (сегменте) с эпохой анализа (</w:t>
      </w:r>
      <w:r w:rsidRPr="00B80958">
        <w:rPr>
          <w:b/>
          <w:lang w:eastAsia="ru-RU"/>
        </w:rPr>
        <w:t>длительностью сегмента</w:t>
      </w:r>
      <w:r w:rsidRPr="008D5B89">
        <w:rPr>
          <w:lang w:eastAsia="ru-RU"/>
        </w:rPr>
        <w:t>)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T,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при помощи дискретного преобразования Фурье (ДПФ) можно получить дискретный спектр, состоящий из</w:t>
      </w:r>
      <w:r w:rsidR="00281917">
        <w:rPr>
          <w:lang w:eastAsia="ru-RU"/>
        </w:rPr>
        <w:t xml:space="preserve"> </w:t>
      </w:r>
      <w:r w:rsidRPr="00B80958">
        <w:rPr>
          <w:b/>
          <w:lang w:eastAsia="ru-RU"/>
        </w:rPr>
        <w:t>N/2</w:t>
      </w:r>
      <w:r w:rsidRPr="008D5B89">
        <w:rPr>
          <w:lang w:eastAsia="ru-RU"/>
        </w:rPr>
        <w:t xml:space="preserve"> гармоник (синусоидальных сигналов разной частоты, амплитуды и фазы) с равноотстоящими частотами с шагом </w:t>
      </w:r>
      <w:r w:rsidRPr="00B80958">
        <w:rPr>
          <w:b/>
          <w:lang w:eastAsia="ru-RU"/>
        </w:rPr>
        <w:t>1/T</w:t>
      </w:r>
      <w:r w:rsidRPr="008D5B89">
        <w:rPr>
          <w:lang w:eastAsia="ru-RU"/>
        </w:rPr>
        <w:t>. Амплитудный спектр и спектр мощности представлен амплитудой и мощностью этих гармоник соответственно. Для получения мощности на частотной полосе, превышающей шаг в спектральной области</w:t>
      </w:r>
      <w:r w:rsidR="00281917" w:rsidRPr="00281917">
        <w:rPr>
          <w:lang w:eastAsia="ru-RU"/>
        </w:rPr>
        <w:t xml:space="preserve"> </w:t>
      </w:r>
      <w:r w:rsidRPr="008D5B89">
        <w:rPr>
          <w:lang w:eastAsia="ru-RU"/>
        </w:rPr>
        <w:t>(</w:t>
      </w:r>
      <w:r w:rsidR="00281917">
        <w:rPr>
          <w:b/>
          <w:lang w:eastAsia="ru-RU"/>
        </w:rPr>
        <w:t>1/T</w:t>
      </w:r>
      <w:r w:rsidR="00281917" w:rsidRPr="00281917">
        <w:rPr>
          <w:b/>
          <w:lang w:eastAsia="ru-RU"/>
        </w:rPr>
        <w:t xml:space="preserve"> </w:t>
      </w:r>
      <w:r w:rsidRPr="00B80958">
        <w:rPr>
          <w:b/>
          <w:lang w:eastAsia="ru-RU"/>
        </w:rPr>
        <w:t>в Гц</w:t>
      </w:r>
      <w:r w:rsidRPr="008D5B89">
        <w:rPr>
          <w:lang w:eastAsia="ru-RU"/>
        </w:rPr>
        <w:t>), нужно просуммировать мощности всех гармоник внутри этой полосы. Общая спектральная мощность должна быть равна мощности во временной области (т.е. средний квадрат исходного ЭЭГ-сигнала). Спектр, полученный на одной эпохе, иногда называют выборочным спектром. Выборочный спектр является статистически несостоятельным, так как среднеквадратичная ошибка сравнима по величине со средним значением самой оценки спектральной мощности.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t xml:space="preserve">Для получения статистически состоятельной оценки спектра используют следующие методики усреднения: </w:t>
      </w:r>
      <w:r w:rsidRPr="00281917">
        <w:rPr>
          <w:b/>
          <w:lang w:eastAsia="ru-RU"/>
        </w:rPr>
        <w:t>по соседним частотам – метод Даньелла (Daniell)</w:t>
      </w:r>
      <w:r w:rsidRPr="008D5B89">
        <w:rPr>
          <w:lang w:eastAsia="ru-RU"/>
        </w:rPr>
        <w:t xml:space="preserve">, </w:t>
      </w:r>
      <w:r w:rsidRPr="00281917">
        <w:rPr>
          <w:b/>
          <w:lang w:eastAsia="ru-RU"/>
        </w:rPr>
        <w:t>по непересекающимся эпохам – метод Бартлетта (Bartlett), по перекрывающимся эпохам – метод Уэлча (Welch)</w:t>
      </w:r>
      <w:r w:rsidRPr="008D5B89">
        <w:rPr>
          <w:lang w:eastAsia="ru-RU"/>
        </w:rPr>
        <w:t xml:space="preserve">. На практике длину эпохи анализа часто устанавливают равной </w:t>
      </w:r>
      <w:r w:rsidRPr="00281917">
        <w:rPr>
          <w:b/>
          <w:lang w:eastAsia="ru-RU"/>
        </w:rPr>
        <w:t>4-5 с</w:t>
      </w:r>
      <w:r w:rsidRPr="008D5B89">
        <w:rPr>
          <w:lang w:eastAsia="ru-RU"/>
        </w:rPr>
        <w:t xml:space="preserve">, общая длина анализируемых ЭЭГ-данных должна составлять не менее </w:t>
      </w:r>
      <w:r w:rsidRPr="00281917">
        <w:rPr>
          <w:b/>
          <w:lang w:eastAsia="ru-RU"/>
        </w:rPr>
        <w:t>20 с</w:t>
      </w:r>
      <w:r w:rsidRPr="008D5B89">
        <w:rPr>
          <w:lang w:eastAsia="ru-RU"/>
        </w:rPr>
        <w:t>.</w:t>
      </w:r>
    </w:p>
    <w:p w:rsidR="00295A3B" w:rsidRDefault="001E3B06" w:rsidP="008D5B89">
      <w:pPr>
        <w:rPr>
          <w:lang w:val="en-US" w:eastAsia="ru-RU"/>
        </w:rPr>
      </w:pPr>
      <w:r w:rsidRPr="008D5B89">
        <w:rPr>
          <w:lang w:eastAsia="ru-RU"/>
        </w:rPr>
        <w:t>Кроме спектров по одному отведению ЭЭГ, можно также получить взаимные спектры двух отведений (каналов). Взаимная спектральная плотность есть комплексная величина</w:t>
      </w:r>
    </w:p>
    <w:p w:rsidR="00295A3B" w:rsidRDefault="00281917" w:rsidP="008D5B89">
      <w:pPr>
        <w:rPr>
          <w:lang w:val="en-US" w:eastAsia="ru-RU"/>
        </w:rPr>
      </w:pPr>
      <w:r>
        <w:rPr>
          <w:lang w:eastAsia="ru-RU"/>
        </w:rPr>
        <w:t xml:space="preserve"> </w:t>
      </w:r>
      <w:r w:rsidR="001E3B06" w:rsidRPr="00295A3B">
        <w:rPr>
          <w:b/>
          <w:lang w:eastAsia="ru-RU"/>
        </w:rPr>
        <w:t>Sn=Cn-ixQn</w:t>
      </w:r>
      <w:r w:rsidR="001E3B06" w:rsidRPr="008D5B89">
        <w:rPr>
          <w:lang w:eastAsia="ru-RU"/>
        </w:rPr>
        <w:t>,</w:t>
      </w:r>
      <w:r>
        <w:rPr>
          <w:lang w:eastAsia="ru-RU"/>
        </w:rPr>
        <w:t xml:space="preserve"> 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t>где действительная часть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Cn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называется синфазной составляющей, а мнимая часть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Qn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– квадратурной составляющей взаимной спектральной плотности. Синфазная составляющая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Cn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– отношение среднего произведения двух процессов на n-й частоте к ширине n-й частоты. Квадратурная составляющая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Qn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– отношение среднего произведения процессов x(t) и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>y(t)</w:t>
      </w:r>
      <w:r w:rsidR="00281917">
        <w:rPr>
          <w:lang w:eastAsia="ru-RU"/>
        </w:rPr>
        <w:t xml:space="preserve"> </w:t>
      </w:r>
      <w:r w:rsidRPr="008D5B89">
        <w:rPr>
          <w:lang w:eastAsia="ru-RU"/>
        </w:rPr>
        <w:t xml:space="preserve">на n-й частоте к ширине n-й частоты, причем один из процессов сдвинут относительно другого на π/2. Взаимную спектральную плотность также можно определить как преобразование Фурье кросс-корреляционной функции. Взаимные спектры также называют </w:t>
      </w:r>
      <w:r w:rsidRPr="00295A3B">
        <w:rPr>
          <w:b/>
          <w:lang w:eastAsia="ru-RU"/>
        </w:rPr>
        <w:t>кросс-спектрами</w:t>
      </w:r>
      <w:r w:rsidRPr="008D5B89">
        <w:rPr>
          <w:lang w:eastAsia="ru-RU"/>
        </w:rPr>
        <w:t xml:space="preserve">, а спектр по одному отведению – </w:t>
      </w:r>
      <w:r w:rsidRPr="00295A3B">
        <w:rPr>
          <w:b/>
          <w:lang w:eastAsia="ru-RU"/>
        </w:rPr>
        <w:t>автоспектром</w:t>
      </w:r>
      <w:r w:rsidRPr="008D5B89">
        <w:rPr>
          <w:lang w:eastAsia="ru-RU"/>
        </w:rPr>
        <w:t>.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lastRenderedPageBreak/>
        <w:t xml:space="preserve">На практике для описания взаимосвязи между отведениями используют комплексную функцию </w:t>
      </w:r>
      <w:r w:rsidRPr="00295A3B">
        <w:rPr>
          <w:b/>
          <w:lang w:eastAsia="ru-RU"/>
        </w:rPr>
        <w:t>КОГ</w:t>
      </w:r>
      <w:r w:rsidRPr="008D5B89">
        <w:rPr>
          <w:lang w:eastAsia="ru-RU"/>
        </w:rPr>
        <w:t xml:space="preserve">, которая вычисляется для каждой частоты или полосы (диапазона) частот через взаимную спектральную плотность мощности двух каналов делением на произведение автоспектров мощности. В этом случае иногда используют термин «когерентный анализ». Модуль функции </w:t>
      </w:r>
      <w:r w:rsidRPr="00295A3B">
        <w:rPr>
          <w:b/>
          <w:lang w:eastAsia="ru-RU"/>
        </w:rPr>
        <w:t>КОГ</w:t>
      </w:r>
      <w:r w:rsidRPr="008D5B89">
        <w:rPr>
          <w:lang w:eastAsia="ru-RU"/>
        </w:rPr>
        <w:t xml:space="preserve"> на данной частоте меняется от </w:t>
      </w:r>
      <w:r w:rsidR="00295A3B" w:rsidRPr="00295A3B">
        <w:rPr>
          <w:lang w:eastAsia="ru-RU"/>
        </w:rPr>
        <w:t>0</w:t>
      </w:r>
      <w:r w:rsidRPr="008D5B89">
        <w:rPr>
          <w:lang w:eastAsia="ru-RU"/>
        </w:rPr>
        <w:t>, когда нет статистической зависимости, до 1, когда есть полная статистическая зависимость. При ненулевой КОГ также можно измерить разность фаз на данной частоте между двумя отведениями и соответственно задержку по времени сигнала с одного отведения по отношению к другому.</w:t>
      </w:r>
    </w:p>
    <w:p w:rsidR="001E3B06" w:rsidRPr="008D5B89" w:rsidRDefault="001E3B06" w:rsidP="008D5B89">
      <w:pPr>
        <w:rPr>
          <w:lang w:eastAsia="ru-RU"/>
        </w:rPr>
      </w:pPr>
      <w:r w:rsidRPr="008D5B89">
        <w:rPr>
          <w:lang w:eastAsia="ru-RU"/>
        </w:rPr>
        <w:t xml:space="preserve">Ряд спектральных показателей, такие как мощность, относительная мощность, когерентность, межполушарная асимметрия, рассматриваемые как случайные величины, могут быть приведены несложными математическими преобразованиями к нормальному распределению (Гаусса), что существенно упрощает их статистический анализ, так как многие виды статистической обработки, такие как критерий Стьюдента, ANOVA и прочие, требуют от данных нормального распределения. Скажем, логарифм от величины мощности для стандартных ритмов δ, θ, α, β является нормально распределенной случайной величиной для 20-секундных отрезках ЭЭГ. В этом случае можно подобрать контрольную группу одного пола и возраста, вычислить среднее по группе и стандартное отклонение спектрального показателя и сравнивать обследуемых с этими нормативными ЭЭГ-данными при помощи </w:t>
      </w:r>
      <w:r w:rsidRPr="00295A3B">
        <w:rPr>
          <w:b/>
          <w:lang w:eastAsia="ru-RU"/>
        </w:rPr>
        <w:t>Z-критерия</w:t>
      </w:r>
      <w:r w:rsidRPr="008D5B89">
        <w:rPr>
          <w:lang w:eastAsia="ru-RU"/>
        </w:rPr>
        <w:t>, в котором величина Z, определенная как степень отклонения от среднего по нормативной группе в единицах стандартного отклонения, не должна в норме превышать 2-3 S.D. Результаты такого анализа могут быть представлены в виде графиков, гистограмм и топографических карт. Использование набора подобных тестов для нормально распределенных спектральных параметров получило название «нейрометрика» (John E.R.).</w:t>
      </w:r>
    </w:p>
    <w:p w:rsidR="001E3B06" w:rsidRDefault="001E3B06" w:rsidP="00295A3B">
      <w:pPr>
        <w:pStyle w:val="2"/>
        <w:rPr>
          <w:sz w:val="36"/>
          <w:szCs w:val="36"/>
        </w:rPr>
      </w:pPr>
      <w:r>
        <w:t xml:space="preserve">Цифровые методы </w:t>
      </w:r>
      <w:r w:rsidRPr="00295A3B">
        <w:t>спектрального</w:t>
      </w:r>
      <w:r>
        <w:t xml:space="preserve"> оценивания</w:t>
      </w:r>
      <w:r w:rsidR="00281917">
        <w:t xml:space="preserve"> </w:t>
      </w:r>
      <w:r>
        <w:t>сигналов</w:t>
      </w:r>
    </w:p>
    <w:p w:rsidR="001E3B06" w:rsidRDefault="001E3B06" w:rsidP="00295A3B">
      <w:r>
        <w:t>При исследовании сигналов часто используются методы</w:t>
      </w:r>
      <w:r w:rsidR="00281917">
        <w:t xml:space="preserve"> </w:t>
      </w:r>
      <w:r>
        <w:rPr>
          <w:rStyle w:val="a6"/>
          <w:rFonts w:ascii="Arial" w:hAnsi="Arial" w:cs="Arial"/>
          <w:color w:val="222222"/>
          <w:sz w:val="21"/>
          <w:szCs w:val="21"/>
        </w:rPr>
        <w:t>спектрального анализа</w:t>
      </w:r>
      <w:r>
        <w:t>, позволяющие получить численные оценки частотного состава сигнала. Спектральный анализ основан на</w:t>
      </w:r>
      <w:r w:rsidR="00281917">
        <w:t xml:space="preserve"> </w:t>
      </w:r>
      <w:r>
        <w:rPr>
          <w:rStyle w:val="a6"/>
          <w:rFonts w:ascii="Arial" w:hAnsi="Arial" w:cs="Arial"/>
          <w:color w:val="222222"/>
          <w:sz w:val="21"/>
          <w:szCs w:val="21"/>
        </w:rPr>
        <w:t>частотном подходе</w:t>
      </w:r>
      <w:r w:rsidR="00281917">
        <w:t xml:space="preserve"> </w:t>
      </w:r>
      <w:r>
        <w:t>к анализу сигналов.</w:t>
      </w:r>
    </w:p>
    <w:p w:rsidR="001E3B06" w:rsidRDefault="001E3B06" w:rsidP="00295A3B">
      <w:r>
        <w:t>Наиболее распространены методики спектрального анализа, основанные на дискретном преобразовании Фурье (</w:t>
      </w:r>
      <w:r w:rsidRPr="00295A3B">
        <w:rPr>
          <w:b/>
        </w:rPr>
        <w:t>ДПФ</w:t>
      </w:r>
      <w:r>
        <w:t>):</w:t>
      </w:r>
    </w:p>
    <w:p w:rsidR="001E3B06" w:rsidRDefault="00295A3B" w:rsidP="001E3B06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0DC8165E" wp14:editId="61609E8E">
            <wp:extent cx="4010025" cy="6000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06" w:rsidRDefault="001E3B06" w:rsidP="001E3B06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где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х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) — отсчеты дискретного сигнала, N — число отсчетов, а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k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= 0, 1, …, N – 1 — номера частотных составляющих разложения. Для ускорения расчета применяют алгоритмы быстрого преобразования Фурье (БПФ</w:t>
      </w:r>
      <w:r w:rsidR="00295A3B" w:rsidRPr="00295A3B">
        <w:rPr>
          <w:rFonts w:ascii="Arial" w:hAnsi="Arial" w:cs="Arial"/>
          <w:color w:val="222222"/>
          <w:sz w:val="21"/>
          <w:szCs w:val="21"/>
        </w:rPr>
        <w:t>)</w:t>
      </w:r>
      <w:r w:rsidR="00295A3B"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В результате выполнения процедуры ДПФ получается ровно N значений комплексных чисел, описывающих гармонические колебания (синусоиды) с частотами 0,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>
        <w:rPr>
          <w:rFonts w:ascii="Arial" w:hAnsi="Arial" w:cs="Arial"/>
          <w:color w:val="222222"/>
          <w:sz w:val="21"/>
          <w:szCs w:val="21"/>
        </w:rPr>
        <w:t>, 2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>
        <w:rPr>
          <w:rFonts w:ascii="Arial" w:hAnsi="Arial" w:cs="Arial"/>
          <w:color w:val="222222"/>
          <w:sz w:val="21"/>
          <w:szCs w:val="21"/>
        </w:rPr>
        <w:t>, 3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>
        <w:rPr>
          <w:rFonts w:ascii="Arial" w:hAnsi="Arial" w:cs="Arial"/>
          <w:color w:val="222222"/>
          <w:sz w:val="21"/>
          <w:szCs w:val="21"/>
        </w:rPr>
        <w:t>…..(N – 1)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о</w:t>
      </w:r>
      <w:r>
        <w:rPr>
          <w:rFonts w:ascii="Arial" w:hAnsi="Arial" w:cs="Arial"/>
          <w:color w:val="222222"/>
          <w:sz w:val="21"/>
          <w:szCs w:val="21"/>
        </w:rPr>
        <w:t>, где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=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Д</w:t>
      </w:r>
      <w:r>
        <w:rPr>
          <w:rFonts w:ascii="Arial" w:hAnsi="Arial" w:cs="Arial"/>
          <w:color w:val="222222"/>
          <w:sz w:val="21"/>
          <w:szCs w:val="21"/>
        </w:rPr>
        <w:t>/</w:t>
      </w: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1"/>
          <w:szCs w:val="21"/>
        </w:rPr>
        <w:t>-основная частота преобразования 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д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частота дискретизации сигнала). Амплитуда и фазовый сдвиг каждой из синусоид определяются как модуль и аргумент соответствующего комплексного элемента разложения.</w:t>
      </w:r>
      <w:r w:rsidR="00295A3B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По полученному разложению исходный сигнал может быть полностью восстановлен (в точках взятия отсчетов) с использованием процедуры обратного дискретного преобразования Фурье.</w:t>
      </w:r>
    </w:p>
    <w:p w:rsidR="001E3B06" w:rsidRDefault="00295A3B" w:rsidP="001E3B06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Па рис </w:t>
      </w:r>
      <w:r w:rsidR="001E3B06">
        <w:rPr>
          <w:rFonts w:ascii="Arial" w:hAnsi="Arial" w:cs="Arial"/>
          <w:color w:val="222222"/>
          <w:sz w:val="21"/>
          <w:szCs w:val="21"/>
        </w:rPr>
        <w:t xml:space="preserve">иллюстрируется процесс реконструкции фрагмента ЭКГ при помощи синусоид, определяемых значениями элементов ДПФ. Левые графики показывают синусоиды со </w:t>
      </w:r>
      <w:r w:rsidR="001E3B06">
        <w:rPr>
          <w:rFonts w:ascii="Arial" w:hAnsi="Arial" w:cs="Arial"/>
          <w:color w:val="222222"/>
          <w:sz w:val="21"/>
          <w:szCs w:val="21"/>
        </w:rPr>
        <w:lastRenderedPageBreak/>
        <w:t>значениями частот 0,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="001E3B06">
        <w:rPr>
          <w:rStyle w:val="a5"/>
          <w:rFonts w:ascii="Arial" w:hAnsi="Arial" w:cs="Arial"/>
          <w:color w:val="222222"/>
          <w:sz w:val="21"/>
          <w:szCs w:val="21"/>
        </w:rPr>
        <w:t>f</w:t>
      </w:r>
      <w:r w:rsidR="001E3B06"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 w:rsidR="001E3B06">
        <w:rPr>
          <w:rFonts w:ascii="Arial" w:hAnsi="Arial" w:cs="Arial"/>
          <w:color w:val="222222"/>
          <w:sz w:val="21"/>
          <w:szCs w:val="21"/>
        </w:rPr>
        <w:t>, 2</w:t>
      </w:r>
      <w:r w:rsidR="001E3B06">
        <w:rPr>
          <w:rStyle w:val="a5"/>
          <w:rFonts w:ascii="Arial" w:hAnsi="Arial" w:cs="Arial"/>
          <w:color w:val="222222"/>
          <w:sz w:val="21"/>
          <w:szCs w:val="21"/>
        </w:rPr>
        <w:t>f</w:t>
      </w:r>
      <w:r w:rsidR="001E3B06"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 w:rsidR="001E3B06">
        <w:rPr>
          <w:rFonts w:ascii="Arial" w:hAnsi="Arial" w:cs="Arial"/>
          <w:color w:val="222222"/>
          <w:sz w:val="21"/>
          <w:szCs w:val="21"/>
        </w:rPr>
        <w:t>, 3</w:t>
      </w:r>
      <w:r w:rsidR="001E3B06">
        <w:rPr>
          <w:rStyle w:val="a5"/>
          <w:rFonts w:ascii="Arial" w:hAnsi="Arial" w:cs="Arial"/>
          <w:color w:val="222222"/>
          <w:sz w:val="21"/>
          <w:szCs w:val="21"/>
        </w:rPr>
        <w:t>f</w:t>
      </w:r>
      <w:r w:rsidR="001E3B06">
        <w:rPr>
          <w:rFonts w:ascii="Arial" w:hAnsi="Arial" w:cs="Arial"/>
          <w:color w:val="222222"/>
          <w:sz w:val="16"/>
          <w:szCs w:val="16"/>
          <w:vertAlign w:val="subscript"/>
        </w:rPr>
        <w:t>0</w:t>
      </w:r>
      <w:r w:rsidR="001E3B06">
        <w:rPr>
          <w:rFonts w:ascii="Arial" w:hAnsi="Arial" w:cs="Arial"/>
          <w:color w:val="222222"/>
          <w:sz w:val="21"/>
          <w:szCs w:val="21"/>
        </w:rPr>
        <w:t>…..(N – 1)</w:t>
      </w:r>
      <w:r w:rsidR="001E3B06">
        <w:rPr>
          <w:rStyle w:val="a5"/>
          <w:rFonts w:ascii="Arial" w:hAnsi="Arial" w:cs="Arial"/>
          <w:color w:val="222222"/>
          <w:sz w:val="21"/>
          <w:szCs w:val="21"/>
        </w:rPr>
        <w:t>f</w:t>
      </w:r>
      <w:r w:rsidR="001E3B06">
        <w:rPr>
          <w:rFonts w:ascii="Arial" w:hAnsi="Arial" w:cs="Arial"/>
          <w:color w:val="222222"/>
          <w:sz w:val="16"/>
          <w:szCs w:val="16"/>
          <w:vertAlign w:val="subscript"/>
        </w:rPr>
        <w:t>о</w:t>
      </w:r>
      <w:r w:rsidR="001E3B06">
        <w:rPr>
          <w:rFonts w:ascii="Arial" w:hAnsi="Arial" w:cs="Arial"/>
          <w:color w:val="222222"/>
          <w:sz w:val="21"/>
          <w:szCs w:val="21"/>
        </w:rPr>
        <w:t>. а правые — этапы реконструкции сигнала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="001E3B06">
        <w:rPr>
          <w:rFonts w:ascii="Arial" w:hAnsi="Arial" w:cs="Arial"/>
          <w:color w:val="222222"/>
          <w:sz w:val="21"/>
          <w:szCs w:val="21"/>
        </w:rPr>
        <w:t>с помощью этих синусоид. Рисунок позволяет проследить, как суммирование синусоидальных составляющих дает возможность получить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="001E3B06">
        <w:rPr>
          <w:rFonts w:ascii="Arial" w:hAnsi="Arial" w:cs="Arial"/>
          <w:color w:val="222222"/>
          <w:sz w:val="21"/>
          <w:szCs w:val="21"/>
        </w:rPr>
        <w:t>описание кривой практически произвольной формы.</w:t>
      </w:r>
    </w:p>
    <w:p w:rsidR="00A67B34" w:rsidRPr="00A67B34" w:rsidRDefault="00A67B34" w:rsidP="00A67B34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4AD6831D" wp14:editId="2270BEE3">
            <wp:extent cx="4451350" cy="3761105"/>
            <wp:effectExtent l="0" t="0" r="6350" b="0"/>
            <wp:docPr id="65" name="Рисунок 65" descr="https://cmi.to/wp-content/uploads/2019/10/matanaliz_signalov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mi.to/wp-content/uploads/2019/10/matanaliz_signalov7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34" w:rsidRDefault="00295A3B" w:rsidP="00A67B34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Рис. </w:t>
      </w:r>
      <w:r w:rsidR="00A67B34" w:rsidRPr="00295A3B">
        <w:rPr>
          <w:rFonts w:ascii="Arial" w:hAnsi="Arial" w:cs="Arial"/>
          <w:color w:val="222222"/>
          <w:sz w:val="21"/>
          <w:szCs w:val="21"/>
        </w:rPr>
        <w:t xml:space="preserve">Иллюстрация процесса реконструкции фрагмента ЭКГ при помощи синусоид, определяемых значениями элементов </w:t>
      </w:r>
      <w:r w:rsidR="00A67B34" w:rsidRPr="005832AC">
        <w:rPr>
          <w:rFonts w:ascii="Arial" w:hAnsi="Arial" w:cs="Arial"/>
          <w:b/>
          <w:color w:val="222222"/>
          <w:sz w:val="21"/>
          <w:szCs w:val="21"/>
        </w:rPr>
        <w:t>ДПФ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 w:rsidR="00A67B34">
        <w:rPr>
          <w:rFonts w:ascii="Arial" w:hAnsi="Arial" w:cs="Arial"/>
          <w:color w:val="222222"/>
          <w:sz w:val="21"/>
          <w:szCs w:val="21"/>
        </w:rPr>
        <w:t xml:space="preserve">В случае использования алгоритма </w:t>
      </w:r>
      <w:r w:rsidR="00A67B34" w:rsidRPr="00295A3B">
        <w:rPr>
          <w:rFonts w:ascii="Arial" w:hAnsi="Arial" w:cs="Arial"/>
          <w:b/>
          <w:color w:val="222222"/>
          <w:sz w:val="21"/>
          <w:szCs w:val="21"/>
        </w:rPr>
        <w:t>БПФ</w:t>
      </w:r>
      <w:r w:rsidR="00A67B34">
        <w:rPr>
          <w:rFonts w:ascii="Arial" w:hAnsi="Arial" w:cs="Arial"/>
          <w:color w:val="222222"/>
          <w:sz w:val="21"/>
          <w:szCs w:val="21"/>
        </w:rPr>
        <w:t xml:space="preserve"> для получения спектральных оценок возможны два основных варианта: расчет БПФ для всего фрагмента сигнала целиком (периодограммный метод) или использование усреднения спектров, рассчитанных по перекрывающимся фрагментам сигнала (метод Уэлча).</w:t>
      </w:r>
    </w:p>
    <w:p w:rsidR="00A67B34" w:rsidRDefault="00A67B34" w:rsidP="00A67B34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При использовании периодограммного метода выполняется следующая последовательность процедур:</w:t>
      </w:r>
    </w:p>
    <w:p w:rsidR="00A67B34" w:rsidRPr="005832AC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 w:rsidRPr="005832AC">
        <w:rPr>
          <w:rFonts w:ascii="Arial" w:hAnsi="Arial" w:cs="Arial"/>
          <w:color w:val="222222"/>
          <w:sz w:val="21"/>
          <w:szCs w:val="21"/>
        </w:rPr>
        <w:t>Удаление из сигнала среднего значения (или линейного тренда) с целью устранения постоянной составляющей.</w:t>
      </w:r>
    </w:p>
    <w:p w:rsidR="00A67B34" w:rsidRPr="005832AC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 w:rsidRPr="005832AC">
        <w:rPr>
          <w:rFonts w:ascii="Arial" w:hAnsi="Arial" w:cs="Arial"/>
          <w:color w:val="222222"/>
          <w:sz w:val="21"/>
          <w:szCs w:val="21"/>
        </w:rPr>
        <w:t>Умножение сигнала на сглаживающее окно (см. далее) для уменьшения спектральной утечки, вызываемой разрывами на краях анализируемого фрагмента, возникающими при его периодическом продолжении.</w:t>
      </w:r>
    </w:p>
    <w:p w:rsidR="00A67B34" w:rsidRPr="005832AC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 w:rsidRPr="005832AC">
        <w:rPr>
          <w:rFonts w:ascii="Arial" w:hAnsi="Arial" w:cs="Arial"/>
          <w:color w:val="222222"/>
          <w:sz w:val="21"/>
          <w:szCs w:val="21"/>
        </w:rPr>
        <w:t>Дополнение фрагмента сигнала нулями до размера, соответствующего какой-либо целой степени числа «2», что позволяет далее использовать алгоритм БПФ.</w:t>
      </w:r>
    </w:p>
    <w:p w:rsidR="00A67B34" w:rsidRPr="005832AC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 w:rsidRPr="005832AC">
        <w:rPr>
          <w:rFonts w:ascii="Arial" w:hAnsi="Arial" w:cs="Arial"/>
          <w:color w:val="222222"/>
          <w:sz w:val="21"/>
          <w:szCs w:val="21"/>
        </w:rPr>
        <w:t>Расчет дискретного преобразования Фурье с помощью алгоритма БПФ.</w:t>
      </w:r>
    </w:p>
    <w:p w:rsidR="00A67B34" w:rsidRPr="005832AC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 w:rsidRPr="005832AC">
        <w:rPr>
          <w:rFonts w:ascii="Arial" w:hAnsi="Arial" w:cs="Arial"/>
          <w:color w:val="222222"/>
          <w:sz w:val="21"/>
          <w:szCs w:val="21"/>
        </w:rPr>
        <w:t>Расчет спектральной плотности мощности (СПМ):</w:t>
      </w:r>
    </w:p>
    <w:p w:rsidR="00A67B34" w:rsidRDefault="0056646B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63C065D9" wp14:editId="6EA905FB">
            <wp:extent cx="4486275" cy="5715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4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где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Pr="005832AC">
        <w:rPr>
          <w:i/>
          <w:iCs/>
        </w:rPr>
        <w:t>f</w:t>
      </w:r>
      <w:r w:rsidRPr="005832AC">
        <w:rPr>
          <w:rFonts w:ascii="Arial" w:hAnsi="Arial" w:cs="Arial"/>
          <w:color w:val="222222"/>
          <w:sz w:val="21"/>
          <w:szCs w:val="21"/>
        </w:rPr>
        <w:t>д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частота дискретизации,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Pr="005832AC">
        <w:rPr>
          <w:i/>
          <w:iCs/>
        </w:rPr>
        <w:t>f</w:t>
      </w:r>
      <w:r w:rsidRPr="005832AC">
        <w:rPr>
          <w:rFonts w:ascii="Arial" w:hAnsi="Arial" w:cs="Arial"/>
          <w:color w:val="222222"/>
          <w:sz w:val="21"/>
          <w:szCs w:val="21"/>
        </w:rPr>
        <w:t>k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=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Pr="005832AC">
        <w:rPr>
          <w:i/>
          <w:iCs/>
        </w:rPr>
        <w:t>kl</w:t>
      </w:r>
      <w:r>
        <w:rPr>
          <w:rFonts w:ascii="Arial" w:hAnsi="Arial" w:cs="Arial"/>
          <w:color w:val="222222"/>
          <w:sz w:val="21"/>
          <w:szCs w:val="21"/>
        </w:rPr>
        <w:t>Δ</w:t>
      </w:r>
      <w:r w:rsidRPr="005832AC">
        <w:rPr>
          <w:i/>
          <w:iCs/>
        </w:rPr>
        <w:t>f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= k</w:t>
      </w:r>
      <w:r w:rsidRPr="005832AC">
        <w:rPr>
          <w:i/>
          <w:iCs/>
        </w:rPr>
        <w:t>f</w:t>
      </w:r>
      <w:r w:rsidRPr="005832AC">
        <w:rPr>
          <w:rFonts w:ascii="Arial" w:hAnsi="Arial" w:cs="Arial"/>
          <w:color w:val="222222"/>
          <w:sz w:val="21"/>
          <w:szCs w:val="21"/>
        </w:rPr>
        <w:t>д</w:t>
      </w:r>
      <w:r>
        <w:rPr>
          <w:rFonts w:ascii="Arial" w:hAnsi="Arial" w:cs="Arial"/>
          <w:color w:val="222222"/>
          <w:sz w:val="21"/>
          <w:szCs w:val="21"/>
        </w:rPr>
        <w:t>/N, k= 0, 1,2, … …,N/2, а X(</w:t>
      </w:r>
      <w:r w:rsidRPr="005832AC">
        <w:rPr>
          <w:i/>
          <w:iCs/>
        </w:rPr>
        <w:t>f</w:t>
      </w:r>
      <w:r w:rsidRPr="005832AC"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) и p(</w:t>
      </w:r>
      <w:r w:rsidRPr="005832AC">
        <w:rPr>
          <w:i/>
          <w:iCs/>
        </w:rPr>
        <w:t>f</w:t>
      </w:r>
      <w:r w:rsidRPr="005832AC"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) — соответственно значения компонентов разложения по Фурье и СПМ для частот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 w:rsidRPr="005832AC">
        <w:rPr>
          <w:i/>
          <w:iCs/>
        </w:rPr>
        <w:t>f</w:t>
      </w:r>
      <w:r w:rsidRPr="005832AC"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67B34" w:rsidRPr="005832AC" w:rsidRDefault="00A67B34" w:rsidP="005832AC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 w:rsidRPr="005832AC">
        <w:rPr>
          <w:rFonts w:ascii="Arial" w:hAnsi="Arial" w:cs="Arial"/>
          <w:color w:val="222222"/>
          <w:sz w:val="21"/>
          <w:szCs w:val="21"/>
        </w:rPr>
        <w:t>Умножение СПМ на корректирующий коэффициент, учитывающий потери мощности при использовании сглаживающего окна:</w:t>
      </w:r>
    </w:p>
    <w:p w:rsidR="00A67B34" w:rsidRDefault="004304D4" w:rsidP="00A67B34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03C80C85" wp14:editId="69D0B250">
            <wp:extent cx="1981200" cy="5810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4" w:rsidRDefault="00A67B34" w:rsidP="00A67B34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где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w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— размер окна в отсчетах, a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w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) — отсчеты оконной функции.</w:t>
      </w:r>
    </w:p>
    <w:p w:rsidR="00A67B34" w:rsidRDefault="00A67B34" w:rsidP="00A67B3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Умножение СПМ на корректирующий коэффициент, учитывающий потерн мощности при дополнении нулями:</w:t>
      </w:r>
    </w:p>
    <w:p w:rsidR="00A67B34" w:rsidRDefault="00A67B34" w:rsidP="00A67B34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о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= N/N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o</w:t>
      </w:r>
      <w:r>
        <w:rPr>
          <w:rFonts w:ascii="Arial" w:hAnsi="Arial" w:cs="Arial"/>
          <w:color w:val="222222"/>
          <w:sz w:val="21"/>
          <w:szCs w:val="21"/>
        </w:rPr>
        <w:t>,</w:t>
      </w:r>
    </w:p>
    <w:p w:rsidR="00A67B34" w:rsidRDefault="00A67B34" w:rsidP="00A67B34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где N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o</w:t>
      </w:r>
      <w:r w:rsidR="00281917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— число отсчетов фрагмента сигнала до дополнения нулями.</w:t>
      </w:r>
    </w:p>
    <w:p w:rsidR="00A67B34" w:rsidRDefault="00A67B34" w:rsidP="002B2A0F">
      <w:r>
        <w:t xml:space="preserve">При использовании </w:t>
      </w:r>
      <w:r w:rsidRPr="004304D4">
        <w:rPr>
          <w:b/>
        </w:rPr>
        <w:t>метода Уэлча</w:t>
      </w:r>
      <w:r w:rsidR="00281917">
        <w:t xml:space="preserve"> </w:t>
      </w:r>
      <w:r>
        <w:t>исходный сигнал разбивается на сегменты, для каждого из которых спектральная оценка рассчитывается при помощи описанной выше процедуры. Далее полученные оценки усредняются по соответствующим частотам. Оценки спектральной плотности мощности, полученные с помощью метода Уэлча, отличаются большей статистической устойчивостью по сравнению с простым периодограммным методом.</w:t>
      </w:r>
    </w:p>
    <w:p w:rsidR="00A67B34" w:rsidRDefault="00A67B34" w:rsidP="002B2A0F">
      <w:r>
        <w:t>Из-за того что при использовании ДПФ неявно предполагается бесконечное периодическое продолжение анализируемого сигнала, в получаемом спектре может наблюдаться эффект, называемый</w:t>
      </w:r>
      <w:r w:rsidR="00281917">
        <w:t xml:space="preserve"> </w:t>
      </w:r>
      <w:r w:rsidRPr="004304D4">
        <w:rPr>
          <w:b/>
          <w:bCs/>
        </w:rPr>
        <w:t>спектральной утечкой</w:t>
      </w:r>
      <w:r>
        <w:t>, который проявляется в «растекании» мощности спектральных составляющих по диапазону частот. Этот эффект может быть</w:t>
      </w:r>
      <w:r w:rsidR="00281917">
        <w:t xml:space="preserve"> </w:t>
      </w:r>
      <w:r>
        <w:t>снижен за счет применения так называемых</w:t>
      </w:r>
      <w:r w:rsidR="00281917">
        <w:t xml:space="preserve"> </w:t>
      </w:r>
      <w:r w:rsidRPr="004304D4">
        <w:rPr>
          <w:b/>
          <w:bCs/>
        </w:rPr>
        <w:t>сглаживающих окон</w:t>
      </w:r>
      <w:r>
        <w:t>. Под последними понимаются функции, имеющие на краях близкие к нулю значения, которые плавно возрастают до единицы в средней части функции. На рис демонстрируется эффект спектральной утечки и результат ее снижения с исп</w:t>
      </w:r>
      <w:r w:rsidR="002B2A0F">
        <w:t>ользованием сглаживающего окна н</w:t>
      </w:r>
      <w:r>
        <w:t xml:space="preserve">а левом верхнем графике показан фрагмент сигнала, представляющего собой смесь двух синусоид (с частотами </w:t>
      </w:r>
      <w:r w:rsidRPr="002B2A0F">
        <w:rPr>
          <w:b/>
        </w:rPr>
        <w:t>7 Гц и 13 Гц</w:t>
      </w:r>
      <w:r>
        <w:t xml:space="preserve">). Справа сверху показан амплитудный спектр этого сигнала, где для составляющей с частотой </w:t>
      </w:r>
      <w:r w:rsidRPr="002B2A0F">
        <w:rPr>
          <w:b/>
        </w:rPr>
        <w:t>7 Гц</w:t>
      </w:r>
      <w:r>
        <w:t xml:space="preserve"> наблюдается спектральная утечка. На нижнем левом графике показаны сглаживающая функция и сигнал, полученный в результате умножения исходного сигнала на эту функцию. Как можно видеть, значения последней функции приближаются к нулевым на концах фрагмента. Правый нижний график содержит амплитудный спектр полученного сигнала, в котором эффект спектральной утечки существенно снижен. Однако следует иметь в виду, что применение сглаживающих окон, хоть и снижает спектральную утечку, но приводит в то же время к ухудшению спектрального разрешения, т. е. способности спектра к различению близких по частоте составляющих.</w:t>
      </w:r>
    </w:p>
    <w:p w:rsidR="00A67B34" w:rsidRPr="00A67B34" w:rsidRDefault="00A67B34" w:rsidP="00A67B34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 wp14:anchorId="2A6D074C" wp14:editId="33BDC2D4">
            <wp:extent cx="4468495" cy="2605405"/>
            <wp:effectExtent l="0" t="0" r="8255" b="4445"/>
            <wp:docPr id="68" name="Рисунок 68" descr="https://cmi.to/wp-content/uploads/2019/10/matanaliz_signalov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mi.to/wp-content/uploads/2019/10/matanaliz_signalov7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34" w:rsidRPr="00A67B34" w:rsidRDefault="00A67B34" w:rsidP="00530343">
      <w:r w:rsidRPr="00530343">
        <w:t>Снижение спектральной утечки при использовании сглаживающего окна</w:t>
      </w:r>
    </w:p>
    <w:p w:rsidR="00A67B34" w:rsidRDefault="00A67B34" w:rsidP="00530343">
      <w:pPr>
        <w:pStyle w:val="2"/>
      </w:pPr>
      <w:r>
        <w:t>Параметрические методы спектрального оценивания</w:t>
      </w:r>
    </w:p>
    <w:p w:rsidR="00A67B34" w:rsidRDefault="00A67B34" w:rsidP="002A0EF2">
      <w:r>
        <w:t>Альтернативный подход к расчету спектральных оценок реализуется с использованием так называемых параметрических методов. Наиболее распространенные из них основаны на модели авторегрессии</w:t>
      </w:r>
      <w:r w:rsidR="00281917">
        <w:t xml:space="preserve"> </w:t>
      </w:r>
      <w:r>
        <w:t>(ЛР), описываемой уравнением:</w:t>
      </w:r>
    </w:p>
    <w:p w:rsidR="00A67B34" w:rsidRDefault="002A0EF2" w:rsidP="002A0EF2">
      <w:r>
        <w:rPr>
          <w:noProof/>
          <w:lang w:eastAsia="ru-RU"/>
        </w:rPr>
        <w:drawing>
          <wp:inline distT="0" distB="0" distL="0" distR="0" wp14:anchorId="7CA11726" wp14:editId="2A49656C">
            <wp:extent cx="3057525" cy="561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4" w:rsidRDefault="00A67B34" w:rsidP="002A0EF2">
      <w:r>
        <w:t>где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х(n)</w:t>
      </w:r>
      <w:r w:rsidR="00281917">
        <w:t xml:space="preserve"> </w:t>
      </w:r>
      <w:r>
        <w:t>— отсчеты процесса авторегрессии,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w(n)</w:t>
      </w:r>
      <w:r w:rsidR="00281917">
        <w:t xml:space="preserve"> </w:t>
      </w:r>
      <w:r>
        <w:t>— отсчеты возбуждающего белого шума,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а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k</w:t>
      </w:r>
      <w:r w:rsidR="00281917">
        <w:t xml:space="preserve"> </w:t>
      </w:r>
      <w:r>
        <w:t>— коэффициенты модели, а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р</w:t>
      </w:r>
      <w:r>
        <w:t>— порядок модели.</w:t>
      </w:r>
    </w:p>
    <w:p w:rsidR="00A67B34" w:rsidRDefault="00A67B34" w:rsidP="002A0EF2">
      <w:r>
        <w:t>Если по последовательности отсчетов некоторого анализируемого сигнала удастся найти набор коэффициентов авторегрессии ад. и получить оценку дисперсии возбуждающего белого шума p</w:t>
      </w:r>
      <w:r>
        <w:rPr>
          <w:sz w:val="16"/>
          <w:szCs w:val="16"/>
          <w:vertAlign w:val="subscript"/>
        </w:rPr>
        <w:t>w</w:t>
      </w:r>
      <w:r>
        <w:t>, то оценка спектральной плотности мощности (СПМ) данного сигнала будет определяться выражением:</w:t>
      </w:r>
    </w:p>
    <w:p w:rsidR="00A67B34" w:rsidRDefault="002A0EF2" w:rsidP="002A0EF2">
      <w:r>
        <w:rPr>
          <w:noProof/>
          <w:lang w:eastAsia="ru-RU"/>
        </w:rPr>
        <w:drawing>
          <wp:inline distT="0" distB="0" distL="0" distR="0" wp14:anchorId="78B1CBDA" wp14:editId="57E659EA">
            <wp:extent cx="3105150" cy="6667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4" w:rsidRDefault="00A67B34" w:rsidP="002A0EF2">
      <w:r>
        <w:t>где Т = 1/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sz w:val="16"/>
          <w:szCs w:val="16"/>
          <w:vertAlign w:val="subscript"/>
        </w:rPr>
        <w:t>д</w:t>
      </w:r>
      <w:r w:rsidR="00281917">
        <w:t xml:space="preserve"> </w:t>
      </w:r>
      <w:r>
        <w:t>период дискретизации сигнала, а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 w:rsidR="00281917">
        <w:t xml:space="preserve"> </w:t>
      </w:r>
      <w:r>
        <w:t>частота соответствующего значения СПМ.</w:t>
      </w:r>
    </w:p>
    <w:p w:rsidR="00A67B34" w:rsidRDefault="00A67B34" w:rsidP="002A0EF2">
      <w:r>
        <w:t>Идея авторегрессионно</w:t>
      </w:r>
      <w:r w:rsidR="002A0EF2">
        <w:t>го метода иллюстрируется на рис</w:t>
      </w:r>
      <w:r>
        <w:t>. Пусть требуется оценить спектральную плотность мощности некоторого наблюдаемого дискретного сигнала у(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t>). Подадим на вход рекурсивного цифрового фильтра, имеющего набор коэффициентов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a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1</w:t>
      </w:r>
      <w:r>
        <w:t>,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a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2</w:t>
      </w:r>
      <w:r>
        <w:t>, …,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a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p</w:t>
      </w:r>
      <w:r w:rsidR="00281917">
        <w:t xml:space="preserve"> </w:t>
      </w:r>
      <w:r>
        <w:t>и передаточную функцию H(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t>), воздействие г/(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t>) в виде отсчетов белого шума (абсолютно случайного сигнала). Тогда в случае. если удастся так подобрать коэффициенты фильтра, что средняя энергия ошибки е(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t>) окажется минимальной, можно считать, что передаточная функция фильтра H(f) (с точностью до множителя</w:t>
      </w:r>
      <w:r w:rsidR="00281917"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p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w</w:t>
      </w:r>
      <w:r w:rsidR="00281917"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 xml:space="preserve"> </w:t>
      </w:r>
      <w:r>
        <w:t>представляющего собой оценку дисперсии возбуждающего белого шума u(n)) является оценкой спектральной плотности мощности сигнала у(</w:t>
      </w:r>
      <w:r>
        <w:rPr>
          <w:rStyle w:val="a5"/>
          <w:rFonts w:ascii="Arial" w:hAnsi="Arial" w:cs="Arial"/>
          <w:color w:val="222222"/>
          <w:sz w:val="21"/>
          <w:szCs w:val="21"/>
        </w:rPr>
        <w:t>n</w:t>
      </w:r>
      <w:r>
        <w:t>).</w:t>
      </w:r>
    </w:p>
    <w:p w:rsidR="00057779" w:rsidRPr="00057779" w:rsidRDefault="00057779" w:rsidP="00057779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191510" cy="1734185"/>
            <wp:effectExtent l="0" t="0" r="8890" b="0"/>
            <wp:docPr id="78" name="Рисунок 78" descr="https://cmi.to/wp-content/uploads/2019/10/matanaliz_signalov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mi.to/wp-content/uploads/2019/10/matanaliz_signalov7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79" w:rsidRPr="00057779" w:rsidRDefault="00057779" w:rsidP="00057779">
      <w:r w:rsidRPr="00057779">
        <w:t>Иллюстрация авторегрессионного метода получения спектральных опенок</w:t>
      </w:r>
    </w:p>
    <w:p w:rsidR="00423539" w:rsidRPr="00423539" w:rsidRDefault="00423539" w:rsidP="00423539">
      <w:r w:rsidRPr="00423539">
        <w:t>Разработан целый ряд алгоритмов оценки параметров авторегрессии (коэффициентов </w:t>
      </w:r>
      <w:r w:rsidRPr="00423539">
        <w:rPr>
          <w:i/>
          <w:iCs/>
        </w:rPr>
        <w:t>a1</w:t>
      </w:r>
      <w:r w:rsidRPr="00423539">
        <w:t>, </w:t>
      </w:r>
      <w:r w:rsidRPr="00423539">
        <w:rPr>
          <w:i/>
          <w:iCs/>
        </w:rPr>
        <w:t>a2</w:t>
      </w:r>
      <w:r w:rsidRPr="00423539">
        <w:t>, …, </w:t>
      </w:r>
      <w:r w:rsidRPr="00423539">
        <w:rPr>
          <w:i/>
          <w:iCs/>
        </w:rPr>
        <w:t>ap</w:t>
      </w:r>
      <w:r w:rsidRPr="00423539">
        <w:t> и параметра </w:t>
      </w:r>
      <w:r w:rsidRPr="00423539">
        <w:rPr>
          <w:i/>
          <w:iCs/>
        </w:rPr>
        <w:t>pw</w:t>
      </w:r>
      <w:r w:rsidRPr="00423539">
        <w:t>), из которых наиболее известны следующие четыре:</w:t>
      </w:r>
    </w:p>
    <w:p w:rsidR="00423539" w:rsidRPr="00423539" w:rsidRDefault="00423539" w:rsidP="00423539">
      <w:pPr>
        <w:pStyle w:val="a3"/>
        <w:numPr>
          <w:ilvl w:val="0"/>
          <w:numId w:val="22"/>
        </w:numPr>
      </w:pPr>
      <w:r w:rsidRPr="00423539">
        <w:t>автокорреляционный метод Юла-Уоркера;</w:t>
      </w:r>
    </w:p>
    <w:p w:rsidR="00423539" w:rsidRPr="00423539" w:rsidRDefault="00423539" w:rsidP="00423539">
      <w:pPr>
        <w:pStyle w:val="a3"/>
        <w:numPr>
          <w:ilvl w:val="0"/>
          <w:numId w:val="22"/>
        </w:numPr>
      </w:pPr>
      <w:r w:rsidRPr="00423539">
        <w:t>метод максимальной энтропии Берга;</w:t>
      </w:r>
    </w:p>
    <w:p w:rsidR="00423539" w:rsidRPr="00423539" w:rsidRDefault="00423539" w:rsidP="00423539">
      <w:pPr>
        <w:pStyle w:val="a3"/>
        <w:numPr>
          <w:ilvl w:val="0"/>
          <w:numId w:val="22"/>
        </w:numPr>
      </w:pPr>
      <w:r w:rsidRPr="00423539">
        <w:t>ковариационный метод;</w:t>
      </w:r>
    </w:p>
    <w:p w:rsidR="00423539" w:rsidRPr="00423539" w:rsidRDefault="00423539" w:rsidP="00423539">
      <w:pPr>
        <w:pStyle w:val="a3"/>
        <w:numPr>
          <w:ilvl w:val="0"/>
          <w:numId w:val="22"/>
        </w:numPr>
      </w:pPr>
      <w:r w:rsidRPr="00423539">
        <w:t>модифицированный ковариационный метод.</w:t>
      </w:r>
    </w:p>
    <w:p w:rsidR="00423539" w:rsidRPr="00423539" w:rsidRDefault="00423539" w:rsidP="00423539">
      <w:r w:rsidRPr="00423539">
        <w:t>Из перечисленных алгоритмов наилучшие результаты дают последние два, основанные на методах линейного предсказания. В то же время эти методы наиболее сложны в вычислительном отношении.</w:t>
      </w:r>
    </w:p>
    <w:p w:rsidR="00423539" w:rsidRPr="00423539" w:rsidRDefault="00423539" w:rsidP="00423539">
      <w:r w:rsidRPr="00423539">
        <w:t>Процедура получения спектральных оценок с помощью авторегрессионных методов может быть описана следующей последовательностью этапов:</w:t>
      </w:r>
    </w:p>
    <w:p w:rsidR="00423539" w:rsidRPr="00423539" w:rsidRDefault="00423539" w:rsidP="00423539">
      <w:pPr>
        <w:pStyle w:val="a3"/>
        <w:numPr>
          <w:ilvl w:val="0"/>
          <w:numId w:val="23"/>
        </w:numPr>
      </w:pPr>
      <w:r w:rsidRPr="00423539">
        <w:t>Удаление из сигнала среднего значения (или линейного тренда) с целью устранения постоянной составляющей.</w:t>
      </w:r>
    </w:p>
    <w:p w:rsidR="00423539" w:rsidRPr="00423539" w:rsidRDefault="00423539" w:rsidP="00423539">
      <w:pPr>
        <w:pStyle w:val="a3"/>
        <w:numPr>
          <w:ilvl w:val="0"/>
          <w:numId w:val="23"/>
        </w:numPr>
      </w:pPr>
      <w:r w:rsidRPr="00423539">
        <w:t>Выбор порядка модели </w:t>
      </w:r>
      <w:r w:rsidRPr="00423539">
        <w:rPr>
          <w:i/>
          <w:iCs/>
        </w:rPr>
        <w:t>р</w:t>
      </w:r>
      <w:r w:rsidRPr="00423539">
        <w:t>.</w:t>
      </w:r>
    </w:p>
    <w:p w:rsidR="00423539" w:rsidRPr="00423539" w:rsidRDefault="00423539" w:rsidP="00423539">
      <w:pPr>
        <w:pStyle w:val="a3"/>
        <w:numPr>
          <w:ilvl w:val="0"/>
          <w:numId w:val="23"/>
        </w:numPr>
      </w:pPr>
      <w:r w:rsidRPr="00423539">
        <w:t>Оценивание параметров АР модели («), </w:t>
      </w:r>
      <w:r w:rsidRPr="00423539">
        <w:rPr>
          <w:i/>
          <w:iCs/>
        </w:rPr>
        <w:t>a1</w:t>
      </w:r>
      <w:r w:rsidRPr="00423539">
        <w:t>, </w:t>
      </w:r>
      <w:r w:rsidRPr="00423539">
        <w:rPr>
          <w:i/>
          <w:iCs/>
        </w:rPr>
        <w:t>a2</w:t>
      </w:r>
      <w:r w:rsidRPr="00423539">
        <w:t>, …, </w:t>
      </w:r>
      <w:r w:rsidRPr="00423539">
        <w:rPr>
          <w:i/>
          <w:iCs/>
        </w:rPr>
        <w:t>ap</w:t>
      </w:r>
      <w:r w:rsidRPr="00423539">
        <w:t> и</w:t>
      </w:r>
      <w:r w:rsidRPr="00423539">
        <w:rPr>
          <w:i/>
          <w:iCs/>
        </w:rPr>
        <w:t>pw</w:t>
      </w:r>
      <w:r w:rsidRPr="00423539">
        <w:t>).</w:t>
      </w:r>
    </w:p>
    <w:p w:rsidR="00423539" w:rsidRPr="00423539" w:rsidRDefault="00423539" w:rsidP="00423539">
      <w:pPr>
        <w:pStyle w:val="a3"/>
        <w:numPr>
          <w:ilvl w:val="0"/>
          <w:numId w:val="23"/>
        </w:numPr>
      </w:pPr>
      <w:r w:rsidRPr="00423539">
        <w:t>Вычисление оценки СПМ P(</w:t>
      </w:r>
      <w:r w:rsidRPr="00423539">
        <w:rPr>
          <w:i/>
          <w:iCs/>
        </w:rPr>
        <w:t>f</w:t>
      </w:r>
      <w:r w:rsidRPr="00423539">
        <w:t>).</w:t>
      </w:r>
    </w:p>
    <w:p w:rsidR="00423539" w:rsidRPr="00423539" w:rsidRDefault="00423539" w:rsidP="00423539">
      <w:pPr>
        <w:pStyle w:val="a3"/>
        <w:numPr>
          <w:ilvl w:val="0"/>
          <w:numId w:val="23"/>
        </w:numPr>
      </w:pPr>
      <w:r w:rsidRPr="00423539">
        <w:t>Анализ полученных результатов и при необходимости выбор нового значения порядка </w:t>
      </w:r>
      <w:r w:rsidRPr="00423539">
        <w:rPr>
          <w:i/>
          <w:iCs/>
        </w:rPr>
        <w:t>р</w:t>
      </w:r>
      <w:r w:rsidRPr="00423539">
        <w:t> (т. е. переход обратно к шагу 2).</w:t>
      </w:r>
    </w:p>
    <w:p w:rsidR="00423539" w:rsidRPr="00423539" w:rsidRDefault="00423539" w:rsidP="00423539">
      <w:r w:rsidRPr="00423539">
        <w:t>Последний из этапов выполняется до тех пор, пока не будет достигнут приемлемый компромисс между частотным разрешением СПМ и дисперсией получаемых спектральных оценок. Чем больше выбранная величина порядка </w:t>
      </w:r>
      <w:r w:rsidRPr="00423539">
        <w:rPr>
          <w:i/>
          <w:iCs/>
        </w:rPr>
        <w:t>р</w:t>
      </w:r>
      <w:r w:rsidRPr="00423539">
        <w:t>, тем выше разрешение получаемой оценки СПМ (т. е. возможность различения близких по частоте составляющих), но при этом большим оказывается и разброс спектральных оценок, т. с. статистическая устойчивость результатов анализа снижается. Как видим, применение данных методов предполагает необходимость контроля результатов человеком-исследователем, что является одним из главных недостатков параметрических методов.</w:t>
      </w:r>
    </w:p>
    <w:p w:rsidR="00423539" w:rsidRPr="00423539" w:rsidRDefault="00423539" w:rsidP="00423539">
      <w:r>
        <w:t xml:space="preserve">На рис </w:t>
      </w:r>
      <w:r w:rsidRPr="00423539">
        <w:t>показан фрагмент сигнала ЭЭГ и примеры оценок СПМ, рассчитанных альтернативными методами. Как можно видеть, полученные оценки СПМ существенно отличаются друг от друга. В то же время, на каждом из графиков отчетливо виден пик на частоте чуть выше 10 Гц, соответствующий a-ритму. Необходимо отметить, что хотя высота пиков на графиках СПМ различна, суммарная мощность, равная площади под кривой СПМ, во всех случаях одна и та же.</w:t>
      </w:r>
    </w:p>
    <w:p w:rsidR="008A0766" w:rsidRPr="008A0766" w:rsidRDefault="008A0766" w:rsidP="008A0766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56100" cy="4157980"/>
            <wp:effectExtent l="0" t="0" r="6350" b="0"/>
            <wp:docPr id="79" name="Рисунок 79" descr="https://cmi.to/wp-content/uploads/2019/10/matanaliz_signalov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mi.to/wp-content/uploads/2019/10/matanaliz_signalov8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66" w:rsidRPr="008A0766" w:rsidRDefault="008A0766" w:rsidP="008A0766">
      <w:r w:rsidRPr="008A0766">
        <w:t>Пример расчета СПМ альтернативными методами спектрального анализа</w:t>
      </w:r>
      <w:r>
        <w:t xml:space="preserve">. </w:t>
      </w:r>
      <w:r w:rsidRPr="008A0766">
        <w:t>а) фрагмент ЭЭГ, содержащий выраженный n-ритм; б) СПМ. рассчитанная периодограммным методом; в) СПМ, рассчитанная методом Уэлча; г) СПМ, рассчитанная АР методом с порядком, равным 8; д) СПМ, рассчитанная АР методом с порядком, равным 15</w:t>
      </w:r>
    </w:p>
    <w:p w:rsidR="005E2078" w:rsidRPr="005E2078" w:rsidRDefault="005E2078" w:rsidP="005E2078">
      <w:r w:rsidRPr="005E207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табл. дана сравнительная характеристика методов на основе ДПФ и параметрических </w:t>
      </w:r>
      <w:r w:rsidRPr="005E2078">
        <w:t>методов. В практических задачах выбор конкретного метода расчета спектральных оценок необходимо осуществлять, учитывая как частотные свойства сигнала, так и конечные цели и условия анализа сигнала.</w:t>
      </w:r>
    </w:p>
    <w:p w:rsidR="005E2078" w:rsidRPr="005E2078" w:rsidRDefault="005E2078" w:rsidP="005E2078">
      <w:r>
        <w:t xml:space="preserve">Таблица. </w:t>
      </w:r>
      <w:r w:rsidRPr="005E2078">
        <w:t>Сравнение альтернативных методов спектрального анализа</w:t>
      </w:r>
    </w:p>
    <w:tbl>
      <w:tblPr>
        <w:tblStyle w:val="af9"/>
        <w:tblW w:w="9072" w:type="dxa"/>
        <w:tblLook w:val="04A0" w:firstRow="1" w:lastRow="0" w:firstColumn="1" w:lastColumn="0" w:noHBand="0" w:noVBand="1"/>
      </w:tblPr>
      <w:tblGrid>
        <w:gridCol w:w="1394"/>
        <w:gridCol w:w="3332"/>
        <w:gridCol w:w="4346"/>
      </w:tblGrid>
      <w:tr w:rsidR="005E2078" w:rsidRPr="005E2078" w:rsidTr="005E2078">
        <w:tc>
          <w:tcPr>
            <w:tcW w:w="0" w:type="auto"/>
            <w:vMerge w:val="restart"/>
            <w:hideMark/>
          </w:tcPr>
          <w:p w:rsidR="005E2078" w:rsidRPr="005E2078" w:rsidRDefault="005E2078" w:rsidP="005E2078">
            <w:pPr>
              <w:spacing w:after="200" w:line="276" w:lineRule="auto"/>
            </w:pPr>
          </w:p>
        </w:tc>
        <w:tc>
          <w:tcPr>
            <w:tcW w:w="0" w:type="auto"/>
            <w:gridSpan w:val="2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Методы спектрального анализа</w:t>
            </w:r>
          </w:p>
        </w:tc>
      </w:tr>
      <w:tr w:rsidR="005E2078" w:rsidRPr="005E2078" w:rsidTr="005E2078">
        <w:tc>
          <w:tcPr>
            <w:tcW w:w="0" w:type="auto"/>
            <w:vMerge/>
            <w:hideMark/>
          </w:tcPr>
          <w:p w:rsidR="005E2078" w:rsidRPr="005E2078" w:rsidRDefault="005E2078" w:rsidP="005E2078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Классические (на основе ДПФ)</w:t>
            </w:r>
          </w:p>
        </w:tc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Параметрические (авторегрессионные)</w:t>
            </w:r>
          </w:p>
        </w:tc>
      </w:tr>
      <w:tr w:rsidR="005E2078" w:rsidRPr="005E2078" w:rsidTr="005E2078"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Достоинства</w:t>
            </w:r>
          </w:p>
        </w:tc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Математическая простота. Обратимость ДПФ.</w:t>
            </w:r>
          </w:p>
        </w:tc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Более реалистические, чем в случае классических методов, предположения о сигнале за пределами анализируемого фрагмента. Возможность анализа спектра по относительно коротким фрагментам сигнала.</w:t>
            </w:r>
          </w:p>
        </w:tc>
      </w:tr>
      <w:tr w:rsidR="005E2078" w:rsidRPr="005E2078" w:rsidTr="005E2078"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>Недостатки</w:t>
            </w:r>
          </w:p>
        </w:tc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t xml:space="preserve">Появление спектральной утечки вследствие предполагаемой периодичности сигнала (т. е. нереалистического </w:t>
            </w:r>
            <w:r w:rsidRPr="005E2078">
              <w:lastRenderedPageBreak/>
              <w:t>предположения о сигнале за пределами анализируемого фрагмента). Необходимость наличия относительно продолжительного фрагмента сигнала.</w:t>
            </w:r>
          </w:p>
        </w:tc>
        <w:tc>
          <w:tcPr>
            <w:tcW w:w="0" w:type="auto"/>
            <w:hideMark/>
          </w:tcPr>
          <w:p w:rsidR="005E2078" w:rsidRPr="005E2078" w:rsidRDefault="005E2078" w:rsidP="005E2078">
            <w:pPr>
              <w:spacing w:after="200" w:line="276" w:lineRule="auto"/>
            </w:pPr>
            <w:r w:rsidRPr="005E2078">
              <w:lastRenderedPageBreak/>
              <w:t>Математическая сложность. Необратимость спектра. Необходимость субъективного выбора порядка АР модели.</w:t>
            </w:r>
          </w:p>
        </w:tc>
      </w:tr>
    </w:tbl>
    <w:p w:rsidR="00C04012" w:rsidRDefault="00C04012" w:rsidP="00C04012">
      <w:pPr>
        <w:pStyle w:val="2"/>
      </w:pPr>
      <w:r>
        <w:lastRenderedPageBreak/>
        <w:t>Взаимная спектральная плотность мощности и функция когерентности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Взаимосвязь колебательных процессов, присутствующих в двух одновременно наблюдаемых сигналах, наиболее полно позволяет отразить их взаимный спектр, который содержит информацию как о мощности совместных колебаний, так и о фазовых сдвигах между колебаниями с одинаковыми частотами</w:t>
      </w:r>
      <w:r>
        <w:rPr>
          <w:rFonts w:ascii="Arial" w:hAnsi="Arial" w:cs="Arial"/>
          <w:color w:val="222222"/>
          <w:sz w:val="21"/>
          <w:szCs w:val="21"/>
        </w:rPr>
        <w:t>. Функция взаимной спектраль</w:t>
      </w:r>
      <w:r>
        <w:rPr>
          <w:rFonts w:ascii="Arial" w:hAnsi="Arial" w:cs="Arial"/>
          <w:color w:val="222222"/>
          <w:sz w:val="21"/>
          <w:szCs w:val="21"/>
        </w:rPr>
        <w:t>ной плотности мощности (ВСПМ) может быть получена как преобразование Фурье от взаимной корреляционной функции (ВКФ) двух сигналов: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xy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) = FT|С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ху</w:t>
      </w:r>
      <w:r>
        <w:rPr>
          <w:rFonts w:ascii="Arial" w:hAnsi="Arial" w:cs="Arial"/>
          <w:color w:val="222222"/>
          <w:sz w:val="21"/>
          <w:szCs w:val="21"/>
        </w:rPr>
        <w:t>(τ)| = X* 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) Y(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где p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xy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) — значение ВСПМ сигналов </w:t>
      </w:r>
      <w:r>
        <w:rPr>
          <w:rStyle w:val="a5"/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a5"/>
          <w:rFonts w:ascii="Arial" w:hAnsi="Arial" w:cs="Arial"/>
          <w:color w:val="222222"/>
          <w:sz w:val="21"/>
          <w:szCs w:val="21"/>
        </w:rPr>
        <w:t>у</w:t>
      </w:r>
      <w:r>
        <w:rPr>
          <w:rFonts w:ascii="Arial" w:hAnsi="Arial" w:cs="Arial"/>
          <w:color w:val="222222"/>
          <w:sz w:val="21"/>
          <w:szCs w:val="21"/>
        </w:rPr>
        <w:t> для частоты</w:t>
      </w:r>
      <w:r w:rsidR="00BB57AC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, С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ху</w:t>
      </w:r>
      <w:r>
        <w:rPr>
          <w:rFonts w:ascii="Arial" w:hAnsi="Arial" w:cs="Arial"/>
          <w:color w:val="222222"/>
          <w:sz w:val="21"/>
          <w:szCs w:val="21"/>
        </w:rPr>
        <w:t>(τ) — ВКФ для временного сдвига τ, а X(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) и Y(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) преобразования Фурье для соответствующих сигналов.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На практике при цифровом анализе сигналов оценка ВСПМ может быть получена различными способами, из которых наиболее известны следующие ]:</w:t>
      </w:r>
    </w:p>
    <w:p w:rsidR="00C04012" w:rsidRDefault="00C04012" w:rsidP="00C0401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Непосредственное вычисление ВСПМ по ДПФ двух синхронно снятых дискретных выборок сигналов x(n) и у(п), где n = 0, 1, …, N-1.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Если ДПФ сигналов определены как</w:t>
      </w:r>
    </w:p>
    <w:p w:rsidR="00C04012" w:rsidRDefault="00AE286F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72875B90" wp14:editId="55EA6A0C">
            <wp:extent cx="2886075" cy="4286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12">
        <w:rPr>
          <w:rFonts w:ascii="Arial" w:hAnsi="Arial" w:cs="Arial"/>
          <w:color w:val="222222"/>
          <w:sz w:val="21"/>
          <w:szCs w:val="21"/>
        </w:rPr>
        <w:t>, </w:t>
      </w:r>
      <w:r w:rsidR="00C04012">
        <w:rPr>
          <w:rStyle w:val="a5"/>
          <w:rFonts w:ascii="Arial" w:hAnsi="Arial" w:cs="Arial"/>
          <w:color w:val="222222"/>
          <w:sz w:val="21"/>
          <w:szCs w:val="21"/>
        </w:rPr>
        <w:t>k</w:t>
      </w:r>
      <w:r w:rsidR="00C04012">
        <w:rPr>
          <w:rFonts w:ascii="Arial" w:hAnsi="Arial" w:cs="Arial"/>
          <w:color w:val="222222"/>
          <w:sz w:val="21"/>
          <w:szCs w:val="21"/>
        </w:rPr>
        <w:t> = 0, …. , N-1</w:t>
      </w:r>
    </w:p>
    <w:p w:rsidR="00C04012" w:rsidRDefault="00AE286F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610CB710" wp14:editId="3FD7C49E">
            <wp:extent cx="2857500" cy="4000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12">
        <w:rPr>
          <w:rFonts w:ascii="Arial" w:hAnsi="Arial" w:cs="Arial"/>
          <w:color w:val="222222"/>
          <w:sz w:val="21"/>
          <w:szCs w:val="21"/>
        </w:rPr>
        <w:t>, </w:t>
      </w:r>
      <w:r w:rsidR="00C04012">
        <w:rPr>
          <w:rStyle w:val="a5"/>
          <w:rFonts w:ascii="Arial" w:hAnsi="Arial" w:cs="Arial"/>
          <w:color w:val="222222"/>
          <w:sz w:val="21"/>
          <w:szCs w:val="21"/>
        </w:rPr>
        <w:t>k</w:t>
      </w:r>
      <w:r w:rsidR="00C04012">
        <w:rPr>
          <w:rFonts w:ascii="Arial" w:hAnsi="Arial" w:cs="Arial"/>
          <w:color w:val="222222"/>
          <w:sz w:val="21"/>
          <w:szCs w:val="21"/>
        </w:rPr>
        <w:t> = 0, …. , N-1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то оценка ВСПМ может быть рассчитана как</w:t>
      </w:r>
    </w:p>
    <w:p w:rsidR="00C04012" w:rsidRDefault="004E5414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36A88BD0" wp14:editId="0EBB4CE4">
            <wp:extent cx="2200275" cy="4286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12">
        <w:rPr>
          <w:rFonts w:ascii="Arial" w:hAnsi="Arial" w:cs="Arial"/>
          <w:color w:val="222222"/>
          <w:sz w:val="21"/>
          <w:szCs w:val="21"/>
        </w:rPr>
        <w:t>, </w:t>
      </w:r>
      <w:r w:rsidR="00C04012">
        <w:rPr>
          <w:rStyle w:val="a5"/>
          <w:rFonts w:ascii="Arial" w:hAnsi="Arial" w:cs="Arial"/>
          <w:color w:val="222222"/>
          <w:sz w:val="21"/>
          <w:szCs w:val="21"/>
        </w:rPr>
        <w:t>k</w:t>
      </w:r>
      <w:r w:rsidR="00C04012">
        <w:rPr>
          <w:rFonts w:ascii="Arial" w:hAnsi="Arial" w:cs="Arial"/>
          <w:color w:val="222222"/>
          <w:sz w:val="21"/>
          <w:szCs w:val="21"/>
        </w:rPr>
        <w:t> = 0, …. , N-1</w:t>
      </w:r>
    </w:p>
    <w:p w:rsidR="00C04012" w:rsidRDefault="00C04012" w:rsidP="00C0401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Получение оценки </w:t>
      </w:r>
      <w:r w:rsidRPr="001D0A60">
        <w:rPr>
          <w:rFonts w:ascii="Arial" w:hAnsi="Arial" w:cs="Arial"/>
          <w:b/>
          <w:color w:val="333333"/>
          <w:sz w:val="21"/>
          <w:szCs w:val="21"/>
        </w:rPr>
        <w:t>ВСПМ</w:t>
      </w:r>
      <w:r>
        <w:rPr>
          <w:rFonts w:ascii="Arial" w:hAnsi="Arial" w:cs="Arial"/>
          <w:color w:val="333333"/>
          <w:sz w:val="21"/>
          <w:szCs w:val="21"/>
        </w:rPr>
        <w:t xml:space="preserve"> как </w:t>
      </w:r>
      <w:r w:rsidRPr="001D0A60">
        <w:rPr>
          <w:rFonts w:ascii="Arial" w:hAnsi="Arial" w:cs="Arial"/>
          <w:b/>
          <w:color w:val="333333"/>
          <w:sz w:val="21"/>
          <w:szCs w:val="21"/>
        </w:rPr>
        <w:t>ДПФ</w:t>
      </w:r>
      <w:r>
        <w:rPr>
          <w:rFonts w:ascii="Arial" w:hAnsi="Arial" w:cs="Arial"/>
          <w:color w:val="333333"/>
          <w:sz w:val="21"/>
          <w:szCs w:val="21"/>
        </w:rPr>
        <w:t xml:space="preserve"> от оценки </w:t>
      </w:r>
      <w:r w:rsidRPr="001D0A60">
        <w:rPr>
          <w:rFonts w:ascii="Arial" w:hAnsi="Arial" w:cs="Arial"/>
          <w:b/>
          <w:color w:val="333333"/>
          <w:sz w:val="21"/>
          <w:szCs w:val="21"/>
        </w:rPr>
        <w:t>ВКФ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этом случае сначала вычисляется смещенная оценка взаимной корреляционной функции двух сигналов:</w:t>
      </w:r>
    </w:p>
    <w:p w:rsidR="00C04012" w:rsidRDefault="004E5414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7F73169A" wp14:editId="75267585">
            <wp:extent cx="5936615" cy="778763"/>
            <wp:effectExtent l="0" t="0" r="6985" b="254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где m — значение сдвига, а σ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х</w:t>
      </w:r>
      <w:r>
        <w:rPr>
          <w:rFonts w:ascii="Arial" w:hAnsi="Arial" w:cs="Arial"/>
          <w:color w:val="222222"/>
          <w:sz w:val="21"/>
          <w:szCs w:val="21"/>
        </w:rPr>
        <w:t> и σ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у</w:t>
      </w:r>
      <w:r>
        <w:rPr>
          <w:rFonts w:ascii="Arial" w:hAnsi="Arial" w:cs="Arial"/>
          <w:color w:val="222222"/>
          <w:sz w:val="21"/>
          <w:szCs w:val="21"/>
        </w:rPr>
        <w:t> — стандартные отклонения соответствующих сигналов. Тогда оценка ВСПМ может быть рассчитана по формуле:</w:t>
      </w:r>
    </w:p>
    <w:p w:rsidR="00C04012" w:rsidRDefault="001D0A60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04240E61" wp14:editId="4CEB0710">
            <wp:extent cx="3286125" cy="5429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12">
        <w:rPr>
          <w:rFonts w:ascii="Arial" w:hAnsi="Arial" w:cs="Arial"/>
          <w:color w:val="222222"/>
          <w:sz w:val="21"/>
          <w:szCs w:val="21"/>
        </w:rPr>
        <w:t> , </w:t>
      </w:r>
      <w:r w:rsidR="00C04012">
        <w:rPr>
          <w:rStyle w:val="a5"/>
          <w:rFonts w:ascii="Arial" w:hAnsi="Arial" w:cs="Arial"/>
          <w:color w:val="222222"/>
          <w:sz w:val="21"/>
          <w:szCs w:val="21"/>
        </w:rPr>
        <w:t>k</w:t>
      </w:r>
      <w:r w:rsidR="00C04012">
        <w:rPr>
          <w:rFonts w:ascii="Arial" w:hAnsi="Arial" w:cs="Arial"/>
          <w:color w:val="222222"/>
          <w:sz w:val="21"/>
          <w:szCs w:val="21"/>
        </w:rPr>
        <w:t> = 0, …. , 2(N-1)</w:t>
      </w:r>
    </w:p>
    <w:p w:rsidR="00C04012" w:rsidRDefault="00C04012" w:rsidP="00C0401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Расчет оценки ВСПМ с использованием одного из распростра ценных методов практического спектрального анализа — периодограммного метода Уэлча, который включает следующие этапы:</w:t>
      </w:r>
    </w:p>
    <w:p w:rsidR="00C04012" w:rsidRDefault="00C04012" w:rsidP="00C0401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Разбиение анализируемых фрагментов на перекрывающиеся сегменты одинаковой длительности.</w:t>
      </w:r>
    </w:p>
    <w:p w:rsidR="00C04012" w:rsidRDefault="00C04012" w:rsidP="00C0401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Вычисление ВСПМ для каждого из сегментов.</w:t>
      </w:r>
    </w:p>
    <w:p w:rsidR="00C04012" w:rsidRDefault="00C04012" w:rsidP="00C0401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Усреднение ВСПМ по всем сегментам.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Далее для любого из трех методов модуль ВСПМ и ее аргумент (взаимный фазовый спектр, ВФС) могут быть рассчитаны по формулам</w:t>
      </w:r>
    </w:p>
    <w:p w:rsidR="00C04012" w:rsidRDefault="001D0A60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19DA6FEB" wp14:editId="6C045D04">
            <wp:extent cx="4495800" cy="10668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Полученное значение |Р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xy</w:t>
      </w:r>
      <w:r>
        <w:rPr>
          <w:rFonts w:ascii="Arial" w:hAnsi="Arial" w:cs="Arial"/>
          <w:color w:val="222222"/>
          <w:sz w:val="21"/>
          <w:szCs w:val="21"/>
        </w:rPr>
        <w:t xml:space="preserve">(k)| имеет размерность произведения размерностей обоих сигналов, а значение </w:t>
      </w:r>
      <w:r>
        <w:rPr>
          <w:rFonts w:ascii="Cambria Math" w:hAnsi="Cambria Math" w:cs="Cambria Math"/>
          <w:color w:val="222222"/>
          <w:sz w:val="21"/>
          <w:szCs w:val="21"/>
        </w:rPr>
        <w:t>∠</w:t>
      </w:r>
      <w:r>
        <w:rPr>
          <w:rFonts w:ascii="Arial" w:hAnsi="Arial" w:cs="Arial"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xy</w:t>
      </w:r>
      <w:r>
        <w:rPr>
          <w:rFonts w:ascii="Arial" w:hAnsi="Arial" w:cs="Arial"/>
          <w:color w:val="222222"/>
          <w:sz w:val="21"/>
          <w:szCs w:val="21"/>
        </w:rPr>
        <w:t>(k) выражается в радианах. Обычно бывает удобнее представлять фазовый сдвиг в градусах: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Cambria Math" w:hAnsi="Cambria Math" w:cs="Cambria Math"/>
          <w:color w:val="222222"/>
          <w:sz w:val="21"/>
          <w:szCs w:val="21"/>
        </w:rPr>
        <w:t>∠</w:t>
      </w:r>
      <w:r>
        <w:rPr>
          <w:rFonts w:ascii="Arial" w:hAnsi="Arial" w:cs="Arial"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xy</w:t>
      </w:r>
      <w:r>
        <w:rPr>
          <w:rFonts w:ascii="Arial" w:hAnsi="Arial" w:cs="Arial"/>
          <w:color w:val="222222"/>
          <w:sz w:val="16"/>
          <w:szCs w:val="16"/>
          <w:vertAlign w:val="superscript"/>
        </w:rPr>
        <w:t>0</w:t>
      </w:r>
      <w:r>
        <w:rPr>
          <w:rFonts w:ascii="Arial" w:hAnsi="Arial" w:cs="Arial"/>
          <w:color w:val="222222"/>
          <w:sz w:val="21"/>
          <w:szCs w:val="21"/>
        </w:rPr>
        <w:t xml:space="preserve">(k)= </w:t>
      </w:r>
      <w:r>
        <w:rPr>
          <w:rFonts w:ascii="Cambria Math" w:hAnsi="Cambria Math" w:cs="Cambria Math"/>
          <w:color w:val="222222"/>
          <w:sz w:val="21"/>
          <w:szCs w:val="21"/>
        </w:rPr>
        <w:t>∠</w:t>
      </w:r>
      <w:r>
        <w:rPr>
          <w:rFonts w:ascii="Arial" w:hAnsi="Arial" w:cs="Arial"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xy</w:t>
      </w:r>
      <w:r>
        <w:rPr>
          <w:rFonts w:ascii="Arial" w:hAnsi="Arial" w:cs="Arial"/>
          <w:color w:val="222222"/>
          <w:sz w:val="21"/>
          <w:szCs w:val="21"/>
        </w:rPr>
        <w:t>(k) 180°/π.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Временной сдвиг между сигналами для какой-либо определенной частоты 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Style w:val="a5"/>
          <w:rFonts w:ascii="Arial" w:hAnsi="Arial" w:cs="Arial"/>
          <w:color w:val="222222"/>
          <w:sz w:val="16"/>
          <w:szCs w:val="16"/>
          <w:vertAlign w:val="subscript"/>
        </w:rPr>
        <w:t>k</w:t>
      </w:r>
      <w:r>
        <w:rPr>
          <w:rFonts w:ascii="Arial" w:hAnsi="Arial" w:cs="Arial"/>
          <w:color w:val="222222"/>
          <w:sz w:val="21"/>
          <w:szCs w:val="21"/>
        </w:rPr>
        <w:t> = </w:t>
      </w:r>
      <w:r>
        <w:rPr>
          <w:rStyle w:val="a5"/>
          <w:rFonts w:ascii="Arial" w:hAnsi="Arial" w:cs="Arial"/>
          <w:color w:val="222222"/>
          <w:sz w:val="21"/>
          <w:szCs w:val="21"/>
        </w:rPr>
        <w:t>kf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д</w:t>
      </w:r>
      <w:r>
        <w:rPr>
          <w:rFonts w:ascii="Arial" w:hAnsi="Arial" w:cs="Arial"/>
          <w:color w:val="222222"/>
          <w:sz w:val="21"/>
          <w:szCs w:val="21"/>
        </w:rPr>
        <w:t>/N (где </w:t>
      </w:r>
      <w:r>
        <w:rPr>
          <w:rStyle w:val="a5"/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16"/>
          <w:szCs w:val="16"/>
          <w:vertAlign w:val="subscript"/>
        </w:rPr>
        <w:t>д</w:t>
      </w:r>
      <w:r>
        <w:rPr>
          <w:rFonts w:ascii="Arial" w:hAnsi="Arial" w:cs="Arial"/>
          <w:color w:val="222222"/>
          <w:sz w:val="21"/>
          <w:szCs w:val="21"/>
        </w:rPr>
        <w:t> — частота дискретизации, а N — число элементов ДПФ) может быть определен как</w:t>
      </w:r>
    </w:p>
    <w:p w:rsidR="00C04012" w:rsidRDefault="00C54D6C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164BF45E" wp14:editId="0FFD9378">
            <wp:extent cx="1933575" cy="50482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12">
        <w:rPr>
          <w:rFonts w:ascii="Arial" w:hAnsi="Arial" w:cs="Arial"/>
          <w:color w:val="222222"/>
          <w:sz w:val="21"/>
          <w:szCs w:val="21"/>
        </w:rPr>
        <w:t>если ВФС выражен в радианах, или</w:t>
      </w:r>
    </w:p>
    <w:p w:rsidR="00C04012" w:rsidRDefault="00CE76E6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54079D6" wp14:editId="358EBE01">
            <wp:extent cx="1905000" cy="5524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C04012">
        <w:rPr>
          <w:rFonts w:ascii="Arial" w:hAnsi="Arial" w:cs="Arial"/>
          <w:color w:val="222222"/>
          <w:sz w:val="21"/>
          <w:szCs w:val="21"/>
        </w:rPr>
        <w:t>если ВФС выражен в градусах.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Важно отметить, что порядок вычисления взаимного спектра влияет на знак получаемого фазового сдвига. Положительным значениям фазы будет соответствовать запаздывание первого их сигналов относительно второго и наоборот.</w:t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Помимо ВСПМ часто рассматривается </w:t>
      </w:r>
      <w:r w:rsidRPr="00CE76E6">
        <w:rPr>
          <w:rFonts w:ascii="Arial" w:hAnsi="Arial" w:cs="Arial"/>
          <w:b/>
          <w:color w:val="222222"/>
          <w:sz w:val="21"/>
          <w:szCs w:val="21"/>
        </w:rPr>
        <w:t>функция когерентности</w:t>
      </w:r>
      <w:r>
        <w:rPr>
          <w:rFonts w:ascii="Arial" w:hAnsi="Arial" w:cs="Arial"/>
          <w:color w:val="222222"/>
          <w:sz w:val="21"/>
          <w:szCs w:val="21"/>
        </w:rPr>
        <w:t>, определяемая выражением :</w:t>
      </w:r>
    </w:p>
    <w:p w:rsidR="00C04012" w:rsidRDefault="00CE76E6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71787EB0" wp14:editId="6043B92F">
            <wp:extent cx="2305050" cy="6953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2" w:rsidRDefault="00C04012" w:rsidP="00C04012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Функция когерентности представляет собой нормированный вариант ВСПМ, и ее модуль может принимать значения не более единицы. Эго может оказаться удобным для оценки относительной степени взаимосвязанности двух процессов на определенной частоте.</w:t>
      </w:r>
    </w:p>
    <w:p w:rsidR="00C04012" w:rsidRDefault="00C04012" w:rsidP="00C04012">
      <w:pPr>
        <w:pStyle w:val="2"/>
      </w:pPr>
      <w:r>
        <w:t>Применение методов спектрального оценивания при анализе биомедицинских сигналов</w:t>
      </w:r>
    </w:p>
    <w:p w:rsidR="00C04012" w:rsidRDefault="00C04012" w:rsidP="00C04012">
      <w:r>
        <w:t>Методы спектрального анализа находят широкое применение для исследования частотного состава таких биомедицинских сигналов как</w:t>
      </w:r>
    </w:p>
    <w:p w:rsidR="00C04012" w:rsidRDefault="00C04012" w:rsidP="00C04012">
      <w:r>
        <w:t>электрокардиограмма, электроэнцефалограмма, электромиограмма, фонокардиограмма и ряда других</w:t>
      </w:r>
    </w:p>
    <w:p w:rsidR="00C04012" w:rsidRDefault="00C04012" w:rsidP="00C04012">
      <w:r>
        <w:t>Рассмотрим пример использования данных методов для анализа ЭЭГ, являющейся записью электрических потенциалов мозга, снимаемых с поверхности головы человека. Выделяют четыре основных ритма ЭЭГ:</w:t>
      </w:r>
    </w:p>
    <w:p w:rsidR="00C04012" w:rsidRPr="00C04012" w:rsidRDefault="00C04012" w:rsidP="00C04012">
      <w:pPr>
        <w:pStyle w:val="a3"/>
        <w:numPr>
          <w:ilvl w:val="0"/>
          <w:numId w:val="29"/>
        </w:numPr>
        <w:rPr>
          <w:color w:val="333333"/>
        </w:rPr>
      </w:pPr>
      <w:r w:rsidRPr="00C04012">
        <w:rPr>
          <w:color w:val="333333"/>
        </w:rPr>
        <w:t>δ (дельта)    с частотой 0,5-3 Гц и амплитудой 40 300 мкВ;</w:t>
      </w:r>
    </w:p>
    <w:p w:rsidR="00C04012" w:rsidRPr="00C04012" w:rsidRDefault="00C04012" w:rsidP="00C04012">
      <w:pPr>
        <w:pStyle w:val="a3"/>
        <w:numPr>
          <w:ilvl w:val="0"/>
          <w:numId w:val="29"/>
        </w:numPr>
        <w:rPr>
          <w:color w:val="333333"/>
        </w:rPr>
      </w:pPr>
      <w:r w:rsidRPr="00C04012">
        <w:rPr>
          <w:color w:val="333333"/>
        </w:rPr>
        <w:t>θ (тета)      с частотой 4-6 Гц и амплитудой 40-300 мкВ;</w:t>
      </w:r>
    </w:p>
    <w:p w:rsidR="00C04012" w:rsidRPr="00C04012" w:rsidRDefault="00C04012" w:rsidP="00C04012">
      <w:pPr>
        <w:pStyle w:val="a3"/>
        <w:numPr>
          <w:ilvl w:val="0"/>
          <w:numId w:val="29"/>
        </w:numPr>
        <w:rPr>
          <w:color w:val="333333"/>
        </w:rPr>
      </w:pPr>
      <w:r w:rsidRPr="00C04012">
        <w:rPr>
          <w:color w:val="333333"/>
        </w:rPr>
        <w:t>α (альфа)     с частотой 8-13 Гц и амплитудой до 100 мкВ;</w:t>
      </w:r>
    </w:p>
    <w:p w:rsidR="00C04012" w:rsidRPr="00C04012" w:rsidRDefault="00C04012" w:rsidP="00C04012">
      <w:pPr>
        <w:pStyle w:val="a3"/>
        <w:numPr>
          <w:ilvl w:val="0"/>
          <w:numId w:val="29"/>
        </w:numPr>
        <w:rPr>
          <w:color w:val="333333"/>
        </w:rPr>
      </w:pPr>
      <w:r w:rsidRPr="00C04012">
        <w:rPr>
          <w:color w:val="333333"/>
        </w:rPr>
        <w:t>β (бета)       с частотой 14 40 Гц и амплитудой до 15 мкВ.</w:t>
      </w:r>
    </w:p>
    <w:p w:rsidR="00C04012" w:rsidRDefault="00C04012" w:rsidP="00C04012">
      <w:r>
        <w:t>Рассчитав спектральную оценку сигнала ЭЭГ, можно получить количественные характеристики каждого из ритмов в отдельности. На рис показан пример получения спектральных оценок для двух синхронно снятых каналов ЭЭГ человека. Справа приведены графики фрагментов сигналов, а слева графики рассчитанных по ним оценок СПМ. Верхние графики соответствуют сигналам с лобной части головы, а нижние — с затылочной. На верхнем правом графике (б) отчетливо виден пик, соответствующий выраженному альфа ритму с частотой около 10 Гц. Этот ритм наблюдается у здоровых людей в состоянии покоя с закрытыми глазами и наиболее сильно проявляется в затылочных отведениях. В то же время в спектре ЭЭГ, снятой с электрода, размещенного в лобной части головы, вклад альфа-ритма на порядок меньше (график г).</w:t>
      </w:r>
    </w:p>
    <w:p w:rsidR="00CE76E6" w:rsidRPr="00CE76E6" w:rsidRDefault="00CE76E6" w:rsidP="00CE76E6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4434205" cy="2501900"/>
            <wp:effectExtent l="0" t="0" r="4445" b="0"/>
            <wp:docPr id="99" name="Рисунок 99" descr="https://cmi.to/wp-content/uploads/2019/10/matanaliz_signalov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cmi.to/wp-content/uploads/2019/10/matanaliz_signalov8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E6" w:rsidRPr="00CE76E6" w:rsidRDefault="00CE76E6" w:rsidP="00CE76E6">
      <w:r w:rsidRPr="00CE76E6">
        <w:t>Фрагменты сигнала ЭЭГ (a, в) и соответствующие им оценки СПЛА (б, г)</w:t>
      </w:r>
    </w:p>
    <w:p w:rsidR="00780CB7" w:rsidRPr="00780CB7" w:rsidRDefault="00780CB7" w:rsidP="00780CB7">
      <w:r w:rsidRPr="00780CB7">
        <w:t>Для получения количественных оценок частотных свойств ЭЭГ по рассчитанной спектральной плотности мощности для заданного частотного диапазона ЭЭГ вычисляются следующие основные численные показатели:</w:t>
      </w:r>
    </w:p>
    <w:p w:rsidR="00780CB7" w:rsidRPr="00780CB7" w:rsidRDefault="00780CB7" w:rsidP="00780CB7">
      <w:pPr>
        <w:pStyle w:val="a3"/>
        <w:numPr>
          <w:ilvl w:val="0"/>
          <w:numId w:val="31"/>
        </w:numPr>
      </w:pPr>
      <w:r w:rsidRPr="00780CB7">
        <w:lastRenderedPageBreak/>
        <w:t>Aср — средняя амплитуда;</w:t>
      </w:r>
    </w:p>
    <w:p w:rsidR="00780CB7" w:rsidRPr="00780CB7" w:rsidRDefault="00780CB7" w:rsidP="00780CB7">
      <w:pPr>
        <w:pStyle w:val="a3"/>
        <w:numPr>
          <w:ilvl w:val="0"/>
          <w:numId w:val="31"/>
        </w:numPr>
      </w:pPr>
      <w:r w:rsidRPr="00780CB7">
        <w:t>Аmах — максимальная амплитуда;</w:t>
      </w:r>
    </w:p>
    <w:p w:rsidR="00780CB7" w:rsidRPr="00780CB7" w:rsidRDefault="00780CB7" w:rsidP="00780CB7">
      <w:pPr>
        <w:pStyle w:val="a3"/>
        <w:numPr>
          <w:ilvl w:val="0"/>
          <w:numId w:val="31"/>
        </w:numPr>
      </w:pPr>
      <w:r w:rsidRPr="00780CB7">
        <w:t>Fcр — средневзвешенная частота;</w:t>
      </w:r>
    </w:p>
    <w:p w:rsidR="00780CB7" w:rsidRPr="00780CB7" w:rsidRDefault="00780CB7" w:rsidP="00780CB7">
      <w:pPr>
        <w:pStyle w:val="a3"/>
        <w:numPr>
          <w:ilvl w:val="0"/>
          <w:numId w:val="31"/>
        </w:numPr>
      </w:pPr>
      <w:r w:rsidRPr="00780CB7">
        <w:t>Fmах — частота максимальной амплитуды спектра.</w:t>
      </w:r>
    </w:p>
    <w:p w:rsidR="00780CB7" w:rsidRPr="00780CB7" w:rsidRDefault="00780CB7" w:rsidP="00780CB7">
      <w:r w:rsidRPr="00780CB7">
        <w:t>Если общее число элементов спектрального разложения равняется N, а частота дискретизации </w:t>
      </w:r>
      <w:r w:rsidRPr="00780CB7">
        <w:rPr>
          <w:i/>
          <w:iCs/>
        </w:rPr>
        <w:t>f</w:t>
      </w:r>
      <w:r w:rsidRPr="00780CB7">
        <w:t>д, то шаг спектра по оси частот составит Δ</w:t>
      </w:r>
      <w:r w:rsidRPr="00780CB7">
        <w:rPr>
          <w:i/>
          <w:iCs/>
        </w:rPr>
        <w:t>f</w:t>
      </w:r>
      <w:r w:rsidRPr="00780CB7">
        <w:t> = </w:t>
      </w:r>
      <w:r w:rsidRPr="00780CB7">
        <w:rPr>
          <w:i/>
          <w:iCs/>
        </w:rPr>
        <w:t>f</w:t>
      </w:r>
      <w:r w:rsidRPr="00780CB7">
        <w:t>д/N. При этом частота, соответствующая элементу спектра с номером k, будет определяться выражением </w:t>
      </w:r>
      <w:r w:rsidRPr="00780CB7">
        <w:rPr>
          <w:i/>
          <w:iCs/>
        </w:rPr>
        <w:t>f</w:t>
      </w:r>
      <w:r w:rsidRPr="00780CB7">
        <w:t>k = </w:t>
      </w:r>
      <w:r w:rsidRPr="00780CB7">
        <w:rPr>
          <w:i/>
          <w:iCs/>
        </w:rPr>
        <w:t>k</w:t>
      </w:r>
      <w:r w:rsidRPr="00780CB7">
        <w:t>•Δ</w:t>
      </w:r>
      <w:r w:rsidRPr="00780CB7">
        <w:rPr>
          <w:i/>
          <w:iCs/>
        </w:rPr>
        <w:t>f</w:t>
      </w:r>
      <w:r w:rsidRPr="00780CB7">
        <w:t>, а соответствующее значение СПМ может быть обозначено как P(</w:t>
      </w:r>
      <w:r w:rsidRPr="00780CB7">
        <w:rPr>
          <w:i/>
          <w:iCs/>
        </w:rPr>
        <w:t>f</w:t>
      </w:r>
      <w:r w:rsidRPr="00780CB7">
        <w:t>k). Если задать границы какого-либо частотного диапазона ЭЭГ номерами соответствующих составляющих спектра </w:t>
      </w:r>
      <w:r w:rsidRPr="00780CB7">
        <w:rPr>
          <w:i/>
          <w:iCs/>
        </w:rPr>
        <w:t>k1</w:t>
      </w:r>
      <w:r w:rsidRPr="00780CB7">
        <w:t> и </w:t>
      </w:r>
      <w:r w:rsidRPr="00780CB7">
        <w:rPr>
          <w:i/>
          <w:iCs/>
        </w:rPr>
        <w:t>k2</w:t>
      </w:r>
      <w:r w:rsidRPr="00780CB7">
        <w:t>, то первые три из перечисленных выше спектральных показателей могут быть рассчитаны по формулам:</w:t>
      </w:r>
    </w:p>
    <w:p w:rsidR="001E3B06" w:rsidRDefault="005E44E7" w:rsidP="002A0EF2">
      <w:r>
        <w:rPr>
          <w:noProof/>
          <w:lang w:eastAsia="ru-RU"/>
        </w:rPr>
        <w:drawing>
          <wp:inline distT="0" distB="0" distL="0" distR="0" wp14:anchorId="1B3B8C69" wp14:editId="7C2660DE">
            <wp:extent cx="5457825" cy="14192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7" w:rsidRPr="005E44E7" w:rsidRDefault="005E44E7" w:rsidP="00DF0A14">
      <w:r w:rsidRPr="005E44E7">
        <w:t>Показатель Fmах определяется как частота, соответствующая значению Аmах.</w:t>
      </w:r>
    </w:p>
    <w:p w:rsidR="005E44E7" w:rsidRPr="005E44E7" w:rsidRDefault="005E44E7" w:rsidP="00DF0A14">
      <w:r w:rsidRPr="005E44E7">
        <w:t>На рис иллюстрируется смысл описанных спектральных показателей для частотного диапазона, соответствующего бета-ритму ЭЭГ (14-40 Гц).</w:t>
      </w:r>
      <w:r w:rsidRPr="00DF0A14">
        <w:t xml:space="preserve"> </w:t>
      </w:r>
      <w:r w:rsidRPr="005E44E7">
        <w:t>Одним из применений частотного анализа ЭЭГ является также автоматический контроль глубины анестезии в ходе хирургических операций.</w:t>
      </w:r>
      <w:r w:rsidRPr="00DF0A14">
        <w:t xml:space="preserve"> </w:t>
      </w:r>
      <w:r w:rsidRPr="005E44E7">
        <w:t>При автоматическом анализе ЭКГ спектральные методы используются для решения целого ряда диагностических задач, в частности: обнаружение опасных аритмий по спектральному описанию электро-кардиосигпала, классификация форм желудочковых комплексов ЭКГ, анализ вариабельности сердечного ритма.</w:t>
      </w:r>
    </w:p>
    <w:p w:rsidR="006519A8" w:rsidRPr="006519A8" w:rsidRDefault="006519A8" w:rsidP="006519A8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4278630" cy="2863850"/>
            <wp:effectExtent l="0" t="0" r="7620" b="0"/>
            <wp:docPr id="101" name="Рисунок 101" descr="https://cmi.to/wp-content/uploads/2019/10/matanaliz_signalov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cmi.to/wp-content/uploads/2019/10/matanaliz_signalov8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A8" w:rsidRPr="006519A8" w:rsidRDefault="006519A8" w:rsidP="006519A8">
      <w:r w:rsidRPr="006519A8">
        <w:t>Иллюстрация расчета спектральных показателей для частотного диапазона, соответствующего бета-ритму ЭЭГ</w:t>
      </w:r>
    </w:p>
    <w:p w:rsidR="00835F31" w:rsidRDefault="00835F31" w:rsidP="00835F31">
      <w:pPr>
        <w:pStyle w:val="1"/>
      </w:pPr>
      <w:r>
        <w:lastRenderedPageBreak/>
        <w:t>Базы данных физиологических сигналов «physionet.org»</w:t>
      </w:r>
    </w:p>
    <w:p w:rsidR="00835F31" w:rsidRPr="00835F31" w:rsidRDefault="00835F31" w:rsidP="00835F31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835F31">
        <w:rPr>
          <w:rFonts w:asciiTheme="minorHAnsi" w:eastAsiaTheme="minorEastAsia" w:hAnsiTheme="minorHAnsi" w:cstheme="minorBidi"/>
          <w:lang w:eastAsia="en-US"/>
        </w:rPr>
        <w:t>Разработчики и производители электронной медицинской аппаратуры, в которой используются различные методы математической обработки и анализа биомедицинских сигналов, постоянно сталкиваются с проблемой получения выборок реальных данных, необходимых как для поддержки работ по созданию алгоритмов и методов анализа, так и для оценки качества разработанных методов.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Примерно начиная с 1970-х годов, специалисты из Массачусетского технологического института (Massachusetts Institute of Technology; MIT, Бостон, США), работая над созданием первых микропроцессорных кардиологических мониторов, осознали необходимость формирования общедоступной базы данных аннотированных записей ЭКГ, которая могла бы послужить основой для разработки, совершенствования и объективного сравнения между собой алгоритмов автоматического анализа сердечного ритма по ЭКГ. Пятилетние усилия в этом направлении завершились в 1980 году созданием базы данных аритмий (М1Т-В1Н Arrhythmia Database), которая за короткое время завоевала репутацию общепринятого стандарта. Вслед за этим одна за другой начали появляться новые базы данных ЭКГ и других физиологических сигналов. К 1999 г. сотрудниками MIT был распространен комплект оптических дисков, содержащих уже 11 подобных коллекций сигналов. Создание портала «PhysioNet Resource» позволило нс только сделать эти базы данных общедоступными, но и открыть возможность для расширения их состава всеми желающими исследователями.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9F083F">
        <w:rPr>
          <w:rFonts w:asciiTheme="minorHAnsi" w:eastAsiaTheme="minorEastAsia" w:hAnsiTheme="minorHAnsi" w:cstheme="minorBidi"/>
          <w:lang w:eastAsia="en-US"/>
        </w:rPr>
        <w:t>Портал «PhysioNet Resource»</w:t>
      </w:r>
      <w:r w:rsidRPr="00AF7E52">
        <w:rPr>
          <w:rFonts w:asciiTheme="minorHAnsi" w:eastAsiaTheme="minorEastAsia" w:hAnsiTheme="minorHAnsi" w:cstheme="minorBidi"/>
          <w:lang w:eastAsia="en-US"/>
        </w:rPr>
        <w:t> включает в себя три основных компонента:</w:t>
      </w:r>
    </w:p>
    <w:p w:rsidR="00AF7E52" w:rsidRPr="00AF7E52" w:rsidRDefault="00AF7E52" w:rsidP="009F083F">
      <w:pPr>
        <w:pStyle w:val="a4"/>
        <w:numPr>
          <w:ilvl w:val="0"/>
          <w:numId w:val="38"/>
        </w:numPr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9F083F">
        <w:rPr>
          <w:rFonts w:asciiTheme="minorHAnsi" w:eastAsiaTheme="minorEastAsia" w:hAnsiTheme="minorHAnsi" w:cstheme="minorBidi"/>
          <w:lang w:eastAsia="en-US"/>
        </w:rPr>
        <w:t>Архив записей сигналов «PhysioBank»</w:t>
      </w:r>
      <w:r w:rsidRPr="00AF7E52">
        <w:rPr>
          <w:rFonts w:asciiTheme="minorHAnsi" w:eastAsiaTheme="minorEastAsia" w:hAnsiTheme="minorHAnsi" w:cstheme="minorBidi"/>
          <w:lang w:eastAsia="en-US"/>
        </w:rPr>
        <w:t>, представляющий собой большой и постоянно расширяющийся набор тщательно аннотированных цифровых записей физиологических сигналов, временных последовательностей и различного вида сопровождающей информации. В настоящее время (2016 год) «PhysioBank» содержит более 60 коллекций кардио-пульмонарных, неврологических и других сигналов как от здоровых пациентов, так и от пациентов, страдающих различными видами заболеваний. В частности, направленность данных коллекций охватывает такие социально значимые медицинские проблемы, как внезапная кардиологическая смерть, застойная сердечная недостаточность, эпилепсия, нарушения походки, апноэ сна и старение.</w:t>
      </w:r>
    </w:p>
    <w:p w:rsidR="00AF7E52" w:rsidRPr="00AF7E52" w:rsidRDefault="00AF7E52" w:rsidP="009F083F">
      <w:pPr>
        <w:pStyle w:val="a4"/>
        <w:numPr>
          <w:ilvl w:val="0"/>
          <w:numId w:val="38"/>
        </w:numPr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9F083F">
        <w:rPr>
          <w:rFonts w:asciiTheme="minorHAnsi" w:eastAsiaTheme="minorEastAsia" w:hAnsiTheme="minorHAnsi" w:cstheme="minorBidi"/>
          <w:lang w:eastAsia="en-US"/>
        </w:rPr>
        <w:t>Библиотека программ «PhysioToolkit»</w:t>
      </w:r>
      <w:r w:rsidRPr="00AF7E52">
        <w:rPr>
          <w:rFonts w:asciiTheme="minorHAnsi" w:eastAsiaTheme="minorEastAsia" w:hAnsiTheme="minorHAnsi" w:cstheme="minorBidi"/>
          <w:lang w:eastAsia="en-US"/>
        </w:rPr>
        <w:t> является обширным и постоянно расширяющимся набором программных средств, предназначенных для обработки и анализа физиологических сигналов, обнаружения значимых с точки зрения физиологии событий, интерактивного отображения и аннотирования сигналов, создания новых баз данных, моделирования физиологических и других сигналов, количественной оценки и сравнения методов анализа сигналов, а также для анализа нестационарных сигналов. Всё программное обеспечение свободно доступно в форме исходных кодов программ на условиях общественной лицензии «GNU» (General Public License, GPL).</w:t>
      </w:r>
    </w:p>
    <w:p w:rsidR="00AF7E52" w:rsidRPr="00AF7E52" w:rsidRDefault="00AF7E52" w:rsidP="009F083F">
      <w:pPr>
        <w:pStyle w:val="a4"/>
        <w:numPr>
          <w:ilvl w:val="0"/>
          <w:numId w:val="38"/>
        </w:numPr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9F083F">
        <w:rPr>
          <w:rFonts w:asciiTheme="minorHAnsi" w:eastAsiaTheme="minorEastAsia" w:hAnsiTheme="minorHAnsi" w:cstheme="minorBidi"/>
          <w:lang w:eastAsia="en-US"/>
        </w:rPr>
        <w:t>Виртуальная лаборатория «PhysioNetWorks»</w:t>
      </w:r>
      <w:r w:rsidRPr="00AF7E52">
        <w:rPr>
          <w:rFonts w:asciiTheme="minorHAnsi" w:eastAsiaTheme="minorEastAsia" w:hAnsiTheme="minorHAnsi" w:cstheme="minorBidi"/>
          <w:lang w:eastAsia="en-US"/>
        </w:rPr>
        <w:t xml:space="preserve"> обеспечивает возможность сотрудничества с коллегами со всего мира в направлении создания, оценки, совершенствования, документирования и подготовки новых данных и программных средств для публикации на портале «PhysioNet Resource». В отличие от остальных двух компонентов портала, доступ в виртуальную лабораторию защищен паролем (который легко может быть получен в </w:t>
      </w:r>
      <w:r w:rsidRPr="00AF7E52">
        <w:rPr>
          <w:rFonts w:asciiTheme="minorHAnsi" w:eastAsiaTheme="minorEastAsia" w:hAnsiTheme="minorHAnsi" w:cstheme="minorBidi"/>
          <w:lang w:eastAsia="en-US"/>
        </w:rPr>
        <w:lastRenderedPageBreak/>
        <w:t>течении нескольких минут). Для участников лаборатории доступны надежные средства сохранения данных, удобные программы для просмотра и аннотирования сигналов, а также возможность интерактивного взаимодействия с более чем 3000 других исследователей.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Все базы данных, размещаемые на портале «PhysioNet Resource», должны быть подготовлены в соответствии со специально разработанным форматом, который предусматривает три вида файлов: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 </w:t>
      </w:r>
      <w:r w:rsidRPr="009F083F">
        <w:rPr>
          <w:rFonts w:asciiTheme="minorHAnsi" w:eastAsiaTheme="minorEastAsia" w:hAnsiTheme="minorHAnsi" w:cstheme="minorBidi"/>
          <w:lang w:eastAsia="en-US"/>
        </w:rPr>
        <w:t>Заголовочные файлы</w:t>
      </w:r>
      <w:r w:rsidRPr="00AF7E52">
        <w:rPr>
          <w:rFonts w:asciiTheme="minorHAnsi" w:eastAsiaTheme="minorEastAsia" w:hAnsiTheme="minorHAnsi" w:cstheme="minorBidi"/>
          <w:lang w:eastAsia="en-US"/>
        </w:rPr>
        <w:t>. Представляют собой небольшие текстовые файлы, которые описывают сигналы (имя или URL файла сигнала, формат хранения, количество и типы сигналов, частота дискретизации, информация о калибровке, характеристики аналого-цифрового преобразования, продолжительность записи и начальное время).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9F083F">
        <w:rPr>
          <w:rFonts w:asciiTheme="minorHAnsi" w:eastAsiaTheme="minorEastAsia" w:hAnsiTheme="minorHAnsi" w:cstheme="minorBidi"/>
          <w:lang w:eastAsia="en-US"/>
        </w:rPr>
        <w:t>Файлы аннотаций</w:t>
      </w:r>
      <w:r w:rsidRPr="00AF7E52">
        <w:rPr>
          <w:rFonts w:asciiTheme="minorHAnsi" w:eastAsiaTheme="minorEastAsia" w:hAnsiTheme="minorHAnsi" w:cstheme="minorBidi"/>
          <w:lang w:eastAsia="en-US"/>
        </w:rPr>
        <w:t>. Содержат набор меток, каждая из которых описывает свойства одного или нескольких сигналов в заданные моменты времени. Метки должны следовать в файле строго в порядке нарастания времени. Информация в файлах аннотаций упакована с использованием специального формата. Поэтому доступ к ней возможен только с помощью специальных программ из библиотеки «PhysioToolkit».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9F083F">
        <w:rPr>
          <w:rFonts w:asciiTheme="minorHAnsi" w:eastAsiaTheme="minorEastAsia" w:hAnsiTheme="minorHAnsi" w:cstheme="minorBidi"/>
          <w:lang w:eastAsia="en-US"/>
        </w:rPr>
        <w:t>Файлы сигналов</w:t>
      </w:r>
      <w:r w:rsidRPr="00AF7E52">
        <w:rPr>
          <w:rFonts w:asciiTheme="minorHAnsi" w:eastAsiaTheme="minorEastAsia" w:hAnsiTheme="minorHAnsi" w:cstheme="minorBidi"/>
          <w:lang w:eastAsia="en-US"/>
        </w:rPr>
        <w:t>. Содержат в бинарном виде цифровые отсчеты сигналов, которые могут быть представлены либо непосредственно значениями отсчетов, либо в одном из предусмотренных форматов упаковки, служащих для сокращения занимаемого объема памяти. Объём файлов сигналов может быть очень велик (до десятков и сотен мегабайт).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Все три вида файлов, относящихся к одной записи сигнала, должны иметь одинаковое имя, но разные расширения. Заголовочные файлы имеют расширение «hea», файлы данных — расширение «dat», а файлы аннотаций могут иметь произвольные расширения, определяемые создателями и пользователями конкретной базы данных. Причём одной и той же записи сигнала могут соответствовать несколько видов файлов аннотаций, что позволяет осуществлять аннотирование записей с различных точек зрения.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 качестве примера рассмотрим описание одной из двухканальных записей ЭКГ из базы данных аритмий «М1Т-В1П Arrhythmia Database». Эта запись в базе данных имеет имя «119». Рассмотрим содержимое заголовочного файла «119.hea»:</w:t>
      </w:r>
    </w:p>
    <w:p w:rsidR="00AF7E52" w:rsidRPr="00AF7E52" w:rsidRDefault="00AF7E52" w:rsidP="00AF7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119 2 360 650000</w:t>
      </w:r>
    </w:p>
    <w:p w:rsidR="00AF7E52" w:rsidRPr="00AF7E52" w:rsidRDefault="00AF7E52" w:rsidP="00AF7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119.dat 212 200 11 1024 825 2943 О MI.II</w:t>
      </w:r>
    </w:p>
    <w:p w:rsidR="00AF7E52" w:rsidRPr="00AF7E52" w:rsidRDefault="00AF7E52" w:rsidP="00AF7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119.dat 212 200 11 1024 930 -26388 О VI</w:t>
      </w:r>
    </w:p>
    <w:p w:rsidR="00AF7E52" w:rsidRPr="00AF7E52" w:rsidRDefault="00AF7E52" w:rsidP="00AF7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# 51 F 1129 654 х2</w:t>
      </w:r>
    </w:p>
    <w:p w:rsidR="00AF7E52" w:rsidRPr="00AF7E52" w:rsidRDefault="00AF7E52" w:rsidP="00AF7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# Pronestyl</w:t>
      </w:r>
    </w:p>
    <w:p w:rsidR="00AF7E52" w:rsidRPr="00AF7E52" w:rsidRDefault="00AF7E52" w:rsidP="00AF7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# The PVCs arc uniform.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 первой строке указано имя записи (119). число каналов сигнала (2), частота дискретизации (360 Гц) и общее число отсчетов сигнала в каждом из каналов (650000).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Во второй и третьей строках содержится информация, относящаяся к сигналам первого и второго каналов соответственно. Например, данные для первого канала, перечисленные во второй строке заголовочного файла имеют следующий смысл: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119.dat — имя файла, в котором содержится сигнал;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212 — обозначение используемого формата упаковки отсчетов сигнала;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200 – масштаб сигнала (число уровней квантования на I мВ);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 разрядность аналого-цифрового преобразования; 1024 уровень нулевой линии дискретизованного сигнала;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825 — значение первого отсчета сигнала по данному каналу;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2943 — контрольная сумма, служащая для проверки ошибок;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 — размер буфера для чтения сигнала (здесь не используется);</w:t>
      </w:r>
    </w:p>
    <w:p w:rsidR="00AF7E52" w:rsidRPr="00AF7E52" w:rsidRDefault="00AF7E52" w:rsidP="00AF7E5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MLII — обозначение отведения ЭКГ (здесь — мониторное отведение II).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Последние три строки заголовочною файла содержат комментарии для данной записи ЭКГ.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 файле с именем «119.dat» сигнал записан в виде последовательности II-битных отсчетов, представляющих собой целые неотрицательные числа, которые могут принимать значения от 0 до 2047. Для пересчета сигнала к общепринятому масштабу в милливольтах необходимо от каждого значения отнять величину указанного в заголовочном файле уровня нулевой линии (1024) и разделить результат на величину масштаба сигнала (400).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Ниже приведены данные из файла аннотаций, относящиеся к показанному на рисунке фрагменту сигнала: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32 +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309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503 V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977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1315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1651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1971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2294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2488 V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2956 N</w:t>
      </w:r>
    </w:p>
    <w:p w:rsidR="00AF7E52" w:rsidRPr="00AF7E52" w:rsidRDefault="00AF7E52" w:rsidP="00AF7E5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3296 N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В первом поле каждой строки указана позиция отмеченной точки сигнала, выраженная в отсчетах (для перехода к времени в секундах это значение надо разделить на частоту дискретизации 360 Гц). Во втором поле каждой строки содержится идентификатор, раскрывающей смысл данной отметки времени. В нашем случае мы имеем три варианта таких идентификаторов:</w:t>
      </w:r>
    </w:p>
    <w:p w:rsidR="00AF7E52" w:rsidRPr="00AF7E52" w:rsidRDefault="00AF7E52" w:rsidP="00AF7E5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 — признак смены ритма (в самом начале записи ставится всегда);</w:t>
      </w:r>
    </w:p>
    <w:p w:rsidR="00AF7E52" w:rsidRPr="00AF7E52" w:rsidRDefault="00AF7E52" w:rsidP="00AF7E5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 — QRS-комплекс фонового ритма (относящийся к «норме»);</w:t>
      </w:r>
    </w:p>
    <w:p w:rsidR="00AF7E52" w:rsidRPr="00AF7E52" w:rsidRDefault="00AF7E52" w:rsidP="00AF7E5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F7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 желудочковый комплекс (желудочковая экстрасистола).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>Отметим, что приведенный пример является очень упрощенной иллюстрацией. В действительности, предлагаемый формат представления данных намного сложнее и обеспечивает пользователю богатый и гибкий набор возможностей. Подробное описание как форматов данных, так и специализированных программ для манипуляций с данными содержится в инструкциях, доступных на портале «PhysioNet Resource».</w:t>
      </w:r>
    </w:p>
    <w:p w:rsidR="00AF7E52" w:rsidRPr="00AF7E52" w:rsidRDefault="00AF7E52" w:rsidP="009F083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lang w:eastAsia="en-US"/>
        </w:rPr>
      </w:pPr>
      <w:r w:rsidRPr="00AF7E52">
        <w:rPr>
          <w:rFonts w:asciiTheme="minorHAnsi" w:eastAsiaTheme="minorEastAsia" w:hAnsiTheme="minorHAnsi" w:cstheme="minorBidi"/>
          <w:lang w:eastAsia="en-US"/>
        </w:rPr>
        <w:t xml:space="preserve">Одной из наиболее важных возможностей, предлагаемых порталом «PhysioNet Resource», является набор функций, позволяющих выполнять сравнение между собой различных алгоритмов обработки и анализа физиологических сигналов. Эта возможность поддерживается специализированным программным обеспечением, свободно доступным на данном сайте. </w:t>
      </w:r>
      <w:r w:rsidRPr="00AF7E52">
        <w:rPr>
          <w:rFonts w:asciiTheme="minorHAnsi" w:eastAsiaTheme="minorEastAsia" w:hAnsiTheme="minorHAnsi" w:cstheme="minorBidi"/>
          <w:lang w:eastAsia="en-US"/>
        </w:rPr>
        <w:lastRenderedPageBreak/>
        <w:t>Сравнение осуществляется путем сопоставления данных, содержащихся в двух файлах аннотаций, из которых один обычно содержит данные верификации (то есть служит эталоном), а другой — выраженные в тех же терминах и представленные в том же формате результаты работы некоторого испытуемого алгоритма. Программы реализуют сравнение информации из пары сравниваемых файлов аннотаций, подсчет ошибок и формирование итоговых таблиц, в которых имеются как сводные результаты по всему используемому набору записей, так и подробная расшифровка для каждой из записей. Анализ получаемых результатов позволяет как получать объективные стандартизованные оценки качества алгоритмов, так и осуществлять целенаправленную работу по совершенствованию программно-алгоритмического обеспечения систем анализа биомедицинских сигналов.</w:t>
      </w:r>
    </w:p>
    <w:p w:rsidR="007B5252" w:rsidRDefault="007C509F" w:rsidP="007C509F">
      <w:pPr>
        <w:pStyle w:val="1"/>
      </w:pPr>
      <w:r>
        <w:t>Задание по ЛР</w:t>
      </w:r>
    </w:p>
    <w:p w:rsidR="007C509F" w:rsidRPr="009F083F" w:rsidRDefault="00CF3C7B" w:rsidP="007C509F">
      <w:pPr>
        <w:rPr>
          <w:lang w:val="en-US"/>
        </w:rPr>
      </w:pPr>
      <w:r>
        <w:t>На</w:t>
      </w:r>
      <w:r w:rsidRPr="009F083F">
        <w:rPr>
          <w:lang w:val="en-US"/>
        </w:rPr>
        <w:t xml:space="preserve"> </w:t>
      </w:r>
      <w:r>
        <w:t>портале</w:t>
      </w:r>
      <w:r w:rsidRPr="009F083F">
        <w:rPr>
          <w:lang w:val="en-US"/>
        </w:rPr>
        <w:t xml:space="preserve"> </w:t>
      </w:r>
      <w:hyperlink r:id="rId39" w:history="1">
        <w:r w:rsidRPr="009F083F">
          <w:rPr>
            <w:rStyle w:val="a7"/>
            <w:lang w:val="en-US"/>
          </w:rPr>
          <w:t>https://physionet.org/</w:t>
        </w:r>
      </w:hyperlink>
      <w:r w:rsidRPr="009F083F">
        <w:rPr>
          <w:lang w:val="en-US"/>
        </w:rPr>
        <w:t xml:space="preserve"> </w:t>
      </w:r>
      <w:r w:rsidR="009F083F">
        <w:t>в</w:t>
      </w:r>
      <w:r w:rsidR="009F083F" w:rsidRPr="009F083F">
        <w:rPr>
          <w:lang w:val="en-US"/>
        </w:rPr>
        <w:t xml:space="preserve"> </w:t>
      </w:r>
      <w:r w:rsidR="009F083F">
        <w:t>разделе</w:t>
      </w:r>
      <w:r w:rsidR="009F083F" w:rsidRPr="009F083F">
        <w:rPr>
          <w:lang w:val="en-US"/>
        </w:rPr>
        <w:t xml:space="preserve"> </w:t>
      </w:r>
      <w:r w:rsidR="009F083F">
        <w:rPr>
          <w:lang w:val="en-US"/>
        </w:rPr>
        <w:t>Data</w:t>
      </w:r>
      <w:r w:rsidR="009F083F" w:rsidRPr="009F083F">
        <w:rPr>
          <w:lang w:val="en-US"/>
        </w:rPr>
        <w:t xml:space="preserve"> </w:t>
      </w:r>
      <w:r w:rsidR="009F083F">
        <w:t>найти</w:t>
      </w:r>
      <w:r w:rsidR="009F083F" w:rsidRPr="009F083F">
        <w:rPr>
          <w:lang w:val="en-US"/>
        </w:rPr>
        <w:t xml:space="preserve"> </w:t>
      </w:r>
      <w:r w:rsidR="009F083F">
        <w:t>раздел</w:t>
      </w:r>
      <w:r w:rsidR="009F083F" w:rsidRPr="009F083F">
        <w:rPr>
          <w:lang w:val="en-US"/>
        </w:rPr>
        <w:t xml:space="preserve"> Neuroelectric and Myoelectric Databases.</w:t>
      </w:r>
    </w:p>
    <w:p w:rsidR="009F083F" w:rsidRDefault="009F083F" w:rsidP="007C509F">
      <w:r>
        <w:t>В</w:t>
      </w:r>
      <w:r w:rsidRPr="009F083F">
        <w:rPr>
          <w:lang w:val="en-US"/>
        </w:rPr>
        <w:t xml:space="preserve"> </w:t>
      </w:r>
      <w:r>
        <w:t>разделе</w:t>
      </w:r>
      <w:r w:rsidRPr="009F083F">
        <w:rPr>
          <w:lang w:val="en-US"/>
        </w:rPr>
        <w:t xml:space="preserve"> </w:t>
      </w:r>
      <w:r w:rsidRPr="009F083F">
        <w:rPr>
          <w:lang w:val="en-US"/>
        </w:rPr>
        <w:t>Neuroelectric and Myoelectric Databases</w:t>
      </w:r>
      <w:r w:rsidRPr="009F083F">
        <w:rPr>
          <w:lang w:val="en-US"/>
        </w:rPr>
        <w:t xml:space="preserve"> </w:t>
      </w:r>
      <w:r>
        <w:t>выбрать</w:t>
      </w:r>
      <w:r w:rsidRPr="009F083F">
        <w:rPr>
          <w:lang w:val="en-US"/>
        </w:rPr>
        <w:t xml:space="preserve"> EEG During Mental Arithmetic Tasks</w:t>
      </w:r>
    </w:p>
    <w:p w:rsidR="009F083F" w:rsidRDefault="009F083F" w:rsidP="007C509F">
      <w:r>
        <w:t xml:space="preserve">Ознакомиться с визуализатором </w:t>
      </w:r>
      <w:r w:rsidRPr="009F083F">
        <w:t>Visualize waveforms</w:t>
      </w:r>
    </w:p>
    <w:p w:rsidR="009F083F" w:rsidRDefault="009F083F" w:rsidP="007C509F">
      <w:r>
        <w:t>На любой из последовательности, выявить все альфа волны (см. 1 часть методички)</w:t>
      </w:r>
    </w:p>
    <w:p w:rsidR="009F083F" w:rsidRDefault="00FE4442" w:rsidP="007C509F">
      <w:r>
        <w:t>Произвести спектральный анализ (см. 2 часть методички)</w:t>
      </w:r>
    </w:p>
    <w:p w:rsidR="00FE4442" w:rsidRPr="009F083F" w:rsidRDefault="00FE4442" w:rsidP="007C509F">
      <w:r>
        <w:t>Сделать выводы о возможности</w:t>
      </w:r>
      <w:bookmarkStart w:id="0" w:name="_GoBack"/>
      <w:bookmarkEnd w:id="0"/>
      <w:r>
        <w:t xml:space="preserve"> использования  ЭЭГ для нейроинтерфейсов.</w:t>
      </w:r>
    </w:p>
    <w:sectPr w:rsidR="00FE4442" w:rsidRPr="009F083F" w:rsidSect="00FF515D">
      <w:headerReference w:type="default" r:id="rId4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BA7" w:rsidRDefault="00546BA7" w:rsidP="00030D54">
      <w:pPr>
        <w:spacing w:after="0" w:line="240" w:lineRule="auto"/>
      </w:pPr>
      <w:r>
        <w:separator/>
      </w:r>
    </w:p>
  </w:endnote>
  <w:endnote w:type="continuationSeparator" w:id="0">
    <w:p w:rsidR="00546BA7" w:rsidRDefault="00546BA7" w:rsidP="0003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BA7" w:rsidRDefault="00546BA7" w:rsidP="00030D54">
      <w:pPr>
        <w:spacing w:after="0" w:line="240" w:lineRule="auto"/>
      </w:pPr>
      <w:r>
        <w:separator/>
      </w:r>
    </w:p>
  </w:footnote>
  <w:footnote w:type="continuationSeparator" w:id="0">
    <w:p w:rsidR="00546BA7" w:rsidRDefault="00546BA7" w:rsidP="0003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102062"/>
      <w:docPartObj>
        <w:docPartGallery w:val="Page Numbers (Top of Page)"/>
        <w:docPartUnique/>
      </w:docPartObj>
    </w:sdtPr>
    <w:sdtContent>
      <w:p w:rsidR="00030D54" w:rsidRDefault="00030D5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A9B">
          <w:rPr>
            <w:noProof/>
          </w:rPr>
          <w:t>28</w:t>
        </w:r>
        <w:r>
          <w:fldChar w:fldCharType="end"/>
        </w:r>
      </w:p>
    </w:sdtContent>
  </w:sdt>
  <w:p w:rsidR="00030D54" w:rsidRDefault="00030D54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C6B"/>
    <w:multiLevelType w:val="multilevel"/>
    <w:tmpl w:val="B07E41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F614BB"/>
    <w:multiLevelType w:val="multilevel"/>
    <w:tmpl w:val="DDAE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6A5085F"/>
    <w:multiLevelType w:val="multilevel"/>
    <w:tmpl w:val="CBE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992422"/>
    <w:multiLevelType w:val="hybridMultilevel"/>
    <w:tmpl w:val="DF240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D7B27"/>
    <w:multiLevelType w:val="hybridMultilevel"/>
    <w:tmpl w:val="CE9A8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D74FF"/>
    <w:multiLevelType w:val="multilevel"/>
    <w:tmpl w:val="33A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61365A"/>
    <w:multiLevelType w:val="multilevel"/>
    <w:tmpl w:val="CF9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0A5AAF"/>
    <w:multiLevelType w:val="hybridMultilevel"/>
    <w:tmpl w:val="86F8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567FE"/>
    <w:multiLevelType w:val="multilevel"/>
    <w:tmpl w:val="8150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657595"/>
    <w:multiLevelType w:val="multilevel"/>
    <w:tmpl w:val="651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DE3287"/>
    <w:multiLevelType w:val="multilevel"/>
    <w:tmpl w:val="619647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D9798E"/>
    <w:multiLevelType w:val="multilevel"/>
    <w:tmpl w:val="404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1763B9"/>
    <w:multiLevelType w:val="multilevel"/>
    <w:tmpl w:val="09E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ED7A3D"/>
    <w:multiLevelType w:val="hybridMultilevel"/>
    <w:tmpl w:val="9BF0C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43767"/>
    <w:multiLevelType w:val="multilevel"/>
    <w:tmpl w:val="5F2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066C2A"/>
    <w:multiLevelType w:val="multilevel"/>
    <w:tmpl w:val="B9E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5579CD"/>
    <w:multiLevelType w:val="multilevel"/>
    <w:tmpl w:val="1EF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071674"/>
    <w:multiLevelType w:val="hybridMultilevel"/>
    <w:tmpl w:val="4C6C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60499"/>
    <w:multiLevelType w:val="multilevel"/>
    <w:tmpl w:val="E3EC5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6F3520"/>
    <w:multiLevelType w:val="multilevel"/>
    <w:tmpl w:val="881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8A1841"/>
    <w:multiLevelType w:val="multilevel"/>
    <w:tmpl w:val="46D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5F52B3"/>
    <w:multiLevelType w:val="multilevel"/>
    <w:tmpl w:val="E22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6864AF"/>
    <w:multiLevelType w:val="multilevel"/>
    <w:tmpl w:val="B22A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04B1F4E"/>
    <w:multiLevelType w:val="multilevel"/>
    <w:tmpl w:val="3E409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4CB3B16"/>
    <w:multiLevelType w:val="hybridMultilevel"/>
    <w:tmpl w:val="E786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F52C9"/>
    <w:multiLevelType w:val="hybridMultilevel"/>
    <w:tmpl w:val="3DDA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536F5"/>
    <w:multiLevelType w:val="multilevel"/>
    <w:tmpl w:val="43D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8B85FB2"/>
    <w:multiLevelType w:val="hybridMultilevel"/>
    <w:tmpl w:val="ED7A2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44E8E"/>
    <w:multiLevelType w:val="multilevel"/>
    <w:tmpl w:val="CBBE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B2B54D4"/>
    <w:multiLevelType w:val="hybridMultilevel"/>
    <w:tmpl w:val="25605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B310C0"/>
    <w:multiLevelType w:val="multilevel"/>
    <w:tmpl w:val="AAE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6E272D"/>
    <w:multiLevelType w:val="multilevel"/>
    <w:tmpl w:val="616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8541AB2"/>
    <w:multiLevelType w:val="multilevel"/>
    <w:tmpl w:val="CEC8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E136D7"/>
    <w:multiLevelType w:val="multilevel"/>
    <w:tmpl w:val="109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6962C4"/>
    <w:multiLevelType w:val="multilevel"/>
    <w:tmpl w:val="99D2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69E52BC"/>
    <w:multiLevelType w:val="multilevel"/>
    <w:tmpl w:val="969A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D27C34"/>
    <w:multiLevelType w:val="multilevel"/>
    <w:tmpl w:val="60E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23"/>
  </w:num>
  <w:num w:numId="5">
    <w:abstractNumId w:val="1"/>
  </w:num>
  <w:num w:numId="6">
    <w:abstractNumId w:val="13"/>
  </w:num>
  <w:num w:numId="7">
    <w:abstractNumId w:val="14"/>
  </w:num>
  <w:num w:numId="8">
    <w:abstractNumId w:val="11"/>
  </w:num>
  <w:num w:numId="9">
    <w:abstractNumId w:val="32"/>
  </w:num>
  <w:num w:numId="10">
    <w:abstractNumId w:val="9"/>
  </w:num>
  <w:num w:numId="11">
    <w:abstractNumId w:val="6"/>
  </w:num>
  <w:num w:numId="12">
    <w:abstractNumId w:val="36"/>
  </w:num>
  <w:num w:numId="13">
    <w:abstractNumId w:val="3"/>
  </w:num>
  <w:num w:numId="14">
    <w:abstractNumId w:val="37"/>
  </w:num>
  <w:num w:numId="15">
    <w:abstractNumId w:val="4"/>
  </w:num>
  <w:num w:numId="16">
    <w:abstractNumId w:val="28"/>
  </w:num>
  <w:num w:numId="17">
    <w:abstractNumId w:val="31"/>
  </w:num>
  <w:num w:numId="18">
    <w:abstractNumId w:val="2"/>
  </w:num>
  <w:num w:numId="19">
    <w:abstractNumId w:val="29"/>
  </w:num>
  <w:num w:numId="20">
    <w:abstractNumId w:val="12"/>
  </w:num>
  <w:num w:numId="21">
    <w:abstractNumId w:val="8"/>
  </w:num>
  <w:num w:numId="22">
    <w:abstractNumId w:val="7"/>
  </w:num>
  <w:num w:numId="23">
    <w:abstractNumId w:val="25"/>
  </w:num>
  <w:num w:numId="24">
    <w:abstractNumId w:val="26"/>
  </w:num>
  <w:num w:numId="25">
    <w:abstractNumId w:val="5"/>
  </w:num>
  <w:num w:numId="26">
    <w:abstractNumId w:val="19"/>
  </w:num>
  <w:num w:numId="27">
    <w:abstractNumId w:val="16"/>
  </w:num>
  <w:num w:numId="28">
    <w:abstractNumId w:val="34"/>
  </w:num>
  <w:num w:numId="29">
    <w:abstractNumId w:val="27"/>
  </w:num>
  <w:num w:numId="30">
    <w:abstractNumId w:val="30"/>
  </w:num>
  <w:num w:numId="31">
    <w:abstractNumId w:val="24"/>
  </w:num>
  <w:num w:numId="32">
    <w:abstractNumId w:val="21"/>
  </w:num>
  <w:num w:numId="33">
    <w:abstractNumId w:val="35"/>
  </w:num>
  <w:num w:numId="34">
    <w:abstractNumId w:val="20"/>
  </w:num>
  <w:num w:numId="35">
    <w:abstractNumId w:val="15"/>
  </w:num>
  <w:num w:numId="36">
    <w:abstractNumId w:val="22"/>
  </w:num>
  <w:num w:numId="37">
    <w:abstractNumId w:val="3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78"/>
    <w:rsid w:val="00005150"/>
    <w:rsid w:val="00030D54"/>
    <w:rsid w:val="00057779"/>
    <w:rsid w:val="000A119F"/>
    <w:rsid w:val="00103AA9"/>
    <w:rsid w:val="00130E81"/>
    <w:rsid w:val="00173F77"/>
    <w:rsid w:val="00195E76"/>
    <w:rsid w:val="001D0A60"/>
    <w:rsid w:val="001E3B06"/>
    <w:rsid w:val="00280306"/>
    <w:rsid w:val="00281917"/>
    <w:rsid w:val="00295A3B"/>
    <w:rsid w:val="002A0EF2"/>
    <w:rsid w:val="002B2A0F"/>
    <w:rsid w:val="003419A7"/>
    <w:rsid w:val="00394B1C"/>
    <w:rsid w:val="00414BCB"/>
    <w:rsid w:val="00415B9A"/>
    <w:rsid w:val="00421354"/>
    <w:rsid w:val="004232FE"/>
    <w:rsid w:val="00423539"/>
    <w:rsid w:val="004304D4"/>
    <w:rsid w:val="004E5414"/>
    <w:rsid w:val="00530343"/>
    <w:rsid w:val="00546BA7"/>
    <w:rsid w:val="0056646B"/>
    <w:rsid w:val="005832AC"/>
    <w:rsid w:val="005902B5"/>
    <w:rsid w:val="00590B0C"/>
    <w:rsid w:val="005B4863"/>
    <w:rsid w:val="005E2078"/>
    <w:rsid w:val="005E44E7"/>
    <w:rsid w:val="006519A8"/>
    <w:rsid w:val="00703A2F"/>
    <w:rsid w:val="007233A0"/>
    <w:rsid w:val="0072744B"/>
    <w:rsid w:val="00780CB7"/>
    <w:rsid w:val="007853DD"/>
    <w:rsid w:val="007B5252"/>
    <w:rsid w:val="007C4326"/>
    <w:rsid w:val="007C509F"/>
    <w:rsid w:val="007C6276"/>
    <w:rsid w:val="00835F31"/>
    <w:rsid w:val="00871AA2"/>
    <w:rsid w:val="008A0766"/>
    <w:rsid w:val="008D5B89"/>
    <w:rsid w:val="00903E1C"/>
    <w:rsid w:val="009A327C"/>
    <w:rsid w:val="009E5178"/>
    <w:rsid w:val="009F083F"/>
    <w:rsid w:val="009F0A54"/>
    <w:rsid w:val="00A11C06"/>
    <w:rsid w:val="00A67B34"/>
    <w:rsid w:val="00AE286F"/>
    <w:rsid w:val="00AF7A9B"/>
    <w:rsid w:val="00AF7E52"/>
    <w:rsid w:val="00B02C13"/>
    <w:rsid w:val="00B47DE4"/>
    <w:rsid w:val="00B80958"/>
    <w:rsid w:val="00BB57AC"/>
    <w:rsid w:val="00BF6C02"/>
    <w:rsid w:val="00C04012"/>
    <w:rsid w:val="00C54D6C"/>
    <w:rsid w:val="00CA13C3"/>
    <w:rsid w:val="00CC45EB"/>
    <w:rsid w:val="00CE6974"/>
    <w:rsid w:val="00CE76E6"/>
    <w:rsid w:val="00CF3C7B"/>
    <w:rsid w:val="00D31F39"/>
    <w:rsid w:val="00DF0A14"/>
    <w:rsid w:val="00DF3533"/>
    <w:rsid w:val="00DF3A3A"/>
    <w:rsid w:val="00E84E15"/>
    <w:rsid w:val="00EC2869"/>
    <w:rsid w:val="00ED3A33"/>
    <w:rsid w:val="00EE584A"/>
    <w:rsid w:val="00F10FB2"/>
    <w:rsid w:val="00F13AEE"/>
    <w:rsid w:val="00F33021"/>
    <w:rsid w:val="00F747BD"/>
    <w:rsid w:val="00F80F6C"/>
    <w:rsid w:val="00FE4442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BD"/>
  </w:style>
  <w:style w:type="paragraph" w:styleId="1">
    <w:name w:val="heading 1"/>
    <w:basedOn w:val="a"/>
    <w:next w:val="a"/>
    <w:link w:val="10"/>
    <w:uiPriority w:val="9"/>
    <w:qFormat/>
    <w:rsid w:val="00F74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4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B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47B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2">
    <w:name w:val="Заголовок 32"/>
    <w:basedOn w:val="a"/>
    <w:rsid w:val="00DF3533"/>
    <w:pPr>
      <w:keepNext/>
      <w:keepLines/>
      <w:numPr>
        <w:ilvl w:val="1"/>
        <w:numId w:val="3"/>
      </w:numPr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customStyle="1" w:styleId="42">
    <w:name w:val="Заголовок 42"/>
    <w:basedOn w:val="32"/>
    <w:rsid w:val="00DF3533"/>
    <w:pPr>
      <w:numPr>
        <w:numId w:val="4"/>
      </w:numPr>
    </w:pPr>
  </w:style>
  <w:style w:type="paragraph" w:styleId="a3">
    <w:name w:val="List Paragraph"/>
    <w:basedOn w:val="a"/>
    <w:uiPriority w:val="34"/>
    <w:qFormat/>
    <w:rsid w:val="00F747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51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F747BD"/>
    <w:rPr>
      <w:i/>
      <w:iCs/>
    </w:rPr>
  </w:style>
  <w:style w:type="character" w:customStyle="1" w:styleId="font24">
    <w:name w:val="font24"/>
    <w:basedOn w:val="a0"/>
    <w:rsid w:val="009E5178"/>
  </w:style>
  <w:style w:type="character" w:customStyle="1" w:styleId="30">
    <w:name w:val="Заголовок 3 Знак"/>
    <w:basedOn w:val="a0"/>
    <w:link w:val="3"/>
    <w:uiPriority w:val="9"/>
    <w:rsid w:val="00F747B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msonormal0">
    <w:name w:val="msonormal"/>
    <w:basedOn w:val="a"/>
    <w:rsid w:val="009F0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F747BD"/>
    <w:rPr>
      <w:b/>
      <w:bCs/>
    </w:rPr>
  </w:style>
  <w:style w:type="character" w:styleId="a7">
    <w:name w:val="Hyperlink"/>
    <w:basedOn w:val="a0"/>
    <w:uiPriority w:val="99"/>
    <w:semiHidden/>
    <w:unhideWhenUsed/>
    <w:rsid w:val="009F0A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F0A54"/>
    <w:rPr>
      <w:color w:val="800080"/>
      <w:u w:val="single"/>
    </w:rPr>
  </w:style>
  <w:style w:type="character" w:customStyle="1" w:styleId="font4">
    <w:name w:val="font4"/>
    <w:basedOn w:val="a0"/>
    <w:rsid w:val="009F0A54"/>
  </w:style>
  <w:style w:type="paragraph" w:customStyle="1" w:styleId="font241">
    <w:name w:val="font241"/>
    <w:basedOn w:val="a"/>
    <w:rsid w:val="009F0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easy-footnote-margin-adjust">
    <w:name w:val="easy-footnote-margin-adjust"/>
    <w:basedOn w:val="a0"/>
    <w:rsid w:val="009F0A54"/>
  </w:style>
  <w:style w:type="character" w:customStyle="1" w:styleId="easy-footnote">
    <w:name w:val="easy-footnote"/>
    <w:basedOn w:val="a0"/>
    <w:rsid w:val="009F0A54"/>
  </w:style>
  <w:style w:type="character" w:customStyle="1" w:styleId="figure-title">
    <w:name w:val="figure-title"/>
    <w:basedOn w:val="a0"/>
    <w:rsid w:val="009F0A54"/>
  </w:style>
  <w:style w:type="paragraph" w:customStyle="1" w:styleId="figure-description">
    <w:name w:val="figure-description"/>
    <w:basedOn w:val="a"/>
    <w:rsid w:val="009F0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747B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47B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F747B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747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747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74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747B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74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F747B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F747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747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F747B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747B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F747B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747B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747BD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F747B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747BD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F747BD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F747BD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747BD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F747BD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747BD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747BD"/>
    <w:pPr>
      <w:outlineLvl w:val="9"/>
    </w:pPr>
  </w:style>
  <w:style w:type="character" w:customStyle="1" w:styleId="slbtemplatetag">
    <w:name w:val="slb_template_tag"/>
    <w:basedOn w:val="a0"/>
    <w:rsid w:val="000A119F"/>
  </w:style>
  <w:style w:type="character" w:customStyle="1" w:styleId="font6">
    <w:name w:val="font6"/>
    <w:basedOn w:val="a0"/>
    <w:rsid w:val="00EC2869"/>
  </w:style>
  <w:style w:type="paragraph" w:customStyle="1" w:styleId="txt">
    <w:name w:val="txt"/>
    <w:basedOn w:val="a"/>
    <w:rsid w:val="001E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5E2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"/>
    <w:link w:val="afb"/>
    <w:uiPriority w:val="99"/>
    <w:unhideWhenUsed/>
    <w:rsid w:val="00030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030D54"/>
  </w:style>
  <w:style w:type="paragraph" w:styleId="afc">
    <w:name w:val="footer"/>
    <w:basedOn w:val="a"/>
    <w:link w:val="afd"/>
    <w:uiPriority w:val="99"/>
    <w:unhideWhenUsed/>
    <w:rsid w:val="00030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030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BD"/>
  </w:style>
  <w:style w:type="paragraph" w:styleId="1">
    <w:name w:val="heading 1"/>
    <w:basedOn w:val="a"/>
    <w:next w:val="a"/>
    <w:link w:val="10"/>
    <w:uiPriority w:val="9"/>
    <w:qFormat/>
    <w:rsid w:val="00F74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4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B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47B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32">
    <w:name w:val="Заголовок 32"/>
    <w:basedOn w:val="a"/>
    <w:rsid w:val="00DF3533"/>
    <w:pPr>
      <w:keepNext/>
      <w:keepLines/>
      <w:numPr>
        <w:ilvl w:val="1"/>
        <w:numId w:val="3"/>
      </w:numPr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customStyle="1" w:styleId="42">
    <w:name w:val="Заголовок 42"/>
    <w:basedOn w:val="32"/>
    <w:rsid w:val="00DF3533"/>
    <w:pPr>
      <w:numPr>
        <w:numId w:val="4"/>
      </w:numPr>
    </w:pPr>
  </w:style>
  <w:style w:type="paragraph" w:styleId="a3">
    <w:name w:val="List Paragraph"/>
    <w:basedOn w:val="a"/>
    <w:uiPriority w:val="34"/>
    <w:qFormat/>
    <w:rsid w:val="00F747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51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F747BD"/>
    <w:rPr>
      <w:i/>
      <w:iCs/>
    </w:rPr>
  </w:style>
  <w:style w:type="character" w:customStyle="1" w:styleId="font24">
    <w:name w:val="font24"/>
    <w:basedOn w:val="a0"/>
    <w:rsid w:val="009E5178"/>
  </w:style>
  <w:style w:type="character" w:customStyle="1" w:styleId="30">
    <w:name w:val="Заголовок 3 Знак"/>
    <w:basedOn w:val="a0"/>
    <w:link w:val="3"/>
    <w:uiPriority w:val="9"/>
    <w:rsid w:val="00F747B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msonormal0">
    <w:name w:val="msonormal"/>
    <w:basedOn w:val="a"/>
    <w:rsid w:val="009F0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F747BD"/>
    <w:rPr>
      <w:b/>
      <w:bCs/>
    </w:rPr>
  </w:style>
  <w:style w:type="character" w:styleId="a7">
    <w:name w:val="Hyperlink"/>
    <w:basedOn w:val="a0"/>
    <w:uiPriority w:val="99"/>
    <w:semiHidden/>
    <w:unhideWhenUsed/>
    <w:rsid w:val="009F0A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F0A54"/>
    <w:rPr>
      <w:color w:val="800080"/>
      <w:u w:val="single"/>
    </w:rPr>
  </w:style>
  <w:style w:type="character" w:customStyle="1" w:styleId="font4">
    <w:name w:val="font4"/>
    <w:basedOn w:val="a0"/>
    <w:rsid w:val="009F0A54"/>
  </w:style>
  <w:style w:type="paragraph" w:customStyle="1" w:styleId="font241">
    <w:name w:val="font241"/>
    <w:basedOn w:val="a"/>
    <w:rsid w:val="009F0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easy-footnote-margin-adjust">
    <w:name w:val="easy-footnote-margin-adjust"/>
    <w:basedOn w:val="a0"/>
    <w:rsid w:val="009F0A54"/>
  </w:style>
  <w:style w:type="character" w:customStyle="1" w:styleId="easy-footnote">
    <w:name w:val="easy-footnote"/>
    <w:basedOn w:val="a0"/>
    <w:rsid w:val="009F0A54"/>
  </w:style>
  <w:style w:type="character" w:customStyle="1" w:styleId="figure-title">
    <w:name w:val="figure-title"/>
    <w:basedOn w:val="a0"/>
    <w:rsid w:val="009F0A54"/>
  </w:style>
  <w:style w:type="paragraph" w:customStyle="1" w:styleId="figure-description">
    <w:name w:val="figure-description"/>
    <w:basedOn w:val="a"/>
    <w:rsid w:val="009F0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747B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47B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F747B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747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747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74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747B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74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F747B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F747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747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F747B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F747B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F747B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747B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747BD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F747B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747BD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F747BD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F747BD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747BD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F747BD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747BD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747BD"/>
    <w:pPr>
      <w:outlineLvl w:val="9"/>
    </w:pPr>
  </w:style>
  <w:style w:type="character" w:customStyle="1" w:styleId="slbtemplatetag">
    <w:name w:val="slb_template_tag"/>
    <w:basedOn w:val="a0"/>
    <w:rsid w:val="000A119F"/>
  </w:style>
  <w:style w:type="character" w:customStyle="1" w:styleId="font6">
    <w:name w:val="font6"/>
    <w:basedOn w:val="a0"/>
    <w:rsid w:val="00EC2869"/>
  </w:style>
  <w:style w:type="paragraph" w:customStyle="1" w:styleId="txt">
    <w:name w:val="txt"/>
    <w:basedOn w:val="a"/>
    <w:rsid w:val="001E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5E2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"/>
    <w:link w:val="afb"/>
    <w:uiPriority w:val="99"/>
    <w:unhideWhenUsed/>
    <w:rsid w:val="00030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030D54"/>
  </w:style>
  <w:style w:type="paragraph" w:styleId="afc">
    <w:name w:val="footer"/>
    <w:basedOn w:val="a"/>
    <w:link w:val="afd"/>
    <w:uiPriority w:val="99"/>
    <w:unhideWhenUsed/>
    <w:rsid w:val="00030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03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9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3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1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physionet.or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7716</Words>
  <Characters>43985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Windows</cp:lastModifiedBy>
  <cp:revision>2</cp:revision>
  <dcterms:created xsi:type="dcterms:W3CDTF">2020-04-24T19:08:00Z</dcterms:created>
  <dcterms:modified xsi:type="dcterms:W3CDTF">2020-04-24T19:08:00Z</dcterms:modified>
</cp:coreProperties>
</file>