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spacing w:after="0"/>
        <w:rPr/>
      </w:pPr>
    </w:p>
    <w:p>
      <w:pPr>
        <w:spacing w:after="0"/>
        <w:rPr/>
      </w:pPr>
    </w:p>
    <w:p>
      <w:pPr>
        <w:spacing w:after="0"/>
        <w:rPr/>
      </w:pPr>
    </w:p>
    <w:p>
      <w:pPr>
        <w:spacing w:after="0"/>
        <w:rPr/>
      </w:pPr>
    </w:p>
    <w:p>
      <w:pPr>
        <w:spacing w:after="0"/>
        <w:rPr/>
      </w:pPr>
    </w:p>
    <w:p>
      <w:pPr>
        <w:spacing w:after="0"/>
        <w:rPr/>
      </w:pPr>
      <w:r>
        <w:rPr/>
        <w:drawing>
          <wp:inline distT="0" distB="0" distL="0" distR="0">
            <wp:extent cx="5038725" cy="1104900"/>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7">
                      <a:extLst/>
                    </a:blip>
                    <a:srcRect/>
                    <a:stretch/>
                  </pic:blipFill>
                  <pic:spPr>
                    <a:xfrm flipH="0" flipV="0">
                      <a:off x="0" y="0"/>
                      <a:ext cx="5038725" cy="1104900"/>
                    </a:xfrm>
                    <a:prstGeom prst="rect">
                      <a:avLst/>
                    </a:prstGeom>
                  </pic:spPr>
                </pic:pic>
              </a:graphicData>
            </a:graphic>
          </wp:inline>
        </w:drawing>
      </w:r>
    </w:p>
    <w:p>
      <w:pPr>
        <w:spacing w:after="0"/>
        <w:rPr/>
      </w:pPr>
    </w:p>
    <w:p>
      <w:pPr>
        <w:spacing w:before="120" w:after="360"/>
        <w:jc w:val="center"/>
        <w:rPr/>
      </w:pPr>
      <w:r>
        <w:rPr>
          <w:rFonts w:ascii="SimHei" w:hAnsi="SimHei" w:eastAsia="SimHei" w:cs="SimHei"/>
          <w:b w:val="1"/>
          <w:bCs w:val="1"/>
          <w:sz w:val="44"/>
          <w:szCs w:val="44"/>
        </w:rPr>
        <w:t>大学生职业生涯规划书</w:t>
      </w:r>
    </w:p>
    <w:p>
      <w:pPr>
        <w:spacing w:after="0"/>
        <w:rPr/>
      </w:pPr>
    </w:p>
    <w:p>
      <w:pPr>
        <w:spacing w:after="0"/>
        <w:rPr/>
      </w:pPr>
    </w:p>
    <w:p>
      <w:pPr>
        <w:spacing w:after="0"/>
        <w:rPr/>
      </w:pPr>
    </w:p>
    <w:p>
      <w:pPr>
        <w:spacing w:before="160" w:after="160"/>
        <w:jc w:val="center"/>
        <w:rPr/>
      </w:pPr>
      <w:r>
        <w:rPr>
          <w:rFonts w:ascii="FangSong" w:hAnsi="FangSong" w:eastAsia="FangSong" w:cs="FangSong"/>
          <w:sz w:val="32"/>
          <w:szCs w:val="32"/>
        </w:rPr>
        <w:t>姓    名：______</w:t>
      </w:r>
      <w:r>
        <w:rPr>
          <w:rFonts w:hint="eastAsia" w:ascii="FangSong" w:hAnsi="FangSong" w:eastAsia="FangSong" w:cs="FangSong"/>
          <w:sz w:val="32"/>
          <w:szCs w:val="32"/>
        </w:rPr>
        <w:t>吉阳</w:t>
      </w:r>
      <w:r>
        <w:rPr>
          <w:rFonts w:ascii="FangSong" w:hAnsi="FangSong" w:eastAsia="FangSong" w:cs="FangSong"/>
          <w:sz w:val="32"/>
          <w:szCs w:val="32"/>
        </w:rPr>
        <w:t>________________</w:t>
      </w:r>
    </w:p>
    <w:p>
      <w:pPr>
        <w:spacing w:before="160" w:after="160"/>
        <w:jc w:val="center"/>
        <w:rPr/>
      </w:pPr>
      <w:r>
        <w:rPr>
          <w:rFonts w:ascii="FangSong" w:hAnsi="FangSong" w:eastAsia="FangSong" w:cs="FangSong"/>
          <w:sz w:val="32"/>
          <w:szCs w:val="32"/>
        </w:rPr>
        <w:t>学    号：___</w:t>
      </w:r>
      <w:r>
        <w:rPr>
          <w:rFonts w:hint="eastAsia" w:ascii="FangSong" w:hAnsi="FangSong" w:eastAsia="FangSong" w:cs="FangSong"/>
          <w:sz w:val="32"/>
          <w:szCs w:val="32"/>
        </w:rPr>
        <w:t>250980418</w:t>
      </w:r>
      <w:r>
        <w:rPr>
          <w:rFonts w:ascii="FangSong" w:hAnsi="FangSong" w:eastAsia="FangSong" w:cs="FangSong"/>
          <w:sz w:val="32"/>
          <w:szCs w:val="32"/>
        </w:rPr>
        <w:t>___________________</w:t>
      </w:r>
    </w:p>
    <w:p>
      <w:pPr>
        <w:spacing w:before="160" w:after="160"/>
        <w:jc w:val="center"/>
        <w:rPr/>
      </w:pPr>
      <w:r>
        <w:rPr>
          <w:rFonts w:ascii="FangSong" w:hAnsi="FangSong" w:eastAsia="FangSong" w:cs="FangSong"/>
          <w:sz w:val="32"/>
          <w:szCs w:val="32"/>
        </w:rPr>
        <w:t>学    院：____</w:t>
      </w:r>
      <w:r>
        <w:rPr>
          <w:rFonts w:hint="eastAsia" w:ascii="FangSong" w:hAnsi="FangSong" w:eastAsia="FangSong" w:cs="FangSong"/>
          <w:sz w:val="32"/>
          <w:szCs w:val="32"/>
        </w:rPr>
        <w:t>数理科学与工程</w:t>
      </w:r>
      <w:r>
        <w:rPr>
          <w:rFonts w:ascii="FangSong" w:hAnsi="FangSong" w:eastAsia="FangSong" w:cs="FangSong"/>
          <w:sz w:val="32"/>
          <w:szCs w:val="32"/>
        </w:rPr>
        <w:t>__________________</w:t>
      </w:r>
    </w:p>
    <w:p>
      <w:pPr>
        <w:spacing w:before="160" w:after="160"/>
        <w:jc w:val="center"/>
        <w:rPr/>
      </w:pPr>
      <w:r>
        <w:rPr>
          <w:rFonts w:ascii="FangSong" w:hAnsi="FangSong" w:eastAsia="FangSong" w:cs="FangSong"/>
          <w:sz w:val="32"/>
          <w:szCs w:val="32"/>
        </w:rPr>
        <w:t>专业班级：_____</w:t>
      </w:r>
      <w:r>
        <w:rPr>
          <w:rFonts w:hint="eastAsia" w:ascii="FangSong" w:hAnsi="FangSong" w:eastAsia="FangSong" w:cs="FangSong"/>
          <w:sz w:val="32"/>
          <w:szCs w:val="32"/>
        </w:rPr>
        <w:t>光电2504</w:t>
      </w:r>
      <w:r>
        <w:rPr>
          <w:rFonts w:ascii="FangSong" w:hAnsi="FangSong" w:eastAsia="FangSong" w:cs="FangSong"/>
          <w:sz w:val="32"/>
          <w:szCs w:val="32"/>
        </w:rPr>
        <w:t>_________________</w:t>
      </w:r>
    </w:p>
    <w:p>
      <w:pPr>
        <w:spacing w:before="160" w:after="160"/>
        <w:jc w:val="center"/>
        <w:rPr/>
      </w:pPr>
      <w:r>
        <w:rPr>
          <w:rFonts w:ascii="FangSong" w:hAnsi="FangSong" w:eastAsia="FangSong" w:cs="FangSong"/>
          <w:sz w:val="32"/>
          <w:szCs w:val="32"/>
        </w:rPr>
        <w:t>任课教师：_____</w:t>
      </w:r>
      <w:r>
        <w:rPr>
          <w:rFonts w:hint="eastAsia" w:ascii="FangSong" w:hAnsi="FangSong" w:eastAsia="FangSong" w:cs="FangSong"/>
          <w:sz w:val="32"/>
          <w:szCs w:val="32"/>
        </w:rPr>
        <w:t>王慧</w:t>
      </w:r>
      <w:r>
        <w:rPr>
          <w:rFonts w:ascii="FangSong" w:hAnsi="FangSong" w:eastAsia="FangSong" w:cs="FangSong"/>
          <w:sz w:val="32"/>
          <w:szCs w:val="32"/>
        </w:rPr>
        <w:t>_________________</w:t>
      </w:r>
    </w:p>
    <w:p>
      <w:pPr>
        <w:spacing w:after="0"/>
        <w:rPr/>
      </w:pPr>
    </w:p>
    <w:p>
      <w:pPr>
        <w:spacing w:before="240" w:after="120"/>
        <w:jc w:val="center"/>
        <w:rPr/>
      </w:pPr>
      <w:r>
        <w:rPr>
          <w:rFonts w:ascii="SimSun" w:hAnsi="SimSun" w:eastAsia="SimSun" w:cs="SimSun"/>
          <w:sz w:val="32"/>
          <w:szCs w:val="32"/>
        </w:rPr>
        <w:t>二〇二六年五月二十四日</w:t>
      </w:r>
    </w:p>
    <w:p>
      <w:pPr>
        <w:rPr/>
        <w:sectPr>
          <w:pgSz w:w="11906" w:h="16838" w:orient="portrait"/>
          <w:pgMar w:top="1440" w:right="1800" w:bottom="1440" w:left="1800" w:header="708" w:footer="708" w:gutter="0"/>
          <w:pgNumType/>
          <w:docGrid w:linePitch="360"/>
        </w:sectPr>
      </w:pPr>
    </w:p>
    <w:p>
      <w:pPr>
        <w:spacing w:before="360" w:after="360" w:line="360"/>
        <w:jc w:val="center"/>
        <w:rPr/>
      </w:pPr>
      <w:r>
        <w:rPr>
          <w:rFonts w:ascii="SimHei" w:hAnsi="SimHei" w:eastAsia="SimHei" w:cs="SimHei"/>
          <w:b w:val="1"/>
          <w:bCs w:val="1"/>
          <w:sz w:val="32"/>
          <w:szCs w:val="32"/>
        </w:rPr>
        <w:t>目    录</w:t>
      </w:r>
    </w:p>
    <w:p>
      <w:pPr>
        <w:tabs>
          <w:tab w:val="right" w:pos="9026"/>
        </w:tabs>
        <w:spacing w:before="0" w:after="0" w:line="360"/>
        <w:ind w:left="0"/>
        <w:rPr/>
      </w:pPr>
      <w:r>
        <w:rPr>
          <w:rFonts w:ascii="SimHei" w:hAnsi="SimHei" w:eastAsia="SimHei" w:cs="SimHei"/>
          <w:b w:val="1"/>
          <w:bCs w:val="1"/>
          <w:sz w:val="24"/>
          <w:szCs w:val="24"/>
        </w:rPr>
        <w:t>第1章  自我认知</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1.1  人格特质分析（MBTI：INTJ）</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1.2  职业兴趣测评（霍兰德代码分析）</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1.3  能力素质盘点</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1.3.1  硬技能现状</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1.3.2  软技能现状</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1.3.3  待发展能力</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1.4  SWOT分析</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1.5  360度自我评价</w:t>
      </w:r>
      <w:r>
        <w:rPr/>
        <w:ptab w:alignment="right" w:relativeTo="margin" w:leader="dot"/>
      </w:r>
    </w:p>
    <w:p>
      <w:pPr>
        <w:tabs>
          <w:tab w:val="right" w:pos="9026"/>
        </w:tabs>
        <w:spacing w:before="0" w:after="0" w:line="360"/>
        <w:ind w:left="0"/>
        <w:rPr/>
      </w:pPr>
      <w:r>
        <w:rPr>
          <w:rFonts w:ascii="SimHei" w:hAnsi="SimHei" w:eastAsia="SimHei" w:cs="SimHei"/>
          <w:b w:val="1"/>
          <w:bCs w:val="1"/>
          <w:sz w:val="24"/>
          <w:szCs w:val="24"/>
        </w:rPr>
        <w:t>第2章  职业认知</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2.1  光电信息产业宏观环境</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2.2  计算光学成像方向分析</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2.3  京津冀地区就业环境分析</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2.4  职业画像：计算光学成像工程师</w:t>
      </w:r>
      <w:r>
        <w:rPr/>
        <w:ptab w:alignment="right" w:relativeTo="margin" w:leader="dot"/>
      </w:r>
    </w:p>
    <w:p>
      <w:pPr>
        <w:tabs>
          <w:tab w:val="right" w:pos="9026"/>
        </w:tabs>
        <w:spacing w:before="0" w:after="0" w:line="360"/>
        <w:ind w:left="0"/>
        <w:rPr/>
      </w:pPr>
      <w:r>
        <w:rPr>
          <w:rFonts w:ascii="SimHei" w:hAnsi="SimHei" w:eastAsia="SimHei" w:cs="SimHei"/>
          <w:b w:val="1"/>
          <w:bCs w:val="1"/>
          <w:sz w:val="24"/>
          <w:szCs w:val="24"/>
        </w:rPr>
        <w:t>第3章  职业目标与路径设计</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3.1  职业目标体系</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3.1.1  远期目标</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3.1.2  中期目标</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3.1.3  短期目标</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3.2  发展路径设计</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3.2.1  主路径：产业界R&amp;D方向</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3.2.2  备选路径：科研院所方向</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3.2.3  创业视角</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3.3  决策平衡分析</w:t>
      </w:r>
      <w:r>
        <w:rPr/>
        <w:ptab w:alignment="right" w:relativeTo="margin" w:leader="dot"/>
      </w:r>
    </w:p>
    <w:p>
      <w:pPr>
        <w:tabs>
          <w:tab w:val="right" w:pos="9026"/>
        </w:tabs>
        <w:spacing w:before="0" w:after="0" w:line="360"/>
        <w:ind w:left="0"/>
        <w:rPr/>
      </w:pPr>
      <w:r>
        <w:rPr>
          <w:rFonts w:ascii="SimHei" w:hAnsi="SimHei" w:eastAsia="SimHei" w:cs="SimHei"/>
          <w:b w:val="1"/>
          <w:bCs w:val="1"/>
          <w:sz w:val="24"/>
          <w:szCs w:val="24"/>
        </w:rPr>
        <w:t>第4章  规划与实施计划</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4.1  大学四年分阶段计划</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4.1.1  大一：适应与奠基</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4.1.2  大二：核心积累</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4.1.3  大三：能力跃升</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4.1.4  大四：成果输出</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4.2  研究生阶段规划</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4.3  技能提升路线图</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4.4  实践与实习规划</w:t>
      </w:r>
      <w:r>
        <w:rPr/>
        <w:ptab w:alignment="right" w:relativeTo="margin" w:leader="dot"/>
      </w:r>
    </w:p>
    <w:p>
      <w:pPr>
        <w:tabs>
          <w:tab w:val="right" w:pos="9026"/>
        </w:tabs>
        <w:spacing w:before="0" w:after="0" w:line="360"/>
        <w:ind w:left="0"/>
        <w:rPr/>
      </w:pPr>
      <w:r>
        <w:rPr>
          <w:rFonts w:ascii="SimHei" w:hAnsi="SimHei" w:eastAsia="SimHei" w:cs="SimHei"/>
          <w:b w:val="1"/>
          <w:bCs w:val="1"/>
          <w:sz w:val="24"/>
          <w:szCs w:val="24"/>
        </w:rPr>
        <w:t>第5章  评估与备选方案</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5.1  动态评估机制</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5.2  备选方案</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5.2.1  方案B：考研失利-直接就业</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5.2.2  方案C：兴趣转向纯AI</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5.2.3  方案D：创业</w:t>
      </w:r>
      <w:r>
        <w:rPr/>
        <w:ptab w:alignment="right" w:relativeTo="margin" w:leader="dot"/>
      </w:r>
    </w:p>
    <w:p>
      <w:pPr>
        <w:tabs>
          <w:tab w:val="right" w:pos="9026"/>
        </w:tabs>
        <w:spacing w:before="0" w:after="0" w:line="360"/>
        <w:ind w:left="960"/>
        <w:rPr/>
      </w:pPr>
      <w:r>
        <w:rPr>
          <w:rFonts w:ascii="SimSun" w:hAnsi="SimSun" w:eastAsia="SimSun" w:cs="SimSun"/>
          <w:b w:val="0"/>
          <w:bCs w:val="0"/>
          <w:sz w:val="24"/>
          <w:szCs w:val="24"/>
        </w:rPr>
        <w:t>5.2.4  方案E：地域调整</w:t>
      </w:r>
      <w:r>
        <w:rPr/>
        <w:ptab w:alignment="right" w:relativeTo="margin" w:leader="dot"/>
      </w:r>
    </w:p>
    <w:p>
      <w:pPr>
        <w:tabs>
          <w:tab w:val="right" w:pos="9026"/>
        </w:tabs>
        <w:spacing w:before="0" w:after="0" w:line="360"/>
        <w:ind w:left="480"/>
        <w:rPr/>
      </w:pPr>
      <w:r>
        <w:rPr>
          <w:rFonts w:ascii="SimSun" w:hAnsi="SimSun" w:eastAsia="SimSun" w:cs="SimSun"/>
          <w:b w:val="0"/>
          <w:bCs w:val="0"/>
          <w:sz w:val="24"/>
          <w:szCs w:val="24"/>
        </w:rPr>
        <w:t>5.3  风险评估与应对</w:t>
      </w:r>
      <w:r>
        <w:rPr/>
        <w:ptab w:alignment="right" w:relativeTo="margin" w:leader="dot"/>
      </w:r>
    </w:p>
    <w:p>
      <w:pPr>
        <w:tabs>
          <w:tab w:val="right" w:pos="9026"/>
        </w:tabs>
        <w:spacing w:before="0" w:after="0" w:line="360"/>
        <w:ind w:left="0"/>
        <w:rPr/>
      </w:pPr>
      <w:r>
        <w:rPr>
          <w:rFonts w:ascii="SimHei" w:hAnsi="SimHei" w:eastAsia="SimHei" w:cs="SimHei"/>
          <w:b w:val="1"/>
          <w:bCs w:val="1"/>
          <w:sz w:val="24"/>
          <w:szCs w:val="24"/>
        </w:rPr>
        <w:t>结论</w:t>
      </w:r>
      <w:r>
        <w:rPr/>
        <w:ptab w:alignment="right" w:relativeTo="margin" w:leader="dot"/>
      </w:r>
    </w:p>
    <w:p>
      <w:pPr>
        <w:tabs>
          <w:tab w:val="right" w:pos="9026"/>
        </w:tabs>
        <w:spacing w:before="0" w:after="0" w:line="360"/>
        <w:ind w:left="0"/>
        <w:rPr/>
      </w:pPr>
      <w:r>
        <w:rPr>
          <w:rFonts w:ascii="SimHei" w:hAnsi="SimHei" w:eastAsia="SimHei" w:cs="SimHei"/>
          <w:b w:val="1"/>
          <w:bCs w:val="1"/>
          <w:sz w:val="24"/>
          <w:szCs w:val="24"/>
        </w:rPr>
        <w:t>参考文献</w:t>
      </w:r>
      <w:r>
        <w:rPr/>
        <w:ptab w:alignment="right" w:relativeTo="margin" w:leader="dot"/>
      </w:r>
    </w:p>
    <w:p>
      <w:pPr>
        <w:tabs>
          <w:tab w:val="right" w:pos="9026"/>
        </w:tabs>
        <w:spacing w:before="0" w:after="0" w:line="360"/>
        <w:ind w:left="0"/>
        <w:rPr/>
      </w:pPr>
      <w:r>
        <w:rPr>
          <w:rFonts w:ascii="SimHei" w:hAnsi="SimHei" w:eastAsia="SimHei" w:cs="SimHei"/>
          <w:b w:val="1"/>
          <w:bCs w:val="1"/>
          <w:sz w:val="24"/>
          <w:szCs w:val="24"/>
        </w:rPr>
        <w:t>致  谢</w:t>
      </w:r>
      <w:r>
        <w:rPr/>
        <w:ptab w:alignment="right" w:relativeTo="margin" w:leader="dot"/>
      </w:r>
    </w:p>
    <w:p>
      <w:pPr>
        <w:spacing w:after="0"/>
        <w:rPr/>
      </w:pPr>
    </w:p>
    <w:p>
      <w:pPr>
        <w:rPr/>
      </w:pPr>
      <w:r>
        <w:rPr/>
        <w:br w:type="page"/>
      </w:r>
    </w:p>
    <w:p>
      <w:pPr>
        <w:rPr/>
      </w:pPr>
      <w:r>
        <w:rPr/>
        <w:br w:type="page"/>
      </w:r>
    </w:p>
    <w:p>
      <w:pPr>
        <w:pStyle w:val="000012"/>
        <w:spacing w:before="360" w:after="360" w:line="360"/>
        <w:jc w:val="center"/>
        <w:rPr/>
      </w:pPr>
      <w:r>
        <w:rPr>
          <w:rFonts w:ascii="SimHei" w:hAnsi="SimHei" w:eastAsia="SimHei" w:cs="SimHei"/>
          <w:b w:val="1"/>
          <w:bCs w:val="1"/>
          <w:sz w:val="32"/>
          <w:szCs w:val="32"/>
        </w:rPr>
        <w:t>第1章  自我认知</w:t>
      </w:r>
    </w:p>
    <w:p>
      <w:pPr>
        <w:spacing w:before="0" w:after="0" w:line="324"/>
        <w:ind w:firstLine="480"/>
        <w:jc w:val="both"/>
        <w:rPr/>
      </w:pPr>
      <w:r>
        <w:rPr>
          <w:rFonts w:ascii="SimSun" w:hAnsi="SimSun" w:eastAsia="SimSun" w:cs="SimSun"/>
          <w:sz w:val="24"/>
          <w:szCs w:val="24"/>
        </w:rPr>
        <w:t>职业生涯规划始于对自我的深刻理解。本章通过MBTI人格分析、霍兰德职业兴趣理论、能力素质盘点、SWOT分析及360度评价五个维度，对个人特质进行全面审视，为后续职业方向的选择奠定基础。</w:t>
      </w:r>
    </w:p>
    <w:p>
      <w:pPr>
        <w:pStyle w:val="00000e"/>
        <w:spacing w:before="240" w:after="240" w:line="360"/>
        <w:jc w:val="left"/>
        <w:rPr/>
      </w:pPr>
      <w:r>
        <w:rPr>
          <w:rFonts w:ascii="SimHei" w:hAnsi="SimHei" w:eastAsia="SimHei" w:cs="SimHei"/>
          <w:b w:val="1"/>
          <w:bCs w:val="1"/>
          <w:sz w:val="28"/>
          <w:szCs w:val="28"/>
        </w:rPr>
        <w:t>1.1  人格特质分析（MBTI：INTJ）</w:t>
      </w:r>
    </w:p>
    <w:p>
      <w:pPr>
        <w:spacing w:before="0" w:after="0" w:line="324"/>
        <w:ind w:firstLine="480"/>
        <w:jc w:val="both"/>
        <w:rPr/>
      </w:pPr>
      <w:r>
        <w:rPr>
          <w:rFonts w:ascii="SimSun" w:hAnsi="SimSun" w:eastAsia="SimSun" w:cs="SimSun"/>
          <w:sz w:val="24"/>
          <w:szCs w:val="24"/>
        </w:rPr>
        <w:t>MBTI（Myers-Briggs Type Indicator）是全球应用最广泛的人格测评工具之一。我的测评结果为INTJ——建筑师型人格，在人群中占比约2%，属于最为稀有的人格类型之一。INTJ的核心特质包括：战略思维（善于制定长期规划并系统执行）、独立深度思考（不满足于表面答案，习惯追问底层逻辑）、对复杂系统的直觉（能够从纷繁信息中识别结构化模式）、以及对能力成长的持续追求。</w:t>
      </w:r>
    </w:p>
    <w:p>
      <w:pPr>
        <w:spacing w:before="0" w:after="0" w:line="324"/>
        <w:ind w:firstLine="480"/>
        <w:jc w:val="both"/>
        <w:rPr/>
      </w:pPr>
      <w:r>
        <w:rPr>
          <w:rFonts w:ascii="SimSun" w:hAnsi="SimSun" w:eastAsia="SimSun" w:cs="SimSun"/>
          <w:sz w:val="24"/>
          <w:szCs w:val="24"/>
        </w:rPr>
        <w:t>这些特质与光电信息工程领域——尤其是计算光学成像方向——有着天然的契合。计算光学成像是一个典型的交叉学科，需要同时理解光学系统的物理本质和深度学习算法的数学框架。INTJ对系统架构的直觉使其能够在光学前端与计算后端的联合设计中找到最优平衡点，而战略规划能力则有助于在快速迭代的AI技术浪潮中保持清晰的技术路线判断。</w:t>
      </w:r>
    </w:p>
    <w:p>
      <w:pPr>
        <w:spacing w:before="0" w:after="0" w:line="324"/>
        <w:ind w:firstLine="480"/>
        <w:jc w:val="both"/>
        <w:rPr/>
      </w:pPr>
      <w:r>
        <w:rPr>
          <w:rFonts w:ascii="SimSun" w:hAnsi="SimSun" w:eastAsia="SimSun" w:cs="SimSun"/>
          <w:sz w:val="24"/>
          <w:szCs w:val="24"/>
        </w:rPr>
        <w:t>同时需要清醒认识到INTJ的潜在短板：人际交往中可能显得疏离甚至冷漠，对低效率的容忍度极低，有时过于追求完美而忽略现实约束。在未来的学习和工作中，需刻意培养团队协作与沟通能力，学会在理想方案与实际资源之间做出务实的权衡。</w:t>
      </w:r>
    </w:p>
    <w:p>
      <w:pPr>
        <w:pStyle w:val="00000e"/>
        <w:spacing w:before="240" w:after="240" w:line="360"/>
        <w:jc w:val="left"/>
        <w:rPr/>
      </w:pPr>
      <w:r>
        <w:rPr>
          <w:rFonts w:ascii="SimHei" w:hAnsi="SimHei" w:eastAsia="SimHei" w:cs="SimHei"/>
          <w:b w:val="1"/>
          <w:bCs w:val="1"/>
          <w:sz w:val="28"/>
          <w:szCs w:val="28"/>
        </w:rPr>
        <w:t>1.2  职业兴趣测评（霍兰德代码分析）</w:t>
      </w:r>
    </w:p>
    <w:p>
      <w:pPr>
        <w:spacing w:before="0" w:after="0" w:line="324"/>
        <w:ind w:firstLine="480"/>
        <w:jc w:val="both"/>
        <w:rPr/>
      </w:pPr>
      <w:r>
        <w:rPr>
          <w:rFonts w:ascii="SimSun" w:hAnsi="SimSun" w:eastAsia="SimSun" w:cs="SimSun"/>
          <w:sz w:val="24"/>
          <w:szCs w:val="24"/>
        </w:rPr>
        <w:t>霍兰德职业兴趣理论将人的职业兴趣分为六种类型：实际型（R）、研究型（I）、艺术型（A）、社会型（S）、企业型（E）和常规型（C）。根据我的行为模式与偏好分析，推测霍兰德代码为IRA（研究型+实际型+艺术型），这一组合与光学工程领域的契合度较高。</w:t>
      </w:r>
    </w:p>
    <w:p>
      <w:pPr>
        <w:spacing w:before="0" w:after="0" w:line="324"/>
        <w:ind w:firstLine="480"/>
        <w:jc w:val="both"/>
        <w:rPr/>
      </w:pPr>
      <w:r>
        <w:rPr>
          <w:rFonts w:ascii="SimSun" w:hAnsi="SimSun" w:eastAsia="SimSun" w:cs="SimSun"/>
          <w:sz w:val="24"/>
          <w:szCs w:val="24"/>
        </w:rPr>
        <w:t>研究型（I）：对光学物理原理和深度学习算法的底层逻辑有强烈的探究欲望，享受从数学推导中理解成像过程的本质。实际型（R）：喜欢动手搭建光路、调试设备、将理论方案变为实际系统。艺术型（A）：光学设计本身具有强烈的创造性——一个优秀的镜头设计不是机械套用公式的结果，而是对像差、体积、成本和制造可行性进行创造性平衡的产物。</w:t>
      </w:r>
    </w:p>
    <w:p>
      <w:pPr>
        <w:pStyle w:val="00000e"/>
        <w:spacing w:before="240" w:after="240" w:line="360"/>
        <w:jc w:val="left"/>
        <w:rPr/>
      </w:pPr>
      <w:r>
        <w:rPr>
          <w:rFonts w:ascii="SimHei" w:hAnsi="SimHei" w:eastAsia="SimHei" w:cs="SimHei"/>
          <w:b w:val="1"/>
          <w:bCs w:val="1"/>
          <w:sz w:val="28"/>
          <w:szCs w:val="28"/>
        </w:rPr>
        <w:t>1.3  能力素质盘点</w:t>
      </w:r>
    </w:p>
    <w:p>
      <w:pPr>
        <w:pStyle w:val="000003"/>
        <w:spacing w:before="120" w:after="120" w:line="360"/>
        <w:jc w:val="left"/>
        <w:rPr/>
      </w:pPr>
      <w:r>
        <w:rPr>
          <w:rFonts w:ascii="SimHei" w:hAnsi="SimHei" w:eastAsia="SimHei" w:cs="SimHei"/>
          <w:b w:val="1"/>
          <w:bCs w:val="1"/>
          <w:sz w:val="24"/>
          <w:szCs w:val="24"/>
        </w:rPr>
        <w:t>1.3.硬技能现状</w:t>
      </w:r>
    </w:p>
    <w:p>
      <w:pPr>
        <w:spacing w:before="0" w:after="0" w:line="324"/>
        <w:ind w:firstLine="480"/>
        <w:jc w:val="both"/>
        <w:rPr/>
      </w:pPr>
      <w:r>
        <w:rPr>
          <w:rFonts w:ascii="SimSun" w:hAnsi="SimSun" w:eastAsia="SimSun" w:cs="SimSun"/>
          <w:sz w:val="24"/>
          <w:szCs w:val="24"/>
        </w:rPr>
        <w:t>作为大一学生，数理基础（高等数学、线性代数、大学物理）正在建立之中；编程能力处于起步阶段（预计本学期完成C语言入门）；光学专业知识尚未系统学习；英语阅读和表达能力有待提升。这是客观的现实起点，但也是后续能力提升曲线的基线。</w:t>
      </w:r>
    </w:p>
    <w:p>
      <w:pPr>
        <w:pStyle w:val="000003"/>
        <w:spacing w:before="120" w:after="120" w:line="360"/>
        <w:jc w:val="left"/>
        <w:rPr/>
      </w:pPr>
      <w:r>
        <w:rPr>
          <w:rFonts w:ascii="SimHei" w:hAnsi="SimHei" w:eastAsia="SimHei" w:cs="SimHei"/>
          <w:b w:val="1"/>
          <w:bCs w:val="1"/>
          <w:sz w:val="24"/>
          <w:szCs w:val="24"/>
        </w:rPr>
        <w:t>1.3.软技能现状</w:t>
      </w:r>
    </w:p>
    <w:p>
      <w:pPr>
        <w:spacing w:before="0" w:after="0" w:line="324"/>
        <w:ind w:firstLine="480"/>
        <w:jc w:val="both"/>
        <w:rPr/>
      </w:pPr>
      <w:r>
        <w:rPr>
          <w:rFonts w:ascii="SimSun" w:hAnsi="SimSun" w:eastAsia="SimSun" w:cs="SimSun"/>
          <w:sz w:val="24"/>
          <w:szCs w:val="24"/>
        </w:rPr>
        <w:t>学习能力和自驱力是最核心的软技能优势——能够主动规划学习路径、在无人督促的情况下坚持自我提升。动手实践意愿强烈，不畏惧折腾和试错。此外，INTJ的分析性思维使得在面对复杂问题时能够保持冷静和逻辑清晰。</w:t>
      </w:r>
    </w:p>
    <w:p>
      <w:pPr>
        <w:pStyle w:val="000003"/>
        <w:spacing w:before="120" w:after="120" w:line="360"/>
        <w:jc w:val="left"/>
        <w:rPr/>
      </w:pPr>
      <w:r>
        <w:rPr>
          <w:rFonts w:ascii="SimHei" w:hAnsi="SimHei" w:eastAsia="SimHei" w:cs="SimHei"/>
          <w:b w:val="1"/>
          <w:bCs w:val="1"/>
          <w:sz w:val="24"/>
          <w:szCs w:val="24"/>
        </w:rPr>
        <w:t>1.3.待发展能力</w:t>
      </w:r>
    </w:p>
    <w:p>
      <w:pPr>
        <w:spacing w:before="0" w:after="0" w:line="324"/>
        <w:ind w:firstLine="480"/>
        <w:jc w:val="both"/>
        <w:rPr/>
      </w:pPr>
      <w:r>
        <w:rPr>
          <w:rFonts w:ascii="SimSun" w:hAnsi="SimSun" w:eastAsia="SimSun" w:cs="SimSun"/>
          <w:sz w:val="24"/>
          <w:szCs w:val="24"/>
        </w:rPr>
        <w:t>编程方面需从C语言起步，逐步掌握Python科学计算栈（NumPy、SciPy、OpenCV），最终熟练使用PyTorch深度学习框架。光学设计方面需在本科阶段入门Zemax OpticStudio和CodeV。英语需从四六级逐步过渡到无障碍阅读Optics Express、Optica等SCI期刊论文。数学方面需深化优化理论和信息论的学习。</w:t>
      </w:r>
    </w:p>
    <w:p>
      <w:pPr>
        <w:pStyle w:val="00000e"/>
        <w:spacing w:before="240" w:after="240" w:line="360"/>
        <w:jc w:val="left"/>
        <w:rPr/>
      </w:pPr>
      <w:r>
        <w:rPr>
          <w:rFonts w:ascii="SimHei" w:hAnsi="SimHei" w:eastAsia="SimHei" w:cs="SimHei"/>
          <w:b w:val="1"/>
          <w:bCs w:val="1"/>
          <w:sz w:val="28"/>
          <w:szCs w:val="28"/>
        </w:rPr>
        <w:t>1.4  SWOT分析</w:t>
      </w:r>
    </w:p>
    <w:p>
      <w:pPr>
        <w:spacing w:before="0" w:after="0" w:line="324"/>
        <w:ind w:firstLine="480"/>
        <w:jc w:val="both"/>
        <w:rPr/>
      </w:pPr>
      <w:r>
        <w:rPr>
          <w:rFonts w:ascii="SimSun" w:hAnsi="SimSun" w:eastAsia="SimSun" w:cs="SimSun"/>
          <w:sz w:val="24"/>
          <w:szCs w:val="24"/>
        </w:rPr>
        <w:t>运用SWOT分析框架，将内部因素（优势S、劣势W）与外部因素（机会O、威胁T）进行交叉分析，为职业策略制定提供依据。</w:t>
      </w:r>
    </w:p>
    <w:p>
      <w:pPr>
        <w:spacing w:before="120" w:after="60"/>
        <w:jc w:val="center"/>
        <w:rPr/>
      </w:pPr>
      <w:r>
        <w:rPr>
          <w:rFonts w:ascii="SimSun" w:hAnsi="SimSun" w:eastAsia="SimSun" w:cs="SimSun"/>
          <w:b w:val="1"/>
          <w:bCs w:val="1"/>
          <w:sz w:val="21"/>
          <w:szCs w:val="21"/>
        </w:rPr>
        <w:t>表1-1  SWOT分析矩阵</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800"/>
        <w:gridCol w:w="6506"/>
      </w:tblGrid>
      <w:tr>
        <w:trPr/>
        <w:tc>
          <w:tcPr>
            <w:tcW w:w="18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维度</w:t>
            </w:r>
          </w:p>
        </w:tc>
        <w:tc>
          <w:tcPr>
            <w:tcW w:w="6506"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具体内容</w:t>
            </w:r>
          </w:p>
        </w:tc>
      </w:tr>
      <w:tr>
        <w:trPr/>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S-优势</w:t>
            </w:r>
          </w:p>
        </w:tc>
        <w:tc>
          <w:tcPr>
            <w:tcW w:w="6506"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INTJ战略思维、动手+学习双重驱动、方向选择前沿（计算成像+AI，处于行业红利期）</w:t>
            </w:r>
          </w:p>
        </w:tc>
      </w:tr>
      <w:tr>
        <w:trPr/>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W-劣势</w:t>
            </w:r>
          </w:p>
        </w:tc>
        <w:tc>
          <w:tcPr>
            <w:tcW w:w="6506"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大一知识储备不足、编程基础薄弱、本科平台可能不占优势</w:t>
            </w:r>
          </w:p>
        </w:tc>
      </w:tr>
      <w:tr>
        <w:trPr/>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O-机会</w:t>
            </w:r>
          </w:p>
        </w:tc>
        <w:tc>
          <w:tcPr>
            <w:tcW w:w="6506"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计算光学成像是国防、半导体、医疗等领域刚需；AI赋能光学正在风口；国产替代带来大量增量岗位</w:t>
            </w:r>
          </w:p>
        </w:tc>
      </w:tr>
      <w:tr>
        <w:trPr/>
        <w:tc>
          <w:tcPr>
            <w:tcW w:w="18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T-威胁</w:t>
            </w:r>
          </w:p>
        </w:tc>
        <w:tc>
          <w:tcPr>
            <w:tcW w:w="6506"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AI技术迭代快需持续学习；光电核心岗位以硕博为主；京津冀人才密集，竞争激烈</w:t>
            </w:r>
          </w:p>
        </w:tc>
      </w:tr>
    </w:tbl>
    <w:p>
      <w:pPr>
        <w:spacing w:after="0"/>
        <w:rPr/>
      </w:pPr>
    </w:p>
    <w:p>
      <w:pPr>
        <w:spacing w:before="0" w:after="0" w:line="324"/>
        <w:ind w:firstLine="480"/>
        <w:jc w:val="both"/>
        <w:rPr/>
      </w:pPr>
      <w:r>
        <w:rPr>
          <w:rFonts w:ascii="SimSun" w:hAnsi="SimSun" w:eastAsia="SimSun" w:cs="SimSun"/>
          <w:sz w:val="24"/>
          <w:szCs w:val="24"/>
        </w:rPr>
        <w:t>SWOT交叉分析结论：采取SO与WO组合策略——充分利用计算成像的行业风口（O）和个人学习自驱力（S），快速弥补知识储备和编程的短板（W），同时通过选择高壁垒的交叉方向（光学+AI）来化解学历门槛和竞争压力（T）。</w:t>
      </w:r>
    </w:p>
    <w:p>
      <w:pPr>
        <w:pStyle w:val="00000e"/>
        <w:spacing w:before="240" w:after="240" w:line="360"/>
        <w:jc w:val="left"/>
        <w:rPr/>
      </w:pPr>
      <w:r>
        <w:rPr>
          <w:rFonts w:ascii="SimHei" w:hAnsi="SimHei" w:eastAsia="SimHei" w:cs="SimHei"/>
          <w:b w:val="1"/>
          <w:bCs w:val="1"/>
          <w:sz w:val="28"/>
          <w:szCs w:val="28"/>
        </w:rPr>
        <w:t>1.5  360度自我评价</w:t>
      </w:r>
    </w:p>
    <w:p>
      <w:pPr>
        <w:spacing w:before="0" w:after="0" w:line="324"/>
        <w:ind w:firstLine="480"/>
        <w:jc w:val="both"/>
        <w:rPr/>
      </w:pPr>
      <w:r>
        <w:rPr>
          <w:rFonts w:ascii="SimSun" w:hAnsi="SimSun" w:eastAsia="SimSun" w:cs="SimSun"/>
          <w:sz w:val="24"/>
          <w:szCs w:val="24"/>
        </w:rPr>
        <w:t>从自我评价、他人视角和理想自我三个维度进行审视，以获得更加立体的自我认知。</w:t>
      </w:r>
    </w:p>
    <w:p>
      <w:pPr>
        <w:spacing w:before="120" w:after="60"/>
        <w:jc w:val="center"/>
        <w:rPr/>
      </w:pPr>
      <w:r>
        <w:rPr>
          <w:rFonts w:ascii="SimSun" w:hAnsi="SimSun" w:eastAsia="SimSun" w:cs="SimSun"/>
          <w:b w:val="1"/>
          <w:bCs w:val="1"/>
          <w:sz w:val="21"/>
          <w:szCs w:val="21"/>
        </w:rPr>
        <w:t>表1-2  360度自我评价</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c>
          <w:tcPr>
            <w:tcW w:w="15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评价维度</w:t>
            </w:r>
          </w:p>
        </w:tc>
        <w:tc>
          <w:tcPr>
            <w:tcW w:w="3763"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核心内容</w:t>
            </w:r>
          </w:p>
        </w:tc>
        <w:tc>
          <w:tcPr>
            <w:tcW w:w="3763"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改进方向</w:t>
            </w:r>
          </w:p>
        </w:tc>
      </w:tr>
      <w:tr>
        <w:trPr/>
        <w:tc>
          <w:tcPr>
            <w:tcW w:w="1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自我评价</w:t>
            </w:r>
          </w:p>
        </w:tc>
        <w:tc>
          <w:tcPr>
            <w:tcW w:w="3763"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有明确的兴趣方向和内驱力，享受学习和动手的过程。但有时过于沉浸在自己的节奏中，对时间节点不够敏感。</w:t>
            </w:r>
          </w:p>
        </w:tc>
        <w:tc>
          <w:tcPr>
            <w:tcW w:w="3763"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加强时间管理和任务优先级意识</w:t>
            </w:r>
          </w:p>
        </w:tc>
      </w:tr>
      <w:tr>
        <w:trPr/>
        <w:tc>
          <w:tcPr>
            <w:tcW w:w="1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他人眼中的我</w:t>
            </w:r>
          </w:p>
        </w:tc>
        <w:tc>
          <w:tcPr>
            <w:tcW w:w="3763"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（推测）认真、靠谱、能钻研，但话不多，不太主动参与社交活动，有时给人活在自己世界里的印象。</w:t>
            </w:r>
          </w:p>
        </w:tc>
        <w:tc>
          <w:tcPr>
            <w:tcW w:w="3763"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主动沟通、参与团队活动、表达想法</w:t>
            </w:r>
          </w:p>
        </w:tc>
      </w:tr>
      <w:tr>
        <w:trPr/>
        <w:tc>
          <w:tcPr>
            <w:tcW w:w="15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理想的我</w:t>
            </w:r>
          </w:p>
        </w:tc>
        <w:tc>
          <w:tcPr>
            <w:tcW w:w="3763"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成为计算光学成像领域的技术专家，既能从第一性原理出发设计光学系统，又能用深度学习算法挖掘成像极限性能。</w:t>
            </w:r>
          </w:p>
        </w:tc>
        <w:tc>
          <w:tcPr>
            <w:tcW w:w="3763"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以此为北极星，反推每个阶段的能力建设</w:t>
            </w:r>
          </w:p>
        </w:tc>
      </w:tr>
    </w:tbl>
    <w:p>
      <w:pPr>
        <w:spacing w:after="0"/>
        <w:rPr/>
      </w:pPr>
    </w:p>
    <w:p>
      <w:pPr>
        <w:rPr/>
      </w:pPr>
      <w:r>
        <w:rPr/>
        <w:br w:type="page"/>
      </w:r>
    </w:p>
    <w:p>
      <w:pPr>
        <w:pStyle w:val="000012"/>
        <w:spacing w:before="360" w:after="360" w:line="360"/>
        <w:jc w:val="center"/>
        <w:rPr/>
      </w:pPr>
      <w:r>
        <w:rPr>
          <w:rFonts w:ascii="SimHei" w:hAnsi="SimHei" w:eastAsia="SimHei" w:cs="SimHei"/>
          <w:b w:val="1"/>
          <w:bCs w:val="1"/>
          <w:sz w:val="32"/>
          <w:szCs w:val="32"/>
        </w:rPr>
        <w:t>第2章  职业认知</w:t>
      </w:r>
    </w:p>
    <w:p>
      <w:pPr>
        <w:spacing w:before="0" w:after="0" w:line="324"/>
        <w:ind w:firstLine="480"/>
        <w:jc w:val="both"/>
        <w:rPr/>
      </w:pPr>
      <w:r>
        <w:rPr>
          <w:rFonts w:ascii="SimSun" w:hAnsi="SimSun" w:eastAsia="SimSun" w:cs="SimSun"/>
          <w:sz w:val="24"/>
          <w:szCs w:val="24"/>
        </w:rPr>
        <w:t>在完成自我认知的基础上，本章对外部环境进行系统分析，涵盖光电信息产业的宏观态势、计算光学成像方向的深度剖析、京津冀地区的就业环境评估，以及目标职业的岗位画像。</w:t>
      </w:r>
    </w:p>
    <w:p>
      <w:pPr>
        <w:pStyle w:val="00000e"/>
        <w:spacing w:before="240" w:after="240" w:line="360"/>
        <w:jc w:val="left"/>
        <w:rPr/>
      </w:pPr>
      <w:r>
        <w:rPr>
          <w:rFonts w:ascii="SimHei" w:hAnsi="SimHei" w:eastAsia="SimHei" w:cs="SimHei"/>
          <w:b w:val="1"/>
          <w:bCs w:val="1"/>
          <w:sz w:val="28"/>
          <w:szCs w:val="28"/>
        </w:rPr>
        <w:t>2.1  光电信息产业宏观环境</w:t>
      </w:r>
    </w:p>
    <w:p>
      <w:pPr>
        <w:spacing w:before="0" w:after="0" w:line="324"/>
        <w:ind w:firstLine="480"/>
        <w:jc w:val="both"/>
        <w:rPr/>
      </w:pPr>
      <w:r>
        <w:rPr>
          <w:rFonts w:ascii="SimSun" w:hAnsi="SimSun" w:eastAsia="SimSun" w:cs="SimSun"/>
          <w:sz w:val="24"/>
          <w:szCs w:val="24"/>
        </w:rPr>
        <w:t>光电信息产业是当今世界最具活力的战略性高技术产业之一。根据国际光学工程学会（SPIE）数据，全球光电产业市场规模已超过6000亿美元，并保持年均约7%至9%的增速。在中国，光电产业被列为国家十四五规划中的战略性新兴产业，受到政策大力扶持。</w:t>
      </w:r>
    </w:p>
    <w:p>
      <w:pPr>
        <w:spacing w:before="0" w:after="0" w:line="324"/>
        <w:ind w:firstLine="480"/>
        <w:jc w:val="both"/>
        <w:rPr/>
      </w:pPr>
      <w:r>
        <w:rPr>
          <w:rFonts w:ascii="SimSun" w:hAnsi="SimSun" w:eastAsia="SimSun" w:cs="SimSun"/>
          <w:sz w:val="24"/>
          <w:szCs w:val="24"/>
        </w:rPr>
        <w:t>具体到计算光学成像方向，中国制造2025将新一代信息技术、航空航天装备（依赖遥感成像）列为重点领域。工信部发布的《量子信息与光电子产业发展行动计划》进一步明确了光学计算和智能成像的发展路线。这些政策红利为计算光学成像方向提供了长期的产业基本面支撑。</w:t>
      </w:r>
    </w:p>
    <w:p>
      <w:pPr>
        <w:spacing w:before="0" w:after="0" w:line="324"/>
        <w:ind w:firstLine="480"/>
        <w:jc w:val="both"/>
        <w:rPr/>
      </w:pPr>
      <w:r>
        <w:rPr>
          <w:rFonts w:ascii="SimSun" w:hAnsi="SimSun" w:eastAsia="SimSun" w:cs="SimSun"/>
          <w:sz w:val="24"/>
          <w:szCs w:val="24"/>
        </w:rPr>
        <w:t>京津冀地区的光电产业布局呈现差异化分工：北京以科研院所和AI算法企业为主，是技术研发和创新策源地；天津依托天津大学的精密仪器学科优势，在光电制造和光通信领域有产业聚集；河北的石家庄和保定布局军工电子企业，雄安新区则将光电信息技术列为未来产业方向之一。</w:t>
      </w:r>
    </w:p>
    <w:p>
      <w:pPr>
        <w:pStyle w:val="00000e"/>
        <w:spacing w:before="240" w:after="240" w:line="360"/>
        <w:jc w:val="left"/>
        <w:rPr/>
      </w:pPr>
      <w:r>
        <w:rPr>
          <w:rFonts w:ascii="SimHei" w:hAnsi="SimHei" w:eastAsia="SimHei" w:cs="SimHei"/>
          <w:b w:val="1"/>
          <w:bCs w:val="1"/>
          <w:sz w:val="28"/>
          <w:szCs w:val="28"/>
        </w:rPr>
        <w:t>2.2  计算光学成像方向分析</w:t>
      </w:r>
    </w:p>
    <w:p>
      <w:pPr>
        <w:spacing w:before="0" w:after="0" w:line="324"/>
        <w:ind w:firstLine="480"/>
        <w:jc w:val="both"/>
        <w:rPr/>
      </w:pPr>
      <w:r>
        <w:rPr>
          <w:rFonts w:ascii="SimSun" w:hAnsi="SimSun" w:eastAsia="SimSun" w:cs="SimSun"/>
          <w:sz w:val="24"/>
          <w:szCs w:val="24"/>
        </w:rPr>
        <w:t>计算光学成像（Computational Optical Imaging）是近年来光学领域最前沿的方向之一。其核心理念是打破传统光学设计中光学系统独立成像、后端独立处理的分离范式，转而将光学前端与计算后端进行联合优化——在前端通过特殊设计的光学元件对光场进行编码调制，在后端通过算法（特别是深度学习算法）对编码信息进行解码重建，从而实现超越传统光学极限的成像性能。</w:t>
      </w:r>
    </w:p>
    <w:p>
      <w:pPr>
        <w:spacing w:before="0" w:after="0" w:line="324"/>
        <w:ind w:firstLine="480"/>
        <w:jc w:val="both"/>
        <w:rPr/>
      </w:pPr>
      <w:r>
        <w:rPr>
          <w:rFonts w:ascii="SimSun" w:hAnsi="SimSun" w:eastAsia="SimSun" w:cs="SimSun"/>
          <w:sz w:val="24"/>
          <w:szCs w:val="24"/>
        </w:rPr>
        <w:t>典型应用场景包括：超分辨率显微成像（突破衍射极限，服务于生命科学和医疗诊断）、计算摄影（华为、小米、OPPO等厂商将其作为核心差异化技术）、遥感探测（高光谱成像与压缩感知技术结合）、AR/VR近眼显示（Meta和苹果的空间计算设备依赖计算全息和光场显示技术）、以及自动驾驶感知（激光雷达与视觉融合方案）。</w:t>
      </w:r>
    </w:p>
    <w:p>
      <w:pPr>
        <w:spacing w:before="0" w:after="0" w:line="324"/>
        <w:ind w:firstLine="480"/>
        <w:jc w:val="both"/>
        <w:rPr/>
      </w:pPr>
      <w:r>
        <w:rPr>
          <w:rFonts w:ascii="SimSun" w:hAnsi="SimSun" w:eastAsia="SimSun" w:cs="SimSun"/>
          <w:sz w:val="24"/>
          <w:szCs w:val="24"/>
        </w:rPr>
        <w:t>在产业端，华为的XMAGE影像品牌本质上就是以计算光学为核心的计算摄影体系；大疆在无人机视觉感知方面积累深厚；旷视科技和商汤科技在CV算法层面有深厚储备；长春光机所和成都光电所在国防计算成像方面承担了大量国家任务；舜宇光学和欧菲光在手机镜头模组端是典型代表。这一方向的人才需求旺盛且供给不足，形成了对从业者有利的供需格局。</w:t>
      </w:r>
    </w:p>
    <w:p>
      <w:pPr>
        <w:spacing w:before="0" w:after="0" w:line="324"/>
        <w:ind w:firstLine="480"/>
        <w:jc w:val="both"/>
        <w:rPr/>
      </w:pPr>
      <w:r>
        <w:rPr>
          <w:rFonts w:ascii="SimSun" w:hAnsi="SimSun" w:eastAsia="SimSun" w:cs="SimSun"/>
          <w:sz w:val="24"/>
          <w:szCs w:val="24"/>
        </w:rPr>
        <w:t>深度学习在光学中的应用正在快速发展：端到端光学设计、计算重建、超分辨和去噪、以及计算全息等都是活跃的研究前沿。Stanford的Computational Imaging Lab、MIT的Camera Culture Group、以及国内的清华、浙大、北理工、西安电子科技大学等高校都在这一方向有重要产出。</w:t>
      </w:r>
    </w:p>
    <w:p>
      <w:pPr>
        <w:pStyle w:val="00000e"/>
        <w:spacing w:before="240" w:after="240" w:line="360"/>
        <w:jc w:val="left"/>
        <w:rPr/>
      </w:pPr>
      <w:r>
        <w:rPr>
          <w:rFonts w:ascii="SimHei" w:hAnsi="SimHei" w:eastAsia="SimHei" w:cs="SimHei"/>
          <w:b w:val="1"/>
          <w:bCs w:val="1"/>
          <w:sz w:val="28"/>
          <w:szCs w:val="28"/>
        </w:rPr>
        <w:t>2.3  京津冀地区就业环境分析</w:t>
      </w:r>
    </w:p>
    <w:p>
      <w:pPr>
        <w:spacing w:before="120" w:after="60"/>
        <w:jc w:val="center"/>
        <w:rPr/>
      </w:pPr>
      <w:r>
        <w:rPr>
          <w:rFonts w:ascii="SimSun" w:hAnsi="SimSun" w:eastAsia="SimSun" w:cs="SimSun"/>
          <w:b w:val="1"/>
          <w:bCs w:val="1"/>
          <w:sz w:val="21"/>
          <w:szCs w:val="21"/>
        </w:rPr>
        <w:t>表2-1  京津冀地区光电产业布局对比</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c>
          <w:tcPr>
            <w:tcW w:w="15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城市</w:t>
            </w:r>
          </w:p>
        </w:tc>
        <w:tc>
          <w:tcPr>
            <w:tcW w:w="3763"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优势资源</w:t>
            </w:r>
          </w:p>
        </w:tc>
        <w:tc>
          <w:tcPr>
            <w:tcW w:w="3763"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代表单位</w:t>
            </w:r>
          </w:p>
        </w:tc>
      </w:tr>
      <w:tr>
        <w:trPr/>
        <w:tc>
          <w:tcPr>
            <w:tcW w:w="1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北京</w:t>
            </w:r>
          </w:p>
        </w:tc>
        <w:tc>
          <w:tcPr>
            <w:tcW w:w="3763"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科研院所密集，AI算法岗位集中，大厂研究院，薪资全国领先</w:t>
            </w:r>
          </w:p>
        </w:tc>
        <w:tc>
          <w:tcPr>
            <w:tcW w:w="3763"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中科院光电院、清华/北理工/北航、字节/小米/美团、旷视/商汤</w:t>
            </w:r>
          </w:p>
        </w:tc>
      </w:tr>
      <w:tr>
        <w:trPr/>
        <w:tc>
          <w:tcPr>
            <w:tcW w:w="1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天津</w:t>
            </w:r>
          </w:p>
        </w:tc>
        <w:tc>
          <w:tcPr>
            <w:tcW w:w="3763"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精密仪器学科强势，光电制造业集中，生活成本低于北京</w:t>
            </w:r>
          </w:p>
        </w:tc>
        <w:tc>
          <w:tcPr>
            <w:tcW w:w="3763"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天津大学精仪学院、中环股份、光电通信企业聚集区</w:t>
            </w:r>
          </w:p>
        </w:tc>
      </w:tr>
      <w:tr>
        <w:trPr/>
        <w:tc>
          <w:tcPr>
            <w:tcW w:w="15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河北</w:t>
            </w:r>
          </w:p>
        </w:tc>
        <w:tc>
          <w:tcPr>
            <w:tcW w:w="3763"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军工电子企业布局，雄安新区光电信息技术方向潜力</w:t>
            </w:r>
          </w:p>
        </w:tc>
        <w:tc>
          <w:tcPr>
            <w:tcW w:w="3763"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中电科13所/54所、石家庄光电企业、雄安科技园区</w:t>
            </w:r>
          </w:p>
        </w:tc>
      </w:tr>
    </w:tbl>
    <w:p>
      <w:pPr>
        <w:spacing w:after="0"/>
        <w:rPr/>
      </w:pPr>
    </w:p>
    <w:p>
      <w:pPr>
        <w:spacing w:before="0" w:after="0" w:line="324"/>
        <w:ind w:firstLine="480"/>
        <w:jc w:val="both"/>
        <w:rPr/>
      </w:pPr>
      <w:r>
        <w:rPr>
          <w:rFonts w:ascii="SimSun" w:hAnsi="SimSun" w:eastAsia="SimSun" w:cs="SimSun"/>
          <w:sz w:val="24"/>
          <w:szCs w:val="24"/>
        </w:rPr>
        <w:t>薪资参考（2026年行情）：本科应届生8K至12K/月，硕士应届生15K至25K/月，博士应届生25K至40K/月。算法岗通常高于硬件岗，北京高于天津和河北。计算光学成像（偏算法方向）的硕士起薪通常处于中上水平，约18K至25K/月。</w:t>
      </w:r>
    </w:p>
    <w:p>
      <w:pPr>
        <w:pStyle w:val="00000e"/>
        <w:spacing w:before="240" w:after="240" w:line="360"/>
        <w:jc w:val="left"/>
        <w:rPr/>
      </w:pPr>
      <w:r>
        <w:rPr>
          <w:rFonts w:ascii="SimHei" w:hAnsi="SimHei" w:eastAsia="SimHei" w:cs="SimHei"/>
          <w:b w:val="1"/>
          <w:bCs w:val="1"/>
          <w:sz w:val="28"/>
          <w:szCs w:val="28"/>
        </w:rPr>
        <w:t>2.4  职业画像：计算光学成像工程师</w:t>
      </w:r>
    </w:p>
    <w:p>
      <w:pPr>
        <w:spacing w:before="0" w:after="0" w:line="324"/>
        <w:ind w:firstLine="480"/>
        <w:jc w:val="both"/>
        <w:rPr/>
      </w:pPr>
      <w:r>
        <w:rPr>
          <w:rFonts w:ascii="SimSun" w:hAnsi="SimSun" w:eastAsia="SimSun" w:cs="SimSun"/>
          <w:sz w:val="24"/>
          <w:szCs w:val="24"/>
        </w:rPr>
        <w:t>综合以上分析，将计算光学成像工程师作为首选职业目标。该岗位的职责包括：设计计算成像系统的光学前端（包括自由曲面光学、衍射光学元件、编码孔径等），开发后端图像重建与增强算法（基于深度学习或迭代优化方法），搭建实验平台进行系统验证与性能测试，跟踪国际前沿文献并将最新方法应用于工程实践，撰写技术文档与专利。</w:t>
      </w:r>
    </w:p>
    <w:p>
      <w:pPr>
        <w:spacing w:before="0" w:after="0" w:line="324"/>
        <w:ind w:firstLine="480"/>
        <w:jc w:val="both"/>
        <w:rPr/>
      </w:pPr>
      <w:r>
        <w:rPr>
          <w:rFonts w:ascii="SimSun" w:hAnsi="SimSun" w:eastAsia="SimSun" w:cs="SimSun"/>
          <w:sz w:val="24"/>
          <w:szCs w:val="24"/>
        </w:rPr>
        <w:t>计算光学成像工程师需要构建光学设计、算法开发、实验验证的三角能力结构。光学设计是根基——理解像差理论、光学系统建模、Zemax和CodeV软件使用；算法开发是杠杆——Python和PyTorch工程能力、计算成像理论（压缩感知、相位恢复、反问题求解）、深度学习模型设计；实验验证是闭环——光路搭建、探测器选型与标定、系统集成与调试。</w:t>
      </w:r>
    </w:p>
    <w:p>
      <w:pPr>
        <w:spacing w:before="0" w:after="0" w:line="324"/>
        <w:ind w:firstLine="480"/>
        <w:jc w:val="both"/>
        <w:rPr/>
      </w:pPr>
      <w:r>
        <w:rPr>
          <w:rFonts w:ascii="SimSun" w:hAnsi="SimSun" w:eastAsia="SimSun" w:cs="SimSun"/>
          <w:sz w:val="24"/>
          <w:szCs w:val="24"/>
        </w:rPr>
        <w:t>该岗位普遍要求硕士及以上学历。技术路线发展通道：初级工程师（1至3年）、高级工程师（3至5年）、技术专家（5至10年）、首席科学家或技术VP（10年以上）。在计算光学这一交叉领域，T型人才（在光学和算法两个维度同时有深度）比一型人才（只深入一个维度）具有更强的不可替代性和更高的职业天花板。</w:t>
      </w:r>
    </w:p>
    <w:p>
      <w:pPr>
        <w:rPr/>
      </w:pPr>
      <w:r>
        <w:rPr/>
        <w:br w:type="page"/>
      </w:r>
    </w:p>
    <w:p>
      <w:pPr>
        <w:pStyle w:val="000012"/>
        <w:spacing w:before="360" w:after="360" w:line="360"/>
        <w:jc w:val="center"/>
        <w:rPr/>
      </w:pPr>
      <w:r>
        <w:rPr>
          <w:rFonts w:ascii="SimHei" w:hAnsi="SimHei" w:eastAsia="SimHei" w:cs="SimHei"/>
          <w:b w:val="1"/>
          <w:bCs w:val="1"/>
          <w:sz w:val="32"/>
          <w:szCs w:val="32"/>
        </w:rPr>
        <w:t>第3章  职业目标与路径设计</w:t>
      </w:r>
    </w:p>
    <w:p>
      <w:pPr>
        <w:spacing w:before="0" w:after="0" w:line="324"/>
        <w:ind w:firstLine="480"/>
        <w:jc w:val="both"/>
        <w:rPr/>
      </w:pPr>
      <w:r>
        <w:rPr>
          <w:rFonts w:ascii="SimSun" w:hAnsi="SimSun" w:eastAsia="SimSun" w:cs="SimSun"/>
          <w:sz w:val="24"/>
          <w:szCs w:val="24"/>
        </w:rPr>
        <w:t>基于自我认知和职业认知的分析结论，本章从远期愿景出发倒推中期和短期目标，设计主路径和备选路径，并通过决策平衡单对不同选择进行量化对比。</w:t>
      </w:r>
    </w:p>
    <w:p>
      <w:pPr>
        <w:pStyle w:val="00000e"/>
        <w:spacing w:before="240" w:after="240" w:line="360"/>
        <w:jc w:val="left"/>
        <w:rPr/>
      </w:pPr>
      <w:r>
        <w:rPr>
          <w:rFonts w:ascii="SimHei" w:hAnsi="SimHei" w:eastAsia="SimHei" w:cs="SimHei"/>
          <w:b w:val="1"/>
          <w:bCs w:val="1"/>
          <w:sz w:val="28"/>
          <w:szCs w:val="28"/>
        </w:rPr>
        <w:t>3.1  职业目标体系</w:t>
      </w:r>
    </w:p>
    <w:p>
      <w:pPr>
        <w:pStyle w:val="000003"/>
        <w:spacing w:before="120" w:after="120" w:line="360"/>
        <w:jc w:val="left"/>
        <w:rPr/>
      </w:pPr>
      <w:r>
        <w:rPr>
          <w:rFonts w:ascii="SimHei" w:hAnsi="SimHei" w:eastAsia="SimHei" w:cs="SimHei"/>
          <w:b w:val="1"/>
          <w:bCs w:val="1"/>
          <w:sz w:val="24"/>
          <w:szCs w:val="24"/>
        </w:rPr>
        <w:t>3.1.远期目标（10至15年）</w:t>
      </w:r>
    </w:p>
    <w:p>
      <w:pPr>
        <w:spacing w:before="0" w:after="0" w:line="324"/>
        <w:ind w:firstLine="480"/>
        <w:jc w:val="both"/>
        <w:rPr/>
      </w:pPr>
      <w:r>
        <w:rPr>
          <w:rFonts w:ascii="SimSun" w:hAnsi="SimSun" w:eastAsia="SimSun" w:cs="SimSun"/>
          <w:sz w:val="24"/>
          <w:szCs w:val="24"/>
        </w:rPr>
        <w:t>成为计算光学成像领域的技术专家或技术创业者，在成像系统与AI算法融合方向具有行业影响力和不可替代性。能够从第一性原理出发设计完整的计算成像系统，主导过至少一个从概念到产品的完整技术闭环。如果选择创业路径，在光学检测或计算摄影等细分领域拥有自己的技术公司。</w:t>
      </w:r>
    </w:p>
    <w:p>
      <w:pPr>
        <w:pStyle w:val="000003"/>
        <w:spacing w:before="120" w:after="120" w:line="360"/>
        <w:jc w:val="left"/>
        <w:rPr/>
      </w:pPr>
      <w:r>
        <w:rPr>
          <w:rFonts w:ascii="SimHei" w:hAnsi="SimHei" w:eastAsia="SimHei" w:cs="SimHei"/>
          <w:b w:val="1"/>
          <w:bCs w:val="1"/>
          <w:sz w:val="24"/>
          <w:szCs w:val="24"/>
        </w:rPr>
        <w:t>3.1.中期目标（3至5年，硕士毕业后）</w:t>
      </w:r>
    </w:p>
    <w:p>
      <w:pPr>
        <w:spacing w:before="0" w:after="0" w:line="324"/>
        <w:ind w:firstLine="480"/>
        <w:jc w:val="both"/>
        <w:rPr/>
      </w:pPr>
      <w:r>
        <w:rPr>
          <w:rFonts w:ascii="SimSun" w:hAnsi="SimSun" w:eastAsia="SimSun" w:cs="SimSun"/>
          <w:sz w:val="24"/>
          <w:szCs w:val="24"/>
        </w:rPr>
        <w:t>硕士毕业后进入京津冀地区的光电或AI企业或研究所，担任计算成像或光学算法方向的工程师，在3至5年内深度参与2至3个完整项目，建立自己的技术标签和行业声誉。如选择继续深造读博，则在博士期间产出高质量研究成果，为进入科研院所或企业研究岗做准备。</w:t>
      </w:r>
    </w:p>
    <w:p>
      <w:pPr>
        <w:pStyle w:val="000003"/>
        <w:spacing w:before="120" w:after="120" w:line="360"/>
        <w:jc w:val="left"/>
        <w:rPr/>
      </w:pPr>
      <w:r>
        <w:rPr>
          <w:rFonts w:ascii="SimHei" w:hAnsi="SimHei" w:eastAsia="SimHei" w:cs="SimHei"/>
          <w:b w:val="1"/>
          <w:bCs w:val="1"/>
          <w:sz w:val="24"/>
          <w:szCs w:val="24"/>
        </w:rPr>
        <w:t>3.1.短期目标（大学4年加硕士3年）</w:t>
      </w:r>
    </w:p>
    <w:p>
      <w:pPr>
        <w:spacing w:before="0" w:after="0" w:line="324"/>
        <w:ind w:firstLine="480"/>
        <w:jc w:val="both"/>
        <w:rPr/>
      </w:pPr>
      <w:r>
        <w:rPr>
          <w:rFonts w:ascii="SimSun" w:hAnsi="SimSun" w:eastAsia="SimSun" w:cs="SimSun"/>
          <w:sz w:val="24"/>
          <w:szCs w:val="24"/>
        </w:rPr>
        <w:t>本科阶段学好每一门核心课程（高数、线代、概率论、大学物理、光学、信号处理），掌握C/C++和Python编程，入门Zemax和PyTorch，参加光电设计大赛或数学建模竞赛，大二进入实验室积累科研经验，大三确定保研或考研目标院校，大四完成高质量的计算成像方向毕业设计。硕士阶段深入科研，产出2至3篇高水平论文和1至2项专利，深度参与横向课题并建立产学研人脉网络。</w:t>
      </w:r>
    </w:p>
    <w:p>
      <w:pPr>
        <w:pStyle w:val="00000e"/>
        <w:spacing w:before="240" w:after="240" w:line="360"/>
        <w:jc w:val="left"/>
        <w:rPr/>
      </w:pPr>
      <w:r>
        <w:rPr>
          <w:rFonts w:ascii="SimHei" w:hAnsi="SimHei" w:eastAsia="SimHei" w:cs="SimHei"/>
          <w:b w:val="1"/>
          <w:bCs w:val="1"/>
          <w:sz w:val="28"/>
          <w:szCs w:val="28"/>
        </w:rPr>
        <w:t>3.2  发展路径设计</w:t>
      </w:r>
    </w:p>
    <w:p>
      <w:pPr>
        <w:pStyle w:val="000003"/>
        <w:spacing w:before="120" w:after="120" w:line="360"/>
        <w:jc w:val="left"/>
        <w:rPr/>
      </w:pPr>
      <w:r>
        <w:rPr>
          <w:rFonts w:ascii="SimHei" w:hAnsi="SimHei" w:eastAsia="SimHei" w:cs="SimHei"/>
          <w:b w:val="1"/>
          <w:bCs w:val="1"/>
          <w:sz w:val="24"/>
          <w:szCs w:val="24"/>
        </w:rPr>
        <w:t>3.2.主路径：产业界R&amp;D方向</w:t>
      </w:r>
    </w:p>
    <w:p>
      <w:pPr>
        <w:spacing w:before="0" w:after="0" w:line="324"/>
        <w:ind w:firstLine="480"/>
        <w:jc w:val="both"/>
        <w:rPr/>
      </w:pPr>
      <w:r>
        <w:rPr>
          <w:rFonts w:ascii="SimSun" w:hAnsi="SimSun" w:eastAsia="SimSun" w:cs="SimSun"/>
          <w:sz w:val="24"/>
          <w:szCs w:val="24"/>
        </w:rPr>
        <w:t>本科（光电信息科学与工程）到硕士（光学工程或电子信息，目标院校为北理工、清华、天大、北航或国科大），再到产业界R&amp;D工程师（华为、小米、旷视、舜宇、大疆等或其京津冀研发中心），再到高级工程师，最终成为技术专家。这条路径的优势是紧贴产业需求、技术迭代快、收入增长曲线陡峭。</w:t>
      </w:r>
    </w:p>
    <w:p>
      <w:pPr>
        <w:pStyle w:val="000003"/>
        <w:spacing w:before="120" w:after="120" w:line="360"/>
        <w:jc w:val="left"/>
        <w:rPr/>
      </w:pPr>
      <w:r>
        <w:rPr>
          <w:rFonts w:ascii="SimHei" w:hAnsi="SimHei" w:eastAsia="SimHei" w:cs="SimHei"/>
          <w:b w:val="1"/>
          <w:bCs w:val="1"/>
          <w:sz w:val="24"/>
          <w:szCs w:val="24"/>
        </w:rPr>
        <w:t>3.2.备选路径：科研院所方向</w:t>
      </w:r>
    </w:p>
    <w:p>
      <w:pPr>
        <w:spacing w:before="0" w:after="0" w:line="324"/>
        <w:ind w:firstLine="480"/>
        <w:jc w:val="both"/>
        <w:rPr/>
      </w:pPr>
      <w:r>
        <w:rPr>
          <w:rFonts w:ascii="SimSun" w:hAnsi="SimSun" w:eastAsia="SimSun" w:cs="SimSun"/>
          <w:sz w:val="24"/>
          <w:szCs w:val="24"/>
        </w:rPr>
        <w:t>本科到硕士到博士（计算光学方向），再到中科院光电院或长光所或高校任教，最终成为独立PI或研究员。这条路径适合对基础科研有强烈兴趣、愿意接受更长培养周期、追求学术自由度的选择。</w:t>
      </w:r>
    </w:p>
    <w:p>
      <w:pPr>
        <w:pStyle w:val="000003"/>
        <w:spacing w:before="120" w:after="120" w:line="360"/>
        <w:jc w:val="left"/>
        <w:rPr/>
      </w:pPr>
      <w:r>
        <w:rPr>
          <w:rFonts w:ascii="SimHei" w:hAnsi="SimHei" w:eastAsia="SimHei" w:cs="SimHei"/>
          <w:b w:val="1"/>
          <w:bCs w:val="1"/>
          <w:sz w:val="24"/>
          <w:szCs w:val="24"/>
        </w:rPr>
        <w:t>3.2.创业视角</w:t>
      </w:r>
    </w:p>
    <w:p>
      <w:pPr>
        <w:spacing w:before="0" w:after="0" w:line="324"/>
        <w:ind w:firstLine="480"/>
        <w:jc w:val="both"/>
        <w:rPr/>
      </w:pPr>
      <w:r>
        <w:rPr>
          <w:rFonts w:ascii="SimSun" w:hAnsi="SimSun" w:eastAsia="SimSun" w:cs="SimSun"/>
          <w:sz w:val="24"/>
          <w:szCs w:val="24"/>
        </w:rPr>
        <w:t>在积累5至8年产业经验、建立技术判断力和行业人脉后，可在光学检测设备、工业视觉系统或计算摄影算法IP等细分领域创业。光电领域的创业通常不是纯互联网的从零到一模式，而是从一到N——利用已有的技术积累找到未被充分满足的细分需求。</w:t>
      </w:r>
    </w:p>
    <w:p>
      <w:pPr>
        <w:pStyle w:val="00000e"/>
        <w:spacing w:before="240" w:after="240" w:line="360"/>
        <w:jc w:val="left"/>
        <w:rPr/>
      </w:pPr>
      <w:r>
        <w:rPr>
          <w:rFonts w:ascii="SimHei" w:hAnsi="SimHei" w:eastAsia="SimHei" w:cs="SimHei"/>
          <w:b w:val="1"/>
          <w:bCs w:val="1"/>
          <w:sz w:val="28"/>
          <w:szCs w:val="28"/>
        </w:rPr>
        <w:t>3.3  决策平衡分析</w:t>
      </w:r>
    </w:p>
    <w:p>
      <w:pPr>
        <w:spacing w:before="0" w:after="0" w:line="324"/>
        <w:ind w:firstLine="480"/>
        <w:jc w:val="both"/>
        <w:rPr/>
      </w:pPr>
      <w:r>
        <w:rPr>
          <w:rFonts w:ascii="SimSun" w:hAnsi="SimSun" w:eastAsia="SimSun" w:cs="SimSun"/>
          <w:sz w:val="24"/>
          <w:szCs w:val="24"/>
        </w:rPr>
        <w:t>以下从收入水平、兴趣匹配度、发展空间、工作稳定性、地域适配度等维度，对不同选项进行加权打分（1至5分，5分为最优）。</w:t>
      </w:r>
    </w:p>
    <w:p>
      <w:pPr>
        <w:spacing w:before="120" w:after="60"/>
        <w:jc w:val="center"/>
        <w:rPr/>
      </w:pPr>
      <w:r>
        <w:rPr>
          <w:rFonts w:ascii="SimSun" w:hAnsi="SimSun" w:eastAsia="SimSun" w:cs="SimSun"/>
          <w:b w:val="1"/>
          <w:bCs w:val="1"/>
          <w:sz w:val="21"/>
          <w:szCs w:val="21"/>
        </w:rPr>
        <w:t>表3-1  职业选项决策平衡单</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684"/>
        <w:gridCol w:w="1684"/>
        <w:gridCol w:w="1684"/>
        <w:gridCol w:w="1684"/>
      </w:tblGrid>
      <w:tr>
        <w:trPr/>
        <w:tc>
          <w:tcPr>
            <w:tcW w:w="15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评估维度</w:t>
            </w:r>
          </w:p>
        </w:tc>
        <w:tc>
          <w:tcPr>
            <w:tcW w:w="8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权重</w:t>
            </w:r>
          </w:p>
        </w:tc>
        <w:tc>
          <w:tcPr>
            <w:tcW w:w="1684"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产业界R&amp;D</w:t>
            </w:r>
          </w:p>
        </w:tc>
        <w:tc>
          <w:tcPr>
            <w:tcW w:w="1684"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科研院所</w:t>
            </w:r>
          </w:p>
        </w:tc>
        <w:tc>
          <w:tcPr>
            <w:tcW w:w="1684"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创业</w:t>
            </w:r>
          </w:p>
        </w:tc>
        <w:tc>
          <w:tcPr>
            <w:tcW w:w="1684"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纯AI算法岗</w:t>
            </w:r>
          </w:p>
        </w:tc>
      </w:tr>
      <w:tr>
        <w:trPr/>
        <w:tc>
          <w:tcPr>
            <w:tcW w:w="1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收入水平</w:t>
            </w:r>
          </w:p>
        </w:tc>
        <w:tc>
          <w:tcPr>
            <w:tcW w:w="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0.20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4（0.80）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3（0.60）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5（1.00）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5（1.00）</w:t>
            </w:r>
          </w:p>
        </w:tc>
      </w:tr>
      <w:tr>
        <w:trPr/>
        <w:tc>
          <w:tcPr>
            <w:tcW w:w="1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兴趣匹配度</w:t>
            </w:r>
          </w:p>
        </w:tc>
        <w:tc>
          <w:tcPr>
            <w:tcW w:w="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0.25</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5（1.25）</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4（1.00）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4（1.00）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3（0.75）</w:t>
            </w:r>
          </w:p>
        </w:tc>
      </w:tr>
      <w:tr>
        <w:trPr/>
        <w:tc>
          <w:tcPr>
            <w:tcW w:w="1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发展空间</w:t>
            </w:r>
          </w:p>
        </w:tc>
        <w:tc>
          <w:tcPr>
            <w:tcW w:w="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0.20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4（0.80）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3（0.60）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5（1.00）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4（0.80）</w:t>
            </w:r>
          </w:p>
        </w:tc>
      </w:tr>
      <w:tr>
        <w:trPr/>
        <w:tc>
          <w:tcPr>
            <w:tcW w:w="1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工作稳定性</w:t>
            </w:r>
          </w:p>
        </w:tc>
        <w:tc>
          <w:tcPr>
            <w:tcW w:w="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0.15</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3（0.45）</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5（0.75）</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2（0.30）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3（0.45）</w:t>
            </w:r>
          </w:p>
        </w:tc>
      </w:tr>
      <w:tr>
        <w:trPr/>
        <w:tc>
          <w:tcPr>
            <w:tcW w:w="1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地域适配度</w:t>
            </w:r>
          </w:p>
        </w:tc>
        <w:tc>
          <w:tcPr>
            <w:tcW w:w="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0.20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4（0.80）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4（0.80）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3（0.60）</w:t>
            </w:r>
          </w:p>
        </w:tc>
        <w:tc>
          <w:tcPr>
            <w:tcW w:w="1684"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4（0.80）</w:t>
            </w:r>
          </w:p>
        </w:tc>
      </w:tr>
      <w:tr>
        <w:trPr/>
        <w:tc>
          <w:tcPr>
            <w:tcW w:w="15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加权总分</w:t>
            </w:r>
          </w:p>
        </w:tc>
        <w:tc>
          <w:tcPr>
            <w:tcW w:w="8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1.00</w:t>
            </w:r>
          </w:p>
        </w:tc>
        <w:tc>
          <w:tcPr>
            <w:tcW w:w="1684"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4.10</w:t>
            </w:r>
          </w:p>
        </w:tc>
        <w:tc>
          <w:tcPr>
            <w:tcW w:w="1684"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3.75</w:t>
            </w:r>
          </w:p>
        </w:tc>
        <w:tc>
          <w:tcPr>
            <w:tcW w:w="1684"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3.90</w:t>
            </w:r>
          </w:p>
        </w:tc>
        <w:tc>
          <w:tcPr>
            <w:tcW w:w="1684"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3.80</w:t>
            </w:r>
          </w:p>
        </w:tc>
      </w:tr>
    </w:tbl>
    <w:p>
      <w:pPr>
        <w:spacing w:after="0"/>
        <w:rPr/>
      </w:pPr>
    </w:p>
    <w:p>
      <w:pPr>
        <w:spacing w:before="0" w:after="0" w:line="324"/>
        <w:ind w:firstLine="480"/>
        <w:jc w:val="both"/>
        <w:rPr/>
      </w:pPr>
      <w:r>
        <w:rPr>
          <w:rFonts w:ascii="SimSun" w:hAnsi="SimSun" w:eastAsia="SimSun" w:cs="SimSun"/>
          <w:sz w:val="24"/>
          <w:szCs w:val="24"/>
        </w:rPr>
        <w:t>决策平衡单显示：产业界R&amp;D方向以4.10分位居第一，在兴趣匹配度和地域适配度两个高权重维度上表现突出。创业路径虽然总分不低，但考虑到当前阶段对行业认知和资源积累尚浅，更适合作为远期选项。综合分析，确认产业界R&amp;D方向为现阶段首选路径。</w:t>
      </w:r>
    </w:p>
    <w:p>
      <w:pPr>
        <w:rPr/>
      </w:pPr>
      <w:r>
        <w:rPr/>
        <w:br w:type="page"/>
      </w:r>
    </w:p>
    <w:p>
      <w:pPr>
        <w:pStyle w:val="000012"/>
        <w:spacing w:before="360" w:after="360" w:line="360"/>
        <w:jc w:val="center"/>
        <w:rPr/>
      </w:pPr>
      <w:r>
        <w:rPr>
          <w:rFonts w:ascii="SimHei" w:hAnsi="SimHei" w:eastAsia="SimHei" w:cs="SimHei"/>
          <w:b w:val="1"/>
          <w:bCs w:val="1"/>
          <w:sz w:val="32"/>
          <w:szCs w:val="32"/>
        </w:rPr>
        <w:t>第4章  规划与实施计划</w:t>
      </w:r>
    </w:p>
    <w:p>
      <w:pPr>
        <w:spacing w:before="0" w:after="0" w:line="324"/>
        <w:ind w:firstLine="480"/>
        <w:jc w:val="both"/>
        <w:rPr/>
      </w:pPr>
      <w:r>
        <w:rPr>
          <w:rFonts w:ascii="SimSun" w:hAnsi="SimSun" w:eastAsia="SimSun" w:cs="SimSun"/>
          <w:sz w:val="24"/>
          <w:szCs w:val="24"/>
        </w:rPr>
        <w:t>目标明确之后，关键在于系统性的执行。本章将职业目标分解到大学四年和研究生阶段的每个学期，形成可执行、可检查、可调整的行动计划。</w:t>
      </w:r>
    </w:p>
    <w:p>
      <w:pPr>
        <w:pStyle w:val="00000e"/>
        <w:spacing w:before="240" w:after="240" w:line="360"/>
        <w:jc w:val="left"/>
        <w:rPr/>
      </w:pPr>
      <w:r>
        <w:rPr>
          <w:rFonts w:ascii="SimHei" w:hAnsi="SimHei" w:eastAsia="SimHei" w:cs="SimHei"/>
          <w:b w:val="1"/>
          <w:bCs w:val="1"/>
          <w:sz w:val="28"/>
          <w:szCs w:val="28"/>
        </w:rPr>
        <w:t>4.1  大学四年分阶段计划</w:t>
      </w:r>
    </w:p>
    <w:p>
      <w:pPr>
        <w:pStyle w:val="000003"/>
        <w:spacing w:before="120" w:after="120" w:line="360"/>
        <w:jc w:val="left"/>
        <w:rPr/>
      </w:pPr>
      <w:r>
        <w:rPr>
          <w:rFonts w:ascii="SimHei" w:hAnsi="SimHei" w:eastAsia="SimHei" w:cs="SimHei"/>
          <w:b w:val="1"/>
          <w:bCs w:val="1"/>
          <w:sz w:val="24"/>
          <w:szCs w:val="24"/>
        </w:rPr>
        <w:t>4.1.大一：适应与奠基</w:t>
      </w:r>
    </w:p>
    <w:p>
      <w:pPr>
        <w:spacing w:before="0" w:after="0" w:line="324"/>
        <w:ind w:firstLine="480"/>
        <w:jc w:val="both"/>
        <w:rPr/>
      </w:pPr>
      <w:r>
        <w:rPr>
          <w:rFonts w:ascii="SimSun" w:hAnsi="SimSun" w:eastAsia="SimSun" w:cs="SimSun"/>
          <w:sz w:val="24"/>
          <w:szCs w:val="24"/>
        </w:rPr>
        <w:t>学业目标：高数、线代、大学物理期末成绩不低于85分；通过C语言程序设计课程并独立完成课程项目；通过英语四级考试（目标不低于550分）。探索任务：通过阅读科普文章和行业报告了解光电信息的各细分方向，初步确定计算成像为兴趣方向。技能积累：完成C语言入门学习，掌握基本数据结构和算法；开始自学Python基础语法；培养文献检索能力。</w:t>
      </w:r>
    </w:p>
    <w:p>
      <w:pPr>
        <w:pStyle w:val="000003"/>
        <w:spacing w:before="120" w:after="120" w:line="360"/>
        <w:jc w:val="left"/>
        <w:rPr/>
      </w:pPr>
      <w:r>
        <w:rPr>
          <w:rFonts w:ascii="SimHei" w:hAnsi="SimHei" w:eastAsia="SimHei" w:cs="SimHei"/>
          <w:b w:val="1"/>
          <w:bCs w:val="1"/>
          <w:sz w:val="24"/>
          <w:szCs w:val="24"/>
        </w:rPr>
        <w:t>4.1.大二：核心积累</w:t>
      </w:r>
    </w:p>
    <w:p>
      <w:pPr>
        <w:spacing w:before="0" w:after="0" w:line="324"/>
        <w:ind w:firstLine="480"/>
        <w:jc w:val="both"/>
        <w:rPr/>
      </w:pPr>
      <w:r>
        <w:rPr>
          <w:rFonts w:ascii="SimSun" w:hAnsi="SimSun" w:eastAsia="SimSun" w:cs="SimSun"/>
          <w:sz w:val="24"/>
          <w:szCs w:val="24"/>
        </w:rPr>
        <w:t>学业目标：工程光学、电磁场理论、信号与系统等核心专业课不低于80分；通过英语六级考试。技能突破：系统学习Python科学计算栈（NumPy、SciPy、Matplotlib、OpenCV），入门PyTorch深度学习框架，完成至少一个图像处理相关的个人项目，开始学习Zemax OpticStudio基本操作。竞赛与科研：参加全国大学生光电设计竞赛或数学建模竞赛，联系导师进入实验室从辅助性工作开始。</w:t>
      </w:r>
    </w:p>
    <w:p>
      <w:pPr>
        <w:pStyle w:val="000003"/>
        <w:spacing w:before="120" w:after="120" w:line="360"/>
        <w:jc w:val="left"/>
        <w:rPr/>
      </w:pPr>
      <w:r>
        <w:rPr>
          <w:rFonts w:ascii="SimHei" w:hAnsi="SimHei" w:eastAsia="SimHei" w:cs="SimHei"/>
          <w:b w:val="1"/>
          <w:bCs w:val="1"/>
          <w:sz w:val="24"/>
          <w:szCs w:val="24"/>
        </w:rPr>
        <w:t>4.1.大三：能力跃升</w:t>
      </w:r>
    </w:p>
    <w:p>
      <w:pPr>
        <w:spacing w:before="0" w:after="0" w:line="324"/>
        <w:ind w:firstLine="480"/>
        <w:jc w:val="both"/>
        <w:rPr/>
      </w:pPr>
      <w:r>
        <w:rPr>
          <w:rFonts w:ascii="SimSun" w:hAnsi="SimSun" w:eastAsia="SimSun" w:cs="SimSun"/>
          <w:sz w:val="24"/>
          <w:szCs w:val="24"/>
        </w:rPr>
        <w:t>学业目标：深度学习/机器学习课程、光学设计课程、光电检测技术等专业课不低于85分。核心技能：熟练使用Zemax进行中等复杂度的光学系统设计，熟练使用PyTorch实现主流图像重建网络（U-Net、ResNet等），每月精读至少2篇计算成像方向英文文献。关键决策：评估前两年学业成绩和科研积累，决定保研或考研策略。利用暑期申请企业实习（目标企业：华为、小米、旷视、舜宇、大疆）。</w:t>
      </w:r>
    </w:p>
    <w:p>
      <w:pPr>
        <w:pStyle w:val="000003"/>
        <w:spacing w:before="120" w:after="120" w:line="360"/>
        <w:jc w:val="left"/>
        <w:rPr/>
      </w:pPr>
      <w:r>
        <w:rPr>
          <w:rFonts w:ascii="SimHei" w:hAnsi="SimHei" w:eastAsia="SimHei" w:cs="SimHei"/>
          <w:b w:val="1"/>
          <w:bCs w:val="1"/>
          <w:sz w:val="24"/>
          <w:szCs w:val="24"/>
        </w:rPr>
        <w:t>4.1.大四：成果输出</w:t>
      </w:r>
    </w:p>
    <w:p>
      <w:pPr>
        <w:spacing w:before="0" w:after="0" w:line="324"/>
        <w:ind w:firstLine="480"/>
        <w:jc w:val="both"/>
        <w:rPr/>
      </w:pPr>
      <w:r>
        <w:rPr>
          <w:rFonts w:ascii="SimSun" w:hAnsi="SimSun" w:eastAsia="SimSun" w:cs="SimSun"/>
          <w:sz w:val="24"/>
          <w:szCs w:val="24"/>
        </w:rPr>
        <w:t>毕设选择计算成像相关课题（如基于深度学习的图像超分辨重建、计算全息或端到端光学设计），争取产出可发表的成果。在保研或考研结果确定后，提前联系目标导师，利用大四下学期提前进入科研状态。完成至少一个完整的开源项目作品，为后续求职或深造积累可展示的成果。</w:t>
      </w:r>
    </w:p>
    <w:p>
      <w:pPr>
        <w:pStyle w:val="00000e"/>
        <w:spacing w:before="240" w:after="240" w:line="360"/>
        <w:jc w:val="left"/>
        <w:rPr/>
      </w:pPr>
      <w:r>
        <w:rPr>
          <w:rFonts w:ascii="SimHei" w:hAnsi="SimHei" w:eastAsia="SimHei" w:cs="SimHei"/>
          <w:b w:val="1"/>
          <w:bCs w:val="1"/>
          <w:sz w:val="28"/>
          <w:szCs w:val="28"/>
        </w:rPr>
        <w:t>4.2  研究生阶段规划</w:t>
      </w:r>
    </w:p>
    <w:p>
      <w:pPr>
        <w:spacing w:before="0" w:after="0" w:line="324"/>
        <w:ind w:firstLine="480"/>
        <w:jc w:val="both"/>
        <w:rPr/>
      </w:pPr>
      <w:r>
        <w:rPr>
          <w:rFonts w:ascii="SimSun" w:hAnsi="SimSun" w:eastAsia="SimSun" w:cs="SimSun"/>
          <w:sz w:val="24"/>
          <w:szCs w:val="24"/>
        </w:rPr>
        <w:t>目标院校推荐（按优先级）：北京理工大学（光学工程A+学科，计算成像方向有王涌天教授团队）、清华大学（精密仪器系，计算成像和计算摄影研究国际知名）、天津大学（精密仪器与光电子工程学院，精密测量与成像方向积淀深厚）、北京航空航天大学（仪器科学与光电工程学院，航空航天成像特色方向）、中国科学院大学（长春光机所/光电技术研究所，国防计算成像任务密集）。</w:t>
      </w:r>
    </w:p>
    <w:p>
      <w:pPr>
        <w:spacing w:before="0" w:after="0" w:line="324"/>
        <w:ind w:firstLine="480"/>
        <w:jc w:val="both"/>
        <w:rPr/>
      </w:pPr>
      <w:r>
        <w:rPr>
          <w:rFonts w:ascii="SimSun" w:hAnsi="SimSun" w:eastAsia="SimSun" w:cs="SimSun"/>
          <w:sz w:val="24"/>
          <w:szCs w:val="24"/>
        </w:rPr>
        <w:t>硕士阶段核心目标：在计算光学成像方向产出2至3篇高水平期刊或会议论文（如Optics Express、Optics Letters、CVPR/ICCV workshop）、申请1至2项发明专利、深度参与至少1项导师的横向课题、建立与产业界的联系。如选择继续攻博，博士期间需要在计算成像的某个子方向建立国际级的学术声誉，争取出国联合培养或访问的机会。</w:t>
      </w:r>
    </w:p>
    <w:p>
      <w:pPr>
        <w:pStyle w:val="00000e"/>
        <w:spacing w:before="240" w:after="240" w:line="360"/>
        <w:jc w:val="left"/>
        <w:rPr/>
      </w:pPr>
      <w:r>
        <w:rPr>
          <w:rFonts w:ascii="SimHei" w:hAnsi="SimHei" w:eastAsia="SimHei" w:cs="SimHei"/>
          <w:b w:val="1"/>
          <w:bCs w:val="1"/>
          <w:sz w:val="28"/>
          <w:szCs w:val="28"/>
        </w:rPr>
        <w:t>4.3  技能提升路线图</w:t>
      </w:r>
    </w:p>
    <w:p>
      <w:pPr>
        <w:spacing w:before="120" w:after="60"/>
        <w:jc w:val="center"/>
        <w:rPr/>
      </w:pPr>
      <w:r>
        <w:rPr>
          <w:rFonts w:ascii="SimSun" w:hAnsi="SimSun" w:eastAsia="SimSun" w:cs="SimSun"/>
          <w:b w:val="1"/>
          <w:bCs w:val="1"/>
          <w:sz w:val="21"/>
          <w:szCs w:val="21"/>
        </w:rPr>
        <w:t>表4-1  技能提升路线图</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1800"/>
        <w:gridCol w:w="1800"/>
      </w:tblGrid>
      <w:tr>
        <w:trPr/>
        <w:tc>
          <w:tcPr>
            <w:tcW w:w="12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技能域</w:t>
            </w:r>
          </w:p>
        </w:tc>
        <w:tc>
          <w:tcPr>
            <w:tcW w:w="16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大一至大二</w:t>
            </w:r>
          </w:p>
        </w:tc>
        <w:tc>
          <w:tcPr>
            <w:tcW w:w="18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大三至大四</w:t>
            </w:r>
          </w:p>
        </w:tc>
        <w:tc>
          <w:tcPr>
            <w:tcW w:w="18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研究生阶段</w:t>
            </w:r>
          </w:p>
        </w:tc>
        <w:tc>
          <w:tcPr>
            <w:tcW w:w="18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目标水平</w:t>
            </w:r>
          </w:p>
        </w:tc>
      </w:tr>
      <w:tr>
        <w:trPr/>
        <w:tc>
          <w:tcPr>
            <w:tcW w:w="12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编程</w:t>
            </w:r>
          </w:p>
        </w:tc>
        <w:tc>
          <w:tcPr>
            <w:tcW w:w="16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C语言入门/Python基础</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Python科学计算/PyTorch实践</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C++/CUDA进阶/大规模部署</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独立开发成像算法原型</w:t>
            </w:r>
          </w:p>
        </w:tc>
      </w:tr>
      <w:tr>
        <w:trPr/>
        <w:tc>
          <w:tcPr>
            <w:tcW w:w="12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光学</w:t>
            </w:r>
          </w:p>
        </w:tc>
        <w:tc>
          <w:tcPr>
            <w:tcW w:w="16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几何光学/物理光学基础</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Zemax设计/像差理论</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计算光学理论/自由曲面光学</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独立设计中等复杂光学系统</w:t>
            </w:r>
          </w:p>
        </w:tc>
      </w:tr>
      <w:tr>
        <w:trPr/>
        <w:tc>
          <w:tcPr>
            <w:tcW w:w="12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数学</w:t>
            </w:r>
          </w:p>
        </w:tc>
        <w:tc>
          <w:tcPr>
            <w:tcW w:w="16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高数/线代/概率论</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优化理论入门/信息论基础</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反问题理论/统计学习理论</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理解并推导核心算法原理</w:t>
            </w:r>
          </w:p>
        </w:tc>
      </w:tr>
      <w:tr>
        <w:trPr/>
        <w:tc>
          <w:tcPr>
            <w:tcW w:w="12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英语</w:t>
            </w:r>
          </w:p>
        </w:tc>
        <w:tc>
          <w:tcPr>
            <w:tcW w:w="16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CET-4/6/专业词汇</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阅读文献/技术文档撰写</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SCI论文写作/国际会议报告</w:t>
            </w:r>
          </w:p>
        </w:tc>
        <w:tc>
          <w:tcPr>
            <w:tcW w:w="18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无障碍学术交流与写作</w:t>
            </w:r>
          </w:p>
        </w:tc>
      </w:tr>
      <w:tr>
        <w:trPr/>
        <w:tc>
          <w:tcPr>
            <w:tcW w:w="12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深度学习</w:t>
            </w:r>
          </w:p>
        </w:tc>
        <w:tc>
          <w:tcPr>
            <w:tcW w:w="16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了解基本概念</w:t>
            </w:r>
          </w:p>
        </w:tc>
        <w:tc>
          <w:tcPr>
            <w:tcW w:w="18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PyTorch熟练/主流架构掌握</w:t>
            </w:r>
          </w:p>
        </w:tc>
        <w:tc>
          <w:tcPr>
            <w:tcW w:w="18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计算成像专用网络/自监督方法</w:t>
            </w:r>
          </w:p>
        </w:tc>
        <w:tc>
          <w:tcPr>
            <w:tcW w:w="18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复现并改进前沿算法</w:t>
            </w:r>
          </w:p>
        </w:tc>
      </w:tr>
    </w:tbl>
    <w:p>
      <w:pPr>
        <w:spacing w:after="0"/>
        <w:rPr/>
      </w:pPr>
    </w:p>
    <w:p>
      <w:pPr>
        <w:pStyle w:val="00000e"/>
        <w:spacing w:before="240" w:after="240" w:line="360"/>
        <w:jc w:val="left"/>
        <w:rPr/>
      </w:pPr>
      <w:r>
        <w:rPr>
          <w:rFonts w:ascii="SimHei" w:hAnsi="SimHei" w:eastAsia="SimHei" w:cs="SimHei"/>
          <w:b w:val="1"/>
          <w:bCs w:val="1"/>
          <w:sz w:val="28"/>
          <w:szCs w:val="28"/>
        </w:rPr>
        <w:t>4.4  实践与实习规划</w:t>
      </w:r>
    </w:p>
    <w:p>
      <w:pPr>
        <w:spacing w:before="0" w:after="0" w:line="324"/>
        <w:ind w:firstLine="480"/>
        <w:jc w:val="both"/>
        <w:rPr/>
      </w:pPr>
      <w:r>
        <w:rPr>
          <w:rFonts w:ascii="SimSun" w:hAnsi="SimSun" w:eastAsia="SimSun" w:cs="SimSun"/>
          <w:sz w:val="24"/>
          <w:szCs w:val="24"/>
        </w:rPr>
        <w:t>大二暑假（2027年夏）：优先进入本校光电相关实验室进行不少于6周的科研训练，完成从看文献、复现实验、到独立完成小任务的全流程体验。备选方案为参加全国大学生光电设计竞赛集训。</w:t>
      </w:r>
    </w:p>
    <w:p>
      <w:pPr>
        <w:spacing w:before="0" w:after="0" w:line="324"/>
        <w:ind w:firstLine="480"/>
        <w:jc w:val="both"/>
        <w:rPr/>
      </w:pPr>
      <w:r>
        <w:rPr>
          <w:rFonts w:ascii="SimSun" w:hAnsi="SimSun" w:eastAsia="SimSun" w:cs="SimSun"/>
          <w:sz w:val="24"/>
          <w:szCs w:val="24"/>
        </w:rPr>
        <w:t>大三暑假（2028年夏）：申请企业实习不少于8周，优先清单为华为（2012实验室/影像部门）、小米（相机部光学算法组）、旷视科技（CV算法研究）、舜宇光学（光学设计）、大疆（视觉感知）。获得至少一份实习证明和推荐信。</w:t>
      </w:r>
    </w:p>
    <w:p>
      <w:pPr>
        <w:spacing w:before="0" w:after="0" w:line="324"/>
        <w:ind w:firstLine="480"/>
        <w:jc w:val="both"/>
        <w:rPr/>
      </w:pPr>
      <w:r>
        <w:rPr>
          <w:rFonts w:ascii="SimSun" w:hAnsi="SimSun" w:eastAsia="SimSun" w:cs="SimSun"/>
          <w:sz w:val="24"/>
          <w:szCs w:val="24"/>
        </w:rPr>
        <w:t>研究生期间：深度参与导师的横向课题（通常与企业有直接合作），利用寒暑假到合作企业进行短期联合培养（1至3个月），参加SPIE Photonics West或OSA Imaging Congress等国际学术会议并做口头报告，建立产学研人脉网络。</w:t>
      </w:r>
    </w:p>
    <w:p>
      <w:pPr>
        <w:rPr/>
      </w:pPr>
      <w:r>
        <w:rPr/>
        <w:br w:type="page"/>
      </w:r>
    </w:p>
    <w:p>
      <w:pPr>
        <w:pStyle w:val="000012"/>
        <w:spacing w:before="360" w:after="360" w:line="360"/>
        <w:jc w:val="center"/>
        <w:rPr/>
      </w:pPr>
      <w:r>
        <w:rPr>
          <w:rFonts w:ascii="SimHei" w:hAnsi="SimHei" w:eastAsia="SimHei" w:cs="SimHei"/>
          <w:b w:val="1"/>
          <w:bCs w:val="1"/>
          <w:sz w:val="32"/>
          <w:szCs w:val="32"/>
        </w:rPr>
        <w:t>第5章  评估与备选方案</w:t>
      </w:r>
    </w:p>
    <w:p>
      <w:pPr>
        <w:spacing w:before="0" w:after="0" w:line="324"/>
        <w:ind w:firstLine="480"/>
        <w:jc w:val="both"/>
        <w:rPr/>
      </w:pPr>
      <w:r>
        <w:rPr>
          <w:rFonts w:ascii="SimSun" w:hAnsi="SimSun" w:eastAsia="SimSun" w:cs="SimSun"/>
          <w:sz w:val="24"/>
          <w:szCs w:val="24"/>
        </w:rPr>
        <w:t>职业规划不是一成不变的蓝图，而是需要在执行中动态调整的指南。本章建立定期评估机制，设计多套备选方案以应对不确定性，并对关键风险进行前置识别和应对。</w:t>
      </w:r>
    </w:p>
    <w:p>
      <w:pPr>
        <w:pStyle w:val="00000e"/>
        <w:spacing w:before="240" w:after="240" w:line="360"/>
        <w:jc w:val="left"/>
        <w:rPr/>
      </w:pPr>
      <w:r>
        <w:rPr>
          <w:rFonts w:ascii="SimHei" w:hAnsi="SimHei" w:eastAsia="SimHei" w:cs="SimHei"/>
          <w:b w:val="1"/>
          <w:bCs w:val="1"/>
          <w:sz w:val="28"/>
          <w:szCs w:val="28"/>
        </w:rPr>
        <w:t>5.1  动态评估机制</w:t>
      </w:r>
    </w:p>
    <w:p>
      <w:pPr>
        <w:spacing w:before="0" w:after="0" w:line="324"/>
        <w:ind w:firstLine="480"/>
        <w:jc w:val="both"/>
        <w:rPr/>
      </w:pPr>
      <w:r>
        <w:rPr>
          <w:rFonts w:ascii="SimSun" w:hAnsi="SimSun" w:eastAsia="SimSun" w:cs="SimSun"/>
          <w:sz w:val="24"/>
          <w:szCs w:val="24"/>
        </w:rPr>
        <w:t>每学期末（1月和7月）进行系统性复盘，评估维度包括：学业成绩（GPA是否达到目标）、技能进展（编程、光学设计、英语是否按路线图推进）、行业认知更新（计算成像领域是否有新方向或新机会出现）。根据评估结果，对下学期的具体行动计划进行微调。</w:t>
      </w:r>
    </w:p>
    <w:p>
      <w:pPr>
        <w:spacing w:before="0" w:after="0" w:line="324"/>
        <w:ind w:firstLine="480"/>
        <w:jc w:val="both"/>
        <w:rPr/>
      </w:pPr>
      <w:r>
        <w:rPr>
          <w:rFonts w:ascii="SimSun" w:hAnsi="SimSun" w:eastAsia="SimSun" w:cs="SimSun"/>
          <w:sz w:val="24"/>
          <w:szCs w:val="24"/>
        </w:rPr>
        <w:t>关键决策节点：大二上学期确定计算成像的细分方向偏好（偏光学设计还是偏算法）；大三上学期根据GPA和科研积累决定保研或考研策略；研二上学期决定硕士毕业后直接就业还是继续读博。每个关键节点前预留至少3个月的信息收集和深度思考时间。</w:t>
      </w:r>
    </w:p>
    <w:p>
      <w:pPr>
        <w:pStyle w:val="00000e"/>
        <w:spacing w:before="240" w:after="240" w:line="360"/>
        <w:jc w:val="left"/>
        <w:rPr/>
      </w:pPr>
      <w:r>
        <w:rPr>
          <w:rFonts w:ascii="SimHei" w:hAnsi="SimHei" w:eastAsia="SimHei" w:cs="SimHei"/>
          <w:b w:val="1"/>
          <w:bCs w:val="1"/>
          <w:sz w:val="28"/>
          <w:szCs w:val="28"/>
        </w:rPr>
        <w:t>5.2  备选方案</w:t>
      </w:r>
    </w:p>
    <w:p>
      <w:pPr>
        <w:pStyle w:val="000003"/>
        <w:spacing w:before="120" w:after="120" w:line="360"/>
        <w:jc w:val="left"/>
        <w:rPr/>
      </w:pPr>
      <w:r>
        <w:rPr>
          <w:rFonts w:ascii="SimHei" w:hAnsi="SimHei" w:eastAsia="SimHei" w:cs="SimHei"/>
          <w:b w:val="1"/>
          <w:bCs w:val="1"/>
          <w:sz w:val="24"/>
          <w:szCs w:val="24"/>
        </w:rPr>
        <w:t>5.2.方案B：考研失利——直接就业</w:t>
      </w:r>
    </w:p>
    <w:p>
      <w:pPr>
        <w:spacing w:before="0" w:after="0" w:line="324"/>
        <w:ind w:firstLine="480"/>
        <w:jc w:val="both"/>
        <w:rPr/>
      </w:pPr>
      <w:r>
        <w:rPr>
          <w:rFonts w:ascii="SimSun" w:hAnsi="SimSun" w:eastAsia="SimSun" w:cs="SimSun"/>
          <w:sz w:val="24"/>
          <w:szCs w:val="24"/>
        </w:rPr>
        <w:t>如考研未达目标分数线且不打算二战，可转向以下本科即可入行的方向：光学检测工程师（制造业品质检测，需求量大）、机器视觉工程师（Halcon/OpenCV方向，与计算成像有技能重叠）、光学销售或应用工程师（以技术背景做客户支持）。先在产业界积累2至3年经验后，可再以在职硕士或全职方式提升学历。</w:t>
      </w:r>
    </w:p>
    <w:p>
      <w:pPr>
        <w:pStyle w:val="000003"/>
        <w:spacing w:before="120" w:after="120" w:line="360"/>
        <w:jc w:val="left"/>
        <w:rPr/>
      </w:pPr>
      <w:r>
        <w:rPr>
          <w:rFonts w:ascii="SimHei" w:hAnsi="SimHei" w:eastAsia="SimHei" w:cs="SimHei"/>
          <w:b w:val="1"/>
          <w:bCs w:val="1"/>
          <w:sz w:val="24"/>
          <w:szCs w:val="24"/>
        </w:rPr>
        <w:t>5.2.方案C：兴趣转向纯AI/计算机视觉</w:t>
      </w:r>
    </w:p>
    <w:p>
      <w:pPr>
        <w:spacing w:before="0" w:after="0" w:line="324"/>
        <w:ind w:firstLine="480"/>
        <w:jc w:val="both"/>
        <w:rPr/>
      </w:pPr>
      <w:r>
        <w:rPr>
          <w:rFonts w:ascii="SimSun" w:hAnsi="SimSun" w:eastAsia="SimSun" w:cs="SimSun"/>
          <w:sz w:val="24"/>
          <w:szCs w:val="24"/>
        </w:rPr>
        <w:t>如果经过两三年的接触后发现自己对光学硬件端的兴趣不如对算法端强烈，可以利用光电专业积累的数理基础加自学的深度学习能力，转向计算机视觉或AI算法工程师岗位。光电背景在图像处理领域不是劣势而是差异化优势——理解成像的物理过程本身就是大多数纯CS出身算法工程师不具备的能力。</w:t>
      </w:r>
    </w:p>
    <w:p>
      <w:pPr>
        <w:pStyle w:val="000003"/>
        <w:spacing w:before="120" w:after="120" w:line="360"/>
        <w:jc w:val="left"/>
        <w:rPr/>
      </w:pPr>
      <w:r>
        <w:rPr>
          <w:rFonts w:ascii="SimHei" w:hAnsi="SimHei" w:eastAsia="SimHei" w:cs="SimHei"/>
          <w:b w:val="1"/>
          <w:bCs w:val="1"/>
          <w:sz w:val="24"/>
          <w:szCs w:val="24"/>
        </w:rPr>
        <w:t>5.2.方案D：硕士毕业后创业</w:t>
      </w:r>
    </w:p>
    <w:p>
      <w:pPr>
        <w:spacing w:before="0" w:after="0" w:line="324"/>
        <w:ind w:firstLine="480"/>
        <w:jc w:val="both"/>
        <w:rPr/>
      </w:pPr>
      <w:r>
        <w:rPr>
          <w:rFonts w:ascii="SimSun" w:hAnsi="SimSun" w:eastAsia="SimSun" w:cs="SimSun"/>
          <w:sz w:val="24"/>
          <w:szCs w:val="24"/>
        </w:rPr>
        <w:t>在光学检测设备、工业视觉系统或计算摄影算法IP等细分领域创业。计算光学成像是一个重技术、重IP的领域，创业门槛较高但护城河也深。建议在硕士期间有意识积累商业认知（旁听经管类课程、参加创业竞赛），并在横向课题中了解产业需求。</w:t>
      </w:r>
    </w:p>
    <w:p>
      <w:pPr>
        <w:pStyle w:val="000003"/>
        <w:spacing w:before="120" w:after="120" w:line="360"/>
        <w:jc w:val="left"/>
        <w:rPr/>
      </w:pPr>
      <w:r>
        <w:rPr>
          <w:rFonts w:ascii="SimHei" w:hAnsi="SimHei" w:eastAsia="SimHei" w:cs="SimHei"/>
          <w:b w:val="1"/>
          <w:bCs w:val="1"/>
          <w:sz w:val="24"/>
          <w:szCs w:val="24"/>
        </w:rPr>
        <w:t>5.2.方案E：地域调整</w:t>
      </w:r>
    </w:p>
    <w:p>
      <w:pPr>
        <w:spacing w:before="0" w:after="0" w:line="324"/>
        <w:ind w:firstLine="480"/>
        <w:jc w:val="both"/>
        <w:rPr/>
      </w:pPr>
      <w:r>
        <w:rPr>
          <w:rFonts w:ascii="SimSun" w:hAnsi="SimSun" w:eastAsia="SimSun" w:cs="SimSun"/>
          <w:sz w:val="24"/>
          <w:szCs w:val="24"/>
        </w:rPr>
        <w:t>如京津冀地区的岗位机会或薪资水平不及预期，可评估以下替代区域：长三角（上海、苏州、杭州）——光学产业最密集的区域，舜宇、永新光学、禾赛科技、图森未来等企业云集；珠三角（深圳、东莞）——华为、大疆、OPPO、vivo等消费电子和机器人企业密集，计算摄影和视觉感知需求旺盛；武汉、西安——光谷和西安光机所带动的人才需求。地域灵活性是应对就业市场变化的重要缓冲。</w:t>
      </w:r>
    </w:p>
    <w:p>
      <w:pPr>
        <w:pStyle w:val="00000e"/>
        <w:spacing w:before="240" w:after="240" w:line="360"/>
        <w:jc w:val="left"/>
        <w:rPr/>
      </w:pPr>
      <w:r>
        <w:rPr>
          <w:rFonts w:ascii="SimHei" w:hAnsi="SimHei" w:eastAsia="SimHei" w:cs="SimHei"/>
          <w:b w:val="1"/>
          <w:bCs w:val="1"/>
          <w:sz w:val="28"/>
          <w:szCs w:val="28"/>
        </w:rPr>
        <w:t>5.3  风险评估与应对</w:t>
      </w:r>
    </w:p>
    <w:p>
      <w:pPr>
        <w:spacing w:before="120" w:after="60"/>
        <w:jc w:val="center"/>
        <w:rPr/>
      </w:pPr>
      <w:r>
        <w:rPr>
          <w:rFonts w:ascii="SimSun" w:hAnsi="SimSun" w:eastAsia="SimSun" w:cs="SimSun"/>
          <w:b w:val="1"/>
          <w:bCs w:val="1"/>
          <w:sz w:val="21"/>
          <w:szCs w:val="21"/>
        </w:rPr>
        <w:t>表5-1  风险评估与应对措施</w:t>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700"/>
        <w:gridCol w:w="3500"/>
      </w:tblGrid>
      <w:tr>
        <w:trPr/>
        <w:tc>
          <w:tcPr>
            <w:tcW w:w="16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风险项</w:t>
            </w:r>
          </w:p>
        </w:tc>
        <w:tc>
          <w:tcPr>
            <w:tcW w:w="32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风险描述</w:t>
            </w:r>
          </w:p>
        </w:tc>
        <w:tc>
          <w:tcPr>
            <w:tcW w:w="7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概率</w:t>
            </w:r>
          </w:p>
        </w:tc>
        <w:tc>
          <w:tcPr>
            <w:tcW w:w="3500" w:type="dxa"/>
            <w:tcBorders>
              <w:top w:val="single" w:color="000000" w:sz="8"/>
              <w:left w:val="none" w:sz="0"/>
              <w:bottom w:val="single" w:color="000000" w:sz="4"/>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1"/>
                <w:bCs w:val="1"/>
                <w:sz w:val="21"/>
                <w:szCs w:val="21"/>
              </w:rPr>
              <w:t>应对措施</w:t>
            </w:r>
          </w:p>
        </w:tc>
      </w:tr>
      <w:tr>
        <w:trPr/>
        <w:tc>
          <w:tcPr>
            <w:tcW w:w="16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学历门槛风险</w:t>
            </w:r>
          </w:p>
        </w:tc>
        <w:tc>
          <w:tcPr>
            <w:tcW w:w="32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计算光学核心岗位普遍要求硕士及以上学历</w:t>
            </w:r>
          </w:p>
        </w:tc>
        <w:tc>
          <w:tcPr>
            <w:tcW w:w="7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高</w:t>
            </w:r>
          </w:p>
        </w:tc>
        <w:tc>
          <w:tcPr>
            <w:tcW w:w="3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以保研为首选目标，考研为保证；备选本科可入行的光学检测及视觉岗位</w:t>
            </w:r>
          </w:p>
        </w:tc>
      </w:tr>
      <w:tr>
        <w:trPr/>
        <w:tc>
          <w:tcPr>
            <w:tcW w:w="16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技术迭代风险</w:t>
            </w:r>
          </w:p>
        </w:tc>
        <w:tc>
          <w:tcPr>
            <w:tcW w:w="32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深度学习算法更新极快，目前的先进方法明天可能过时</w:t>
            </w:r>
          </w:p>
        </w:tc>
        <w:tc>
          <w:tcPr>
            <w:tcW w:w="7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中高</w:t>
            </w:r>
          </w:p>
        </w:tc>
        <w:tc>
          <w:tcPr>
            <w:tcW w:w="3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建立第一性原理思维，掌握不变的物理基础；保持持续学习习惯</w:t>
            </w:r>
          </w:p>
        </w:tc>
      </w:tr>
      <w:tr>
        <w:trPr/>
        <w:tc>
          <w:tcPr>
            <w:tcW w:w="16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行业波动风险</w:t>
            </w:r>
          </w:p>
        </w:tc>
        <w:tc>
          <w:tcPr>
            <w:tcW w:w="32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消费电子行业周期性明显，影响计算摄影方向招聘</w:t>
            </w:r>
          </w:p>
        </w:tc>
        <w:tc>
          <w:tcPr>
            <w:tcW w:w="7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中</w:t>
            </w:r>
          </w:p>
        </w:tc>
        <w:tc>
          <w:tcPr>
            <w:tcW w:w="3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同时布局国防、医疗等弱周期应用方向；积累通用技能提高跨行业能力</w:t>
            </w:r>
          </w:p>
        </w:tc>
      </w:tr>
      <w:tr>
        <w:trPr/>
        <w:tc>
          <w:tcPr>
            <w:tcW w:w="16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地域限制风险</w:t>
            </w:r>
          </w:p>
        </w:tc>
        <w:tc>
          <w:tcPr>
            <w:tcW w:w="32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京津冀计算光学岗位总量可能不及长三角地区</w:t>
            </w:r>
          </w:p>
        </w:tc>
        <w:tc>
          <w:tcPr>
            <w:tcW w:w="7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中</w:t>
            </w:r>
          </w:p>
        </w:tc>
        <w:tc>
          <w:tcPr>
            <w:tcW w:w="3500" w:type="dxa"/>
            <w:tcBorders>
              <w:top w:val="none" w:sz="0"/>
              <w:left w:val="none" w:sz="0"/>
              <w:bottom w:val="none" w:sz="0"/>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大学期间利用寒暑假到南方实地感受；做好地域调整的心理和实际准备</w:t>
            </w:r>
          </w:p>
        </w:tc>
      </w:tr>
      <w:tr>
        <w:trPr/>
        <w:tc>
          <w:tcPr>
            <w:tcW w:w="16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个人适应风险</w:t>
            </w:r>
          </w:p>
        </w:tc>
        <w:tc>
          <w:tcPr>
            <w:tcW w:w="32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INTJ在团队协作和职场社交方面可能存在适应困难</w:t>
            </w:r>
          </w:p>
        </w:tc>
        <w:tc>
          <w:tcPr>
            <w:tcW w:w="7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中低</w:t>
            </w:r>
          </w:p>
        </w:tc>
        <w:tc>
          <w:tcPr>
            <w:tcW w:w="3500" w:type="dxa"/>
            <w:tcBorders>
              <w:top w:val="none" w:sz="0"/>
              <w:left w:val="none" w:sz="0"/>
              <w:bottom w:val="single" w:color="000000" w:sz="8"/>
              <w:right w:val="none" w:sz="0"/>
            </w:tcBorders>
            <w:tcMar>
              <w:top w:w="40" w:type="dxa"/>
              <w:left w:w="60" w:type="dxa"/>
              <w:bottom w:w="40" w:type="dxa"/>
              <w:right w:w="60" w:type="dxa"/>
            </w:tcMar>
            <w:vAlign w:val="center"/>
          </w:tcPr>
          <w:p>
            <w:pPr>
              <w:spacing w:before="0" w:after="0" w:line="240"/>
              <w:jc w:val="center"/>
              <w:rPr/>
            </w:pPr>
            <w:r>
              <w:rPr>
                <w:rFonts w:ascii="SimSun" w:hAnsi="SimSun" w:eastAsia="SimSun" w:cs="SimSun"/>
                <w:b w:val="0"/>
                <w:bCs w:val="0"/>
                <w:sz w:val="21"/>
                <w:szCs w:val="21"/>
              </w:rPr>
              <w:t>大学期间通过竞赛、社团及项目合作刻意练习团队协作能力</w:t>
            </w:r>
          </w:p>
        </w:tc>
      </w:tr>
    </w:tbl>
    <w:p>
      <w:pPr>
        <w:spacing w:after="0"/>
        <w:rPr/>
      </w:pPr>
    </w:p>
    <w:p>
      <w:pPr>
        <w:rPr/>
      </w:pPr>
      <w:r>
        <w:rPr/>
        <w:br w:type="page"/>
      </w:r>
    </w:p>
    <w:p>
      <w:pPr>
        <w:pStyle w:val="000012"/>
        <w:spacing w:before="360" w:after="360" w:line="360"/>
        <w:jc w:val="center"/>
        <w:rPr/>
      </w:pPr>
      <w:r>
        <w:rPr>
          <w:rFonts w:ascii="SimHei" w:hAnsi="SimHei" w:eastAsia="SimHei" w:cs="SimHei"/>
          <w:b w:val="1"/>
          <w:bCs w:val="1"/>
          <w:sz w:val="32"/>
          <w:szCs w:val="32"/>
        </w:rPr>
        <w:t>结论</w:t>
      </w:r>
    </w:p>
    <w:p>
      <w:pPr>
        <w:spacing w:before="0" w:after="0" w:line="324"/>
        <w:ind w:firstLine="480"/>
        <w:jc w:val="both"/>
        <w:rPr/>
      </w:pPr>
      <w:r>
        <w:rPr>
          <w:rFonts w:ascii="SimSun" w:hAnsi="SimSun" w:eastAsia="SimSun" w:cs="SimSun"/>
          <w:sz w:val="24"/>
          <w:szCs w:val="24"/>
        </w:rPr>
        <w:t>光，既是麦克斯韦方程组中优雅传播的电磁波，也是信息时代最基础、最丰富的载体。从伽利略将望远镜指向夜空的那一刻起，光学成像就一直在拓展人类认知的边界。今天，当深度学习算法开始理解光的传播过程，我们站在了新一轮成像革命的起点。</w:t>
      </w:r>
    </w:p>
    <w:p>
      <w:pPr>
        <w:spacing w:before="0" w:after="0" w:line="324"/>
        <w:ind w:firstLine="480"/>
        <w:jc w:val="both"/>
        <w:rPr/>
      </w:pPr>
      <w:r>
        <w:rPr>
          <w:rFonts w:ascii="SimSun" w:hAnsi="SimSun" w:eastAsia="SimSun" w:cs="SimSun"/>
          <w:sz w:val="24"/>
          <w:szCs w:val="24"/>
        </w:rPr>
        <w:t>选择计算光学成像作为职业方向，既是对个人能力和兴趣的诚实面对，也是对这个交叉领域巨大潜力的理性判断。INTJ的建筑师人格使我对系统性、复杂性有天然的亲近——而计算光学成像恰好是需要同时驾驭物理系统和算法系统的大系统领域。</w:t>
      </w:r>
    </w:p>
    <w:p>
      <w:pPr>
        <w:spacing w:before="0" w:after="0" w:line="324"/>
        <w:ind w:firstLine="480"/>
        <w:jc w:val="both"/>
        <w:rPr/>
      </w:pPr>
      <w:r>
        <w:rPr>
          <w:rFonts w:ascii="SimSun" w:hAnsi="SimSun" w:eastAsia="SimSun" w:cs="SimSun"/>
          <w:sz w:val="24"/>
          <w:szCs w:val="24"/>
        </w:rPr>
        <w:t>职业生涯规划的意义不在于精确预测未来——事实上，没有人能在大学一年级就准确描绘十年后的自己。规划的意义在于：提供方向感、提供决策框架、提供行动节奏。规划是地图，而不是镣铐。</w:t>
      </w:r>
    </w:p>
    <w:p>
      <w:pPr>
        <w:spacing w:before="0" w:after="0" w:line="324"/>
        <w:ind w:firstLine="480"/>
        <w:jc w:val="both"/>
        <w:rPr/>
      </w:pPr>
      <w:r>
        <w:rPr>
          <w:rFonts w:ascii="SimSun" w:hAnsi="SimSun" w:eastAsia="SimSun" w:cs="SimSun"/>
          <w:sz w:val="24"/>
          <w:szCs w:val="24"/>
        </w:rPr>
        <w:t>以光为媒，以计算为翼。光速很快，但人生很长——用战略的耐心换取能力的复利，这是INTJ最擅长的事情。</w:t>
      </w:r>
    </w:p>
    <w:p>
      <w:pPr>
        <w:rPr/>
      </w:pPr>
      <w:r>
        <w:rPr/>
        <w:br w:type="page"/>
      </w:r>
    </w:p>
    <w:p>
      <w:pPr>
        <w:pStyle w:val="000012"/>
        <w:spacing w:before="360" w:after="360" w:line="360"/>
        <w:jc w:val="center"/>
        <w:rPr/>
      </w:pPr>
      <w:r>
        <w:rPr>
          <w:rFonts w:ascii="SimHei" w:hAnsi="SimHei" w:eastAsia="SimHei" w:cs="SimHei"/>
          <w:b w:val="1"/>
          <w:bCs w:val="1"/>
          <w:sz w:val="32"/>
          <w:szCs w:val="32"/>
        </w:rPr>
        <w:t>参考文献</w:t>
      </w:r>
    </w:p>
    <w:p>
      <w:pPr>
        <w:spacing w:before="0" w:after="60" w:line="360"/>
        <w:rPr/>
      </w:pPr>
      <w:r>
        <w:rPr>
          <w:rFonts w:ascii="SimSun" w:hAnsi="SimSun" w:eastAsia="SimSun" w:cs="SimSun"/>
          <w:sz w:val="21"/>
          <w:szCs w:val="21"/>
        </w:rPr>
        <w:t>[1] 国际光学工程学会（SPIE）. Optics and Photonics Industry Report 2025[R]. SPIE, 2025.</w:t>
      </w:r>
    </w:p>
    <w:p>
      <w:pPr>
        <w:spacing w:before="0" w:after="60" w:line="360"/>
        <w:rPr/>
      </w:pPr>
      <w:r>
        <w:rPr>
          <w:rFonts w:ascii="SimSun" w:hAnsi="SimSun" w:eastAsia="SimSun" w:cs="SimSun"/>
          <w:sz w:val="21"/>
          <w:szCs w:val="21"/>
        </w:rPr>
        <w:t>[2] 国务院. 中华人民共和国国民经济和社会发展第十四个五年规划和2035年远景目标纲要[Z]. 2021.</w:t>
      </w:r>
    </w:p>
    <w:p>
      <w:pPr>
        <w:spacing w:before="0" w:after="60" w:line="360"/>
        <w:rPr/>
      </w:pPr>
      <w:r>
        <w:rPr>
          <w:rFonts w:ascii="SimSun" w:hAnsi="SimSun" w:eastAsia="SimSun" w:cs="SimSun"/>
          <w:sz w:val="21"/>
          <w:szCs w:val="21"/>
        </w:rPr>
        <w:t>[3] 工业和信息化部. 量子信息与光电子产业发展行动计划[Z]. 2023.</w:t>
      </w:r>
    </w:p>
    <w:p>
      <w:pPr>
        <w:spacing w:before="0" w:after="60" w:line="360"/>
        <w:rPr/>
      </w:pPr>
      <w:r>
        <w:rPr>
          <w:rFonts w:ascii="SimSun" w:hAnsi="SimSun" w:eastAsia="SimSun" w:cs="SimSun"/>
          <w:sz w:val="21"/>
          <w:szCs w:val="21"/>
        </w:rPr>
        <w:t>[4] Mait J N, Euliss G W, Athale R A. Computational imaging[J]. Advances in Optics and Photonics, 2018, 10(2): 409-483.</w:t>
      </w:r>
    </w:p>
    <w:p>
      <w:pPr>
        <w:spacing w:before="0" w:after="60" w:line="360"/>
        <w:rPr/>
      </w:pPr>
      <w:r>
        <w:rPr>
          <w:rFonts w:ascii="SimSun" w:hAnsi="SimSun" w:eastAsia="SimSun" w:cs="SimSun"/>
          <w:sz w:val="21"/>
          <w:szCs w:val="21"/>
        </w:rPr>
        <w:t>[5] Barbastathis G, Ozcan A, Situ G. On the use of deep learning for computational imaging[J]. Optica, 2019, 6(8): 921-943.</w:t>
      </w:r>
    </w:p>
    <w:p>
      <w:pPr>
        <w:spacing w:before="0" w:after="60" w:line="360"/>
        <w:rPr/>
      </w:pPr>
      <w:r>
        <w:rPr>
          <w:rFonts w:ascii="SimSun" w:hAnsi="SimSun" w:eastAsia="SimSun" w:cs="SimSun"/>
          <w:sz w:val="21"/>
          <w:szCs w:val="21"/>
        </w:rPr>
        <w:t>[6] 左超, 陈钱. 计算光学成像：何来，何处，何去，何从？[J]. 红外与激光工程, 2022, 51(2): 20220110.</w:t>
      </w:r>
    </w:p>
    <w:p>
      <w:pPr>
        <w:spacing w:before="0" w:after="60" w:line="360"/>
        <w:rPr/>
      </w:pPr>
      <w:r>
        <w:rPr>
          <w:rFonts w:ascii="SimSun" w:hAnsi="SimSun" w:eastAsia="SimSun" w:cs="SimSun"/>
          <w:sz w:val="21"/>
          <w:szCs w:val="21"/>
        </w:rPr>
        <w:t>[7] Holland J L. Making Vocational Choices: A Theory of Vocational Personalities and Work Environments[M]. Psychological Assessment Resources, 1997.</w:t>
      </w:r>
    </w:p>
    <w:p>
      <w:pPr>
        <w:spacing w:before="0" w:after="60" w:line="360"/>
        <w:rPr/>
      </w:pPr>
      <w:r>
        <w:rPr>
          <w:rFonts w:ascii="SimSun" w:hAnsi="SimSun" w:eastAsia="SimSun" w:cs="SimSun"/>
          <w:sz w:val="21"/>
          <w:szCs w:val="21"/>
        </w:rPr>
        <w:t>[8] Myers I B, Myers P B. Gifts Differing: Understanding Personality Type[M]. Davies-Black Publishing, 1995.</w:t>
      </w:r>
    </w:p>
    <w:p>
      <w:pPr>
        <w:rPr/>
      </w:pPr>
      <w:r>
        <w:rPr/>
        <w:br w:type="page"/>
      </w:r>
    </w:p>
    <w:p>
      <w:pPr>
        <w:pStyle w:val="000012"/>
        <w:spacing w:before="360" w:after="360" w:line="360"/>
        <w:jc w:val="center"/>
        <w:rPr/>
      </w:pPr>
      <w:r>
        <w:rPr>
          <w:rFonts w:ascii="SimHei" w:hAnsi="SimHei" w:eastAsia="SimHei" w:cs="SimHei"/>
          <w:b w:val="1"/>
          <w:bCs w:val="1"/>
          <w:sz w:val="32"/>
          <w:szCs w:val="32"/>
        </w:rPr>
        <w:t>致  谢</w:t>
      </w:r>
    </w:p>
    <w:p>
      <w:pPr>
        <w:spacing w:before="0" w:after="0" w:line="324"/>
        <w:ind w:firstLine="480"/>
        <w:jc w:val="both"/>
        <w:rPr/>
      </w:pPr>
      <w:r>
        <w:rPr>
          <w:rFonts w:ascii="SimSun" w:hAnsi="SimSun" w:eastAsia="SimSun" w:cs="SimSun"/>
          <w:sz w:val="24"/>
          <w:szCs w:val="24"/>
        </w:rPr>
        <w:t>本职业生涯规划书的撰写过程，是一次对自我和外部世界的系统梳理。在此，感谢所有在规划过程中给予指导和启发的人，包括但不限于专业课程的授课教师、实验室的导师和学长学姐、以及家人和朋友的支持与鼓励。</w:t>
      </w:r>
    </w:p>
    <w:p>
      <w:pPr>
        <w:spacing w:before="0" w:after="0" w:line="324"/>
        <w:ind w:firstLine="480"/>
        <w:jc w:val="both"/>
        <w:rPr/>
      </w:pPr>
      <w:r>
        <w:rPr>
          <w:rFonts w:ascii="SimSun" w:hAnsi="SimSun" w:eastAsia="SimSun" w:cs="SimSun"/>
          <w:sz w:val="24"/>
          <w:szCs w:val="24"/>
        </w:rPr>
        <w:t>特别感谢提供了此次规划机会的课程平台。撰写规划书的过程本身，就是一次宝贵的自我认知和职业探索旅程。规划书虽已完成，但规划才刚刚开始。</w:t>
      </w:r>
    </w:p>
    <w:p>
      <w:pPr>
        <w:spacing w:before="0" w:after="0" w:line="324"/>
        <w:ind w:firstLine="480"/>
        <w:jc w:val="both"/>
        <w:rPr/>
      </w:pPr>
      <w:r>
        <w:rPr>
          <w:rFonts w:ascii="SimSun" w:hAnsi="SimSun" w:eastAsia="SimSun" w:cs="SimSun"/>
          <w:sz w:val="24"/>
          <w:szCs w:val="24"/>
        </w:rPr>
        <w:t>最后，感谢此刻正在阅读这份规划书的自己。希望未来的你回望此刻时，能够欣慰于当初的认真与勇气。</w:t>
      </w:r>
    </w:p>
    <w:p>
      <w:pPr>
        <w:spacing w:after="0"/>
        <w:rPr/>
      </w:pPr>
    </w:p>
    <w:p>
      <w:pPr>
        <w:spacing w:before="360" w:after="0"/>
        <w:jc w:val="right"/>
        <w:rPr/>
      </w:pPr>
      <w:r>
        <w:rPr>
          <w:rFonts w:ascii="SimSun" w:hAnsi="SimSun" w:eastAsia="SimSun" w:cs="SimSun"/>
          <w:sz w:val="24"/>
          <w:szCs w:val="24"/>
        </w:rPr>
        <w:t>规划人：____</w:t>
      </w:r>
      <w:r>
        <w:rPr>
          <w:rFonts w:hint="eastAsia" w:ascii="SimSun" w:hAnsi="SimSun" w:eastAsia="SimSun" w:cs="SimSun"/>
          <w:sz w:val="24"/>
          <w:szCs w:val="24"/>
        </w:rPr>
        <w:t>吉阳</w:t>
      </w:r>
      <w:r>
        <w:rPr>
          <w:rFonts w:ascii="SimSun" w:hAnsi="SimSun" w:eastAsia="SimSun" w:cs="SimSun"/>
          <w:sz w:val="24"/>
          <w:szCs w:val="24"/>
        </w:rPr>
        <w:t>________</w:t>
      </w:r>
    </w:p>
    <w:p>
      <w:pPr>
        <w:spacing w:after="0"/>
        <w:rPr/>
      </w:pPr>
    </w:p>
    <w:p>
      <w:pPr>
        <w:spacing w:before="0" w:after="0"/>
        <w:jc w:val="right"/>
        <w:rPr/>
      </w:pPr>
      <w:r>
        <w:rPr>
          <w:rFonts w:ascii="SimSun" w:hAnsi="SimSun" w:eastAsia="SimSun" w:cs="SimSun"/>
          <w:sz w:val="24"/>
          <w:szCs w:val="24"/>
        </w:rPr>
        <w:t>二〇二六年五月二十四日</w:t>
      </w:r>
    </w:p>
    <w:sectPr>
      <w:headerReference r:id="rId5" w:type="default"/>
      <w:footerReference r:id="rId6" w:type="default"/>
      <w:pgSz w:w="11906" w:h="16838" w:orient="portrait"/>
      <w:pgMar w:top="1440" w:right="1800" w:bottom="1440" w:left="1800" w:header="708" w:footer="708" w:gutter="0"/>
      <w:pgNumType/>
      <w:docGrid w:linePitch="360"/>
    </w:sectPr>
  </w:body>
</w:document>
</file>

<file path=word/endnotes.xml><?xml version="1.0" encoding="utf-8"?>
<w:endnotes xmlns:w="http://schemas.openxmlformats.org/wordprocessingml/2006/main">
  <w:endnote w:type="continuationSeparator" w:id="0">
    <w:p>
      <w:pPr>
        <w:spacing w:after="0" w:line="240" w:lineRule="auto"/>
        <w:rPr/>
      </w:pPr>
      <w:r>
        <w:rPr>
          <w:rStyle w:val="000008"/>
        </w:rPr>
        <w:endnoteRef/>
      </w:r>
      <w:r>
        <w:rPr/>
        <w:continuationSeparator/>
      </w:r>
    </w:p>
  </w:endnote>
  <w:endnote w:type="separator" w:id="1">
    <w:p>
      <w:pPr>
        <w:spacing w:after="0" w:line="240" w:lineRule="auto"/>
        <w:rPr/>
      </w:pPr>
      <w:r>
        <w:rPr>
          <w:rStyle w:val="000008"/>
        </w:rPr>
        <w:endnoteRef/>
      </w:r>
      <w:r>
        <w:rPr/>
        <w:separator/>
      </w:r>
    </w:p>
  </w:endnote>
</w:endnotes>
</file>

<file path=word/fontTable.xml><?xml version="1.0" encoding="utf-8"?>
<w:fonts xmlns:w="http://schemas.openxmlformats.org/wordprocessingml/2006/main"/>
</file>

<file path=word/footer1.xml><?xml version="1.0" encoding="utf-8"?>
<w:ftr xmlns:w="http://schemas.openxmlformats.org/wordprocessingml/2006/main">
  <w:p>
    <w:pPr>
      <w:jc w:val="center"/>
      <w:rPr/>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PAGE</w:instrText>
    </w:r>
    <w:r>
      <w:rPr>
        <w:rFonts w:ascii="Times New Roman" w:hAnsi="Times New Roman" w:eastAsia="Times New Roman" w:cs="Times New Roman"/>
        <w:sz w:val="21"/>
        <w:szCs w:val="21"/>
      </w:rPr>
      <w:fldChar w:fldCharType="separate"/>
    </w:r>
    <w:r>
      <w:rPr>
        <w:rFonts w:ascii="Times New Roman" w:hAnsi="Times New Roman" w:eastAsia="Times New Roman" w:cs="Times New Roman"/>
        <w:sz w:val="21"/>
        <w:szCs w:val="21"/>
      </w:rPr>
      <w:fldChar w:fldCharType="end"/>
    </w:r>
  </w:p>
</w:ftr>
</file>

<file path=word/footnotes.xml><?xml version="1.0" encoding="utf-8"?>
<w:footnotes xmlns:w="http://schemas.openxmlformats.org/wordprocessingml/2006/main">
  <w:footnote w:type="continuationSeparator" w:id="0">
    <w:p>
      <w:pPr>
        <w:spacing w:after="0" w:line="240" w:lineRule="auto"/>
        <w:rPr/>
      </w:pPr>
      <w:r>
        <w:rPr>
          <w:rStyle w:val="00000c"/>
        </w:rPr>
        <w:footnoteRef/>
      </w:r>
      <w:r>
        <w:rPr/>
        <w:continuationSeparator/>
      </w:r>
    </w:p>
  </w:footnote>
  <w:footnote w:type="separator" w:id="1">
    <w:p>
      <w:pPr>
        <w:spacing w:after="0" w:line="240" w:lineRule="auto"/>
        <w:rPr/>
      </w:pPr>
      <w:r>
        <w:rPr>
          <w:rStyle w:val="00000c"/>
        </w:rPr>
        <w:footnoteRef/>
      </w:r>
      <w:r>
        <w:rPr/>
        <w:separator/>
      </w:r>
    </w:p>
  </w:footnote>
</w:footnotes>
</file>

<file path=word/header1.xml><?xml version="1.0" encoding="utf-8"?>
<w:hdr xmlns:w="http://schemas.openxmlformats.org/wordprocessingml/2006/main">
  <w:p>
    <w:pPr>
      <w:jc w:val="center"/>
      <w:rPr/>
    </w:pPr>
    <w:r>
      <w:rPr>
        <w:rFonts w:ascii="SimSun" w:hAnsi="SimSun" w:eastAsia="SimSun" w:cs="SimSun"/>
        <w:sz w:val="21"/>
        <w:szCs w:val="21"/>
      </w:rPr>
      <w:t>大学生职业生涯规划书</w:t>
    </w:r>
  </w:p>
</w:hdr>
</file>

<file path=word/settings.xml><?xml version="1.0" encoding="utf-8"?>
<w:settings xmlns:w="http://schemas.openxmlformats.org/wordprocessingml/2006/main">
  <w:displayBackgroundShape w:val="1"/>
  <w:evenAndOddHeaders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SimSun" w:hAnsi="SimSun" w:eastAsia="SimSun" w:cs="SimSun"/>
        <w:sz w:val="24"/>
        <w:szCs w:val="24"/>
      </w:rPr>
    </w:rPrDefault>
    <w:pPrDefault/>
  </w:docDefaults>
  <w:style w:type="character" w:styleId="000008">
    <w:name w:val="endnote reference"/>
    <w:basedOn w:val="000002"/>
    <w:uiPriority w:val="99"/>
    <w:semiHidden w:val="1"/>
    <w:unhideWhenUsed w:val="1"/>
    <w:rPr>
      <w:vertAlign w:val="superscript"/>
    </w:rPr>
  </w:style>
  <w:style w:type="paragraph" w:styleId="000003">
    <w:name w:val="Heading 3"/>
    <w:basedOn w:val="000004"/>
    <w:next w:val="000004"/>
    <w:qFormat w:val="1"/>
    <w:pPr>
      <w:spacing w:before="120" w:after="120" w:line="360"/>
      <w:jc w:val="left"/>
      <w:outlineLvl w:val="2"/>
    </w:pPr>
    <w:rPr>
      <w:rFonts w:ascii="SimHei" w:hAnsi="SimHei" w:eastAsia="SimHei" w:cs="SimHei"/>
      <w:b w:val="1"/>
      <w:bCs w:val="1"/>
      <w:sz w:val="24"/>
      <w:szCs w:val="24"/>
    </w:rPr>
  </w:style>
  <w:style w:type="paragraph" w:styleId="00000d">
    <w:name w:val="Strong"/>
    <w:basedOn w:val="000004"/>
    <w:next w:val="000004"/>
    <w:qFormat w:val="1"/>
    <w:rPr>
      <w:b w:val="1"/>
      <w:bCs w:val="1"/>
    </w:rPr>
  </w:style>
  <w:style w:type="paragraph" w:styleId="000010">
    <w:name w:val="Title"/>
    <w:basedOn w:val="000004"/>
    <w:next w:val="000004"/>
    <w:qFormat w:val="1"/>
    <w:rPr>
      <w:sz w:val="56"/>
      <w:szCs w:val="56"/>
    </w:rPr>
  </w:style>
  <w:style w:type="paragraph" w:styleId="00000f">
    <w:name w:val="Heading 6"/>
    <w:basedOn w:val="000004"/>
    <w:next w:val="000004"/>
    <w:qFormat w:val="1"/>
    <w:rPr>
      <w:color w:val="1F4D78"/>
    </w:rPr>
  </w:style>
  <w:style w:type="character" w:styleId="000006">
    <w:name w:val="Endnote Text Char"/>
    <w:basedOn w:val="000002"/>
    <w:link w:val="000007"/>
    <w:uiPriority w:val="99"/>
    <w:semiHidden w:val="1"/>
    <w:unhideWhenUsed w:val="1"/>
    <w:rPr>
      <w:sz w:val="20"/>
      <w:szCs w:val="20"/>
    </w:rPr>
  </w:style>
  <w:style w:type="paragraph" w:styleId="00000b">
    <w:name w:val="footnote text"/>
    <w:basedOn w:val="000004"/>
    <w:link w:val="00000a"/>
    <w:uiPriority w:val="99"/>
    <w:semiHidden w:val="1"/>
    <w:unhideWhenUsed w:val="1"/>
    <w:pPr>
      <w:spacing w:after="0" w:line="240" w:lineRule="auto"/>
    </w:pPr>
    <w:rPr>
      <w:sz w:val="20"/>
      <w:szCs w:val="20"/>
    </w:rPr>
  </w:style>
  <w:style w:type="character" w:styleId="00000c">
    <w:name w:val="footnote reference"/>
    <w:basedOn w:val="000002"/>
    <w:uiPriority w:val="99"/>
    <w:semiHidden w:val="1"/>
    <w:unhideWhenUsed w:val="1"/>
    <w:rPr>
      <w:vertAlign w:val="superscript"/>
    </w:rPr>
  </w:style>
  <w:style w:type="character" w:styleId="00000a">
    <w:name w:val="Footnote Text Char"/>
    <w:basedOn w:val="000002"/>
    <w:link w:val="00000b"/>
    <w:uiPriority w:val="99"/>
    <w:semiHidden w:val="1"/>
    <w:unhideWhenUsed w:val="1"/>
    <w:rPr>
      <w:sz w:val="20"/>
      <w:szCs w:val="20"/>
    </w:rPr>
  </w:style>
  <w:style w:type="character" w:styleId="000001">
    <w:name w:val="Hyperlink"/>
    <w:basedOn w:val="000002"/>
    <w:uiPriority w:val="99"/>
    <w:unhideWhenUsed w:val="1"/>
    <w:rPr>
      <w:color w:val="0563C1"/>
      <w:u w:val="single"/>
    </w:rPr>
  </w:style>
  <w:style w:type="paragraph" w:styleId="000012">
    <w:name w:val="Heading 1"/>
    <w:basedOn w:val="000004"/>
    <w:next w:val="000004"/>
    <w:qFormat w:val="1"/>
    <w:pPr>
      <w:spacing w:before="360" w:after="360" w:line="360"/>
      <w:jc w:val="center"/>
      <w:outlineLvl w:val="0"/>
    </w:pPr>
    <w:rPr>
      <w:rFonts w:ascii="SimHei" w:hAnsi="SimHei" w:eastAsia="SimHei" w:cs="SimHei"/>
      <w:b w:val="1"/>
      <w:bCs w:val="1"/>
      <w:sz w:val="32"/>
      <w:szCs w:val="32"/>
    </w:rPr>
  </w:style>
  <w:style w:type="paragraph" w:styleId="00000e">
    <w:name w:val="Heading 2"/>
    <w:basedOn w:val="000004"/>
    <w:next w:val="000004"/>
    <w:qFormat w:val="1"/>
    <w:pPr>
      <w:spacing w:before="240" w:after="240" w:line="360"/>
      <w:jc w:val="left"/>
      <w:outlineLvl w:val="1"/>
    </w:pPr>
    <w:rPr>
      <w:rFonts w:ascii="SimHei" w:hAnsi="SimHei" w:eastAsia="SimHei" w:cs="SimHei"/>
      <w:b w:val="1"/>
      <w:bCs w:val="1"/>
      <w:sz w:val="28"/>
      <w:szCs w:val="28"/>
    </w:rPr>
  </w:style>
  <w:style w:type="paragraph" w:styleId="000007">
    <w:name w:val="endnote text"/>
    <w:basedOn w:val="000004"/>
    <w:link w:val="000006"/>
    <w:uiPriority w:val="99"/>
    <w:semiHidden w:val="1"/>
    <w:unhideWhenUsed w:val="1"/>
    <w:pPr>
      <w:spacing w:after="0" w:line="240" w:lineRule="auto"/>
    </w:pPr>
    <w:rPr>
      <w:sz w:val="20"/>
      <w:szCs w:val="20"/>
    </w:rPr>
  </w:style>
  <w:style w:type="paragraph" w:styleId="000009">
    <w:name w:val="Heading 5"/>
    <w:basedOn w:val="000004"/>
    <w:next w:val="000004"/>
    <w:qFormat w:val="1"/>
    <w:rPr>
      <w:color w:val="2E74B5"/>
    </w:rPr>
  </w:style>
  <w:style w:type="paragraph" w:styleId="000005">
    <w:name w:val="List Paragraph"/>
    <w:basedOn w:val="000004"/>
    <w:qFormat w:val="1"/>
  </w:style>
  <w:style w:type="paragraph" w:styleId="000011">
    <w:name w:val="Heading 4"/>
    <w:basedOn w:val="000004"/>
    <w:next w:val="000004"/>
    <w:qFormat w:val="1"/>
    <w:rPr>
      <w:i w:val="1"/>
      <w:iCs w:val="1"/>
      <w:color w:val="2E74B5"/>
    </w:rPr>
  </w:style>
</w:styles>
</file>

<file path=word/_rels/document.xml.rels><?xml version="1.0" encoding="UTF-8" standalone="yes"?><Relationships xmlns="http://schemas.openxmlformats.org/package/2006/relationships"><Relationship Id="rId7" Type="http://schemas.openxmlformats.org/officeDocument/2006/relationships/image" Target="media/image1.jpg" /><Relationship Id="rId0" Type="http://schemas.openxmlformats.org/officeDocument/2006/relationships/styles" Target="styles.xml" /><Relationship Id="rId6" Type="http://schemas.openxmlformats.org/officeDocument/2006/relationships/footer" Target="footer1.xml" /><Relationship Id="rId1" Type="http://schemas.openxmlformats.org/officeDocument/2006/relationships/settings" Target="settings.xml" /><Relationship Id="rId5" Type="http://schemas.openxmlformats.org/officeDocument/2006/relationships/header" Target="header1.xml" /><Relationship Id="rId2" Type="http://schemas.openxmlformats.org/officeDocument/2006/relationships/footnotes" Target="footnotes.xml" /><Relationship Id="rId3" Type="http://schemas.openxmlformats.org/officeDocument/2006/relationships/endnotes" Target="endnotes.xml" /><Relationship Id="rId4"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2026-05-24T10:32:11Z</dcterms:created>
  <dcterms:modified xsi:type="dcterms:W3CDTF">2026-05-24T10:32:11Z</dcterms:modified>
</cp:coreProperties>
</file>