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0A2540"/>
          <w:sz w:val="80"/>
        </w:rPr>
        <w:t>Enough</w:t>
      </w:r>
    </w:p>
    <w:p>
      <w:pPr>
        <w:spacing w:after="360"/>
        <w:jc w:val="center"/>
      </w:pPr>
      <w:r>
        <w:rPr>
          <w:b w:val="0"/>
          <w:i/>
          <w:color w:val="5B6B7F"/>
          <w:sz w:val="30"/>
        </w:rPr>
        <w:t>A CPF-calibrated retirement decumulation platform for Singapore</w:t>
      </w:r>
    </w:p>
    <w:p>
      <w:pPr>
        <w:spacing w:after="600"/>
        <w:jc w:val="center"/>
      </w:pPr>
      <w:r>
        <w:rPr>
          <w:b w:val="0"/>
          <w:i w:val="0"/>
          <w:color w:val="0B7A55"/>
          <w:sz w:val="24"/>
        </w:rPr>
        <w:t>"How much can I really spend?"  —  turning savings into permission to spend, safely.</w:t>
      </w:r>
    </w:p>
    <w:p>
      <w:pPr>
        <w:spacing w:after="40"/>
        <w:jc w:val="center"/>
      </w:pPr>
      <w:r>
        <w:rPr>
          <w:b/>
          <w:i w:val="0"/>
          <w:sz w:val="26"/>
        </w:rPr>
        <w:t>Fintech Business &amp; Technical Proposal</w:t>
      </w:r>
    </w:p>
    <w:p>
      <w:pPr>
        <w:spacing w:after="40"/>
        <w:jc w:val="center"/>
      </w:pPr>
      <w:r>
        <w:rPr>
          <w:b w:val="0"/>
          <w:i w:val="0"/>
          <w:color w:val="5B6B7F"/>
          <w:sz w:val="21"/>
        </w:rPr>
        <w:t>Prepared for SMU FNCE6041  ·  Educational prototype</w:t>
      </w:r>
    </w:p>
    <w:p>
      <w:pPr>
        <w:jc w:val="center"/>
      </w:pPr>
      <w:r>
        <w:rPr>
          <w:b w:val="0"/>
          <w:i w:val="0"/>
          <w:color w:val="5B6B7F"/>
          <w:sz w:val="21"/>
        </w:rPr>
        <w:t>Version 1.0  ·  July 2026</w:t>
      </w:r>
    </w:p>
    <w:p>
      <w:r>
        <w:br w:type="page"/>
      </w:r>
    </w:p>
    <w:p>
      <w:pPr>
        <w:spacing w:after="120"/>
      </w:pPr>
      <w:r>
        <w:rPr>
          <w:b/>
          <w:i w:val="0"/>
          <w:color w:val="0A2540"/>
          <w:sz w:val="28"/>
        </w:rPr>
        <w:t>Contents</w:t>
      </w:r>
    </w:p>
    <w:p>
      <w:pPr>
        <w:spacing w:after="60"/>
      </w:pPr>
      <w:r>
        <w:rPr>
          <w:b/>
          <w:sz w:val="21"/>
        </w:rPr>
        <w:t>Executive summary</w:t>
      </w:r>
    </w:p>
    <w:p>
      <w:pPr>
        <w:spacing w:after="60"/>
      </w:pPr>
      <w:r>
        <w:rPr>
          <w:b/>
          <w:sz w:val="21"/>
        </w:rPr>
        <w:t>1.  The problem being solved</w:t>
      </w:r>
    </w:p>
    <w:p>
      <w:pPr>
        <w:spacing w:after="60"/>
      </w:pPr>
      <w:r>
        <w:rPr>
          <w:b/>
          <w:sz w:val="21"/>
        </w:rPr>
        <w:t>2.  Target users</w:t>
      </w:r>
    </w:p>
    <w:p>
      <w:pPr>
        <w:spacing w:after="60"/>
      </w:pPr>
      <w:r>
        <w:rPr>
          <w:b/>
          <w:sz w:val="21"/>
        </w:rPr>
        <w:t>3.  Market context</w:t>
      </w:r>
    </w:p>
    <w:p>
      <w:pPr>
        <w:spacing w:after="60"/>
      </w:pPr>
      <w:r>
        <w:rPr>
          <w:b/>
          <w:sz w:val="21"/>
        </w:rPr>
        <w:t>4.  Product design — how the solution works and the user experience</w:t>
      </w:r>
    </w:p>
    <w:p>
      <w:pPr>
        <w:spacing w:after="60"/>
      </w:pPr>
      <w:r>
        <w:rPr>
          <w:b/>
          <w:sz w:val="21"/>
        </w:rPr>
        <w:t>5.  Business model</w:t>
      </w:r>
    </w:p>
    <w:p>
      <w:pPr>
        <w:spacing w:after="60"/>
      </w:pPr>
      <w:r>
        <w:rPr>
          <w:b/>
          <w:sz w:val="21"/>
        </w:rPr>
        <w:t>6.  How the product generates revenue</w:t>
      </w:r>
    </w:p>
    <w:p>
      <w:pPr>
        <w:spacing w:after="60"/>
      </w:pPr>
      <w:r>
        <w:rPr>
          <w:b/>
          <w:sz w:val="21"/>
        </w:rPr>
        <w:t>7.  Key drivers of the economics</w:t>
      </w:r>
    </w:p>
    <w:p>
      <w:pPr>
        <w:spacing w:after="60"/>
      </w:pPr>
      <w:r>
        <w:rPr>
          <w:b/>
          <w:sz w:val="21"/>
        </w:rPr>
        <w:t>8.  Financial &amp; analytical component</w:t>
      </w:r>
    </w:p>
    <w:p>
      <w:pPr>
        <w:spacing w:after="60"/>
      </w:pPr>
      <w:r>
        <w:rPr>
          <w:b/>
          <w:sz w:val="21"/>
        </w:rPr>
        <w:t>9.  Key risks, constraints &amp; regulatory considerations</w:t>
      </w:r>
    </w:p>
    <w:p>
      <w:pPr>
        <w:spacing w:after="60"/>
      </w:pPr>
      <w:r>
        <w:rPr>
          <w:b/>
          <w:sz w:val="21"/>
        </w:rPr>
        <w:t>Appendix A — Engine assumptions &amp; methodology summary</w:t>
      </w:r>
    </w:p>
    <w:p>
      <w:pPr>
        <w:spacing w:after="60"/>
      </w:pPr>
      <w:r>
        <w:rPr>
          <w:b/>
          <w:sz w:val="21"/>
        </w:rPr>
        <w:t>Appendix B — Glossary</w:t>
      </w:r>
    </w:p>
    <w:p>
      <w:r>
        <w:br w:type="page"/>
      </w:r>
    </w:p>
    <w:p>
      <w:pPr>
        <w:pStyle w:val="Heading1"/>
      </w:pPr>
      <w:r>
        <w:t>Executive summary</w:t>
      </w:r>
    </w:p>
    <w:p>
      <w:r>
        <w:rPr>
          <w:b w:val="0"/>
          <w:i w:val="0"/>
        </w:rPr>
        <w:t>Every existing Singapore retirement tool answers the accumulation question — how much have you saved? None answers the decumulation question retirees actually lose sleep over: how much can I safely spend each month without outliving my money, while still funding the life I want? Enough is a neutral, CPF-calibrated planning platform built entirely around that one question.</w:t>
      </w:r>
    </w:p>
    <w:p>
      <w:r>
        <w:rPr>
          <w:b w:val="0"/>
          <w:i w:val="0"/>
        </w:rPr>
        <w:t>Enough treats CPF LIFE as a guaranteed lifetime floor and runs a Monte Carlo engine over the investable wealth sitting above it to produce a single, honest figure: a safer monthly spend, expressed as a range with a stated confidence level, that updates as markets move. The number is glass-box — every figure carries a plain-English "why," and AI is used only to explain results, never to calculate them.</w:t>
      </w:r>
    </w:p>
    <w:p>
      <w:r>
        <w:rPr>
          <w:b/>
          <w:i w:val="0"/>
          <w:color w:val="0A2540"/>
        </w:rPr>
        <w:t xml:space="preserve">Business insight. </w:t>
      </w:r>
      <w:r>
        <w:rPr>
          <w:b w:val="0"/>
          <w:i w:val="0"/>
        </w:rPr>
        <w:t xml:space="preserve">Primary research (surveys of retirees and their adult children) found low willingness to pay for a direct consumer subscription — respondents preferred a one-off payment or the lowest tier. Enough therefore leads with a </w:t>
      </w:r>
      <w:r>
        <w:rPr>
          <w:b/>
          <w:i w:val="0"/>
        </w:rPr>
        <w:t>B2B2C model</w:t>
      </w:r>
      <w:r>
        <w:rPr>
          <w:b w:val="0"/>
          <w:i w:val="0"/>
        </w:rPr>
        <w:t>: the platform is sold to financial institutions — insurers and fee-only IFAs first, banks later — who distribute it to their retiree customers. Insurers come first because their economics (protection, annuity and long-term-care products) align with a tool that neutrally sizes exactly those gaps; a bank's asset-gathering model is partly in tension with a tool that tells customers to draw down.</w:t>
      </w:r>
    </w:p>
    <w:p>
      <w:r>
        <w:rPr>
          <w:b/>
          <w:i w:val="0"/>
          <w:color w:val="0A2540"/>
        </w:rPr>
        <w:t xml:space="preserve">Analytical rigour. </w:t>
      </w:r>
      <w:r>
        <w:rPr>
          <w:b w:val="0"/>
          <w:i w:val="0"/>
        </w:rPr>
        <w:t>Enough never shows a false-precise single number. It shows a probability-of-success curve across thousands of simulated market futures, a sensitivity (tornado) view of which assumptions move the answer most, an explicit sequence-of-returns stress test, and a historical backtest against 1973, 2000 and 2008. The safe-spend answer deliberately moves across conservative, base and optimistic assumption sets — the honest output is the spread, not a single promise.</w:t>
      </w:r>
    </w:p>
    <w:tbl>
      <w:tblPr>
        <w:tblStyle w:val="TableGrid"/>
        <w:tblW w:type="auto" w:w="0"/>
        <w:tblLook w:firstColumn="1" w:firstRow="1" w:lastColumn="0" w:lastRow="0" w:noHBand="0" w:noVBand="1" w:val="04A0"/>
      </w:tblPr>
      <w:tblGrid>
        <w:gridCol w:w="8640"/>
      </w:tblGrid>
      <w:tr>
        <w:tc>
          <w:tcPr>
            <w:tcW w:type="dxa" w:w="8640"/>
            <w:shd w:val="clear" w:color="auto" w:fill="EAF1F0"/>
          </w:tcPr>
          <w:p>
            <w:r/>
            <w:r>
              <w:rPr>
                <w:b/>
                <w:color w:val="0A2540"/>
                <w:sz w:val="21"/>
              </w:rPr>
              <w:t>The wedge in one line</w:t>
            </w:r>
          </w:p>
          <w:p>
            <w:r>
              <w:rPr>
                <w:sz w:val="19"/>
              </w:rPr>
              <w:t>CPF LIFE tells you "you will always receive $X." Enough tells you "given that floor, here is how much MORE you can safely spend each month to live the life you want — and exactly how confident we are." Banks, insurers and CPF structurally cannot give that neutral answer; Enough can. Trust is the product.</w:t>
            </w:r>
          </w:p>
        </w:tc>
      </w:tr>
    </w:tbl>
    <w:p>
      <w:pPr>
        <w:spacing w:after="40"/>
      </w:pPr>
    </w:p>
    <w:p>
      <w:pPr>
        <w:pStyle w:val="Heading1"/>
      </w:pPr>
      <w:r>
        <w:t>1.  The problem being solved</w:t>
      </w:r>
    </w:p>
    <w:p>
      <w:r>
        <w:rPr>
          <w:b w:val="0"/>
          <w:i w:val="0"/>
        </w:rPr>
        <w:t>Singapore is ageing fast — roughly one in four citizens will be over 65 by 2030 (figure indicative; to be confirmed against primary sources). Yet the entire retirement-technology stack is built for the years before retirement, not the decades inside it.</w:t>
      </w:r>
    </w:p>
    <w:p>
      <w:pPr>
        <w:pStyle w:val="Heading2"/>
      </w:pPr>
      <w:r>
        <w:t>1.1  The decumulation blind spot</w:t>
      </w:r>
    </w:p>
    <w:p>
      <w:pPr>
        <w:pStyle w:val="ListBullet"/>
        <w:spacing w:after="60"/>
      </w:pPr>
      <w:r>
        <w:rPr>
          <w:b/>
        </w:rPr>
        <w:t xml:space="preserve">Existing tools do one of two things: </w:t>
      </w:r>
      <w:r>
        <w:t>explain CPF (calculators that project your Retirement Account and payout), or</w:t>
      </w:r>
    </w:p>
    <w:p>
      <w:pPr>
        <w:pStyle w:val="ListBullet"/>
        <w:spacing w:after="60"/>
      </w:pPr>
      <w:r>
        <w:t>sell a product (investment platforms and advisers that grow or allocate assets).</w:t>
      </w:r>
    </w:p>
    <w:p>
      <w:r>
        <w:rPr>
          <w:b w:val="0"/>
          <w:i w:val="0"/>
        </w:rPr>
        <w:t>Neither tells a 65-year-old the single thing they need at the point of retirement: given everything I hold — CPF LIFE, cash, SRS, investments, a paid-off flat — how much can I actually spend this month, and how sure can I be that it lasts? Decumulation is analytically harder than accumulation because it adds three coupled risks that saving alone never faces: longevity (you don't know how long the money must last), sequence-of-returns (a crash early in retirement is far more damaging than the same crash later), and irreversibility (a 78-year-old who overspent cannot go back to work).</w:t>
      </w:r>
    </w:p>
    <w:p>
      <w:pPr>
        <w:pStyle w:val="Heading2"/>
      </w:pPr>
      <w:r>
        <w:t>1.2  The behavioural cost: the underspending paradox</w:t>
      </w:r>
    </w:p>
    <w:p>
      <w:r>
        <w:rPr>
          <w:b w:val="0"/>
          <w:i w:val="0"/>
        </w:rPr>
        <w:t>The problem is not only that some retirees will run short. It is that many who could safely afford more live smaller, more anxious retirements than their wealth allows — a meaningful share still hold the bulk of their savings into their mid-80s, spending far below a sustainable rate out of fear. Absent a trustworthy "you can safely spend this" signal, caution defaults to under-consumption. Enough reframes the question from pure fear-avoidance ("will I run out?") to lifestyle-funding ("how do I fund the life I want, safely?").</w:t>
      </w:r>
    </w:p>
    <w:tbl>
      <w:tblPr>
        <w:tblStyle w:val="TableGrid"/>
        <w:tblW w:type="auto" w:w="0"/>
        <w:tblLook w:firstColumn="1" w:firstRow="1" w:lastColumn="0" w:lastRow="0" w:noHBand="0" w:noVBand="1" w:val="04A0"/>
      </w:tblPr>
      <w:tblGrid>
        <w:gridCol w:w="8640"/>
      </w:tblGrid>
      <w:tr>
        <w:tc>
          <w:tcPr>
            <w:tcW w:type="dxa" w:w="8640"/>
            <w:shd w:val="clear" w:color="auto" w:fill="EAF1F0"/>
          </w:tcPr>
          <w:p>
            <w:r/>
            <w:r>
              <w:rPr>
                <w:b/>
                <w:color w:val="0A2540"/>
                <w:sz w:val="21"/>
              </w:rPr>
              <w:t>The six retiree needs Enough is designed around (research foundation; specific percentages to be verified)</w:t>
            </w:r>
          </w:p>
          <w:p>
            <w:r>
              <w:rPr>
                <w:sz w:val="19"/>
              </w:rPr>
              <w:t>1. A reliable income floor — essentials guaranteed for life.</w:t>
            </w:r>
          </w:p>
          <w:p>
            <w:r>
              <w:rPr>
                <w:sz w:val="19"/>
              </w:rPr>
              <w:t>2. Longevity protection — not outliving your money (the fear ranked above death itself).</w:t>
            </w:r>
          </w:p>
          <w:p>
            <w:r>
              <w:rPr>
                <w:sz w:val="19"/>
              </w:rPr>
              <w:t>3. Healthcare &amp; long-term-care costs — the top financial worry of Singapore retirees.</w:t>
            </w:r>
          </w:p>
          <w:p>
            <w:r>
              <w:rPr>
                <w:sz w:val="19"/>
              </w:rPr>
              <w:t>4. Inflation protection — the cost of living erodes a level CPF payout over a 30-year retirement.</w:t>
            </w:r>
          </w:p>
          <w:p>
            <w:r>
              <w:rPr>
                <w:sz w:val="19"/>
              </w:rPr>
              <w:t>5. Spending confidence — the wedge: a neutral permission-to-spend signal.</w:t>
            </w:r>
          </w:p>
          <w:p>
            <w:r>
              <w:rPr>
                <w:sz w:val="19"/>
              </w:rPr>
              <w:t>6. Flexibility &amp; legacy — absorb surprises and leave something behind.</w:t>
            </w:r>
          </w:p>
        </w:tc>
      </w:tr>
    </w:tbl>
    <w:p>
      <w:pPr>
        <w:spacing w:after="40"/>
      </w:pPr>
    </w:p>
    <w:p>
      <w:pPr>
        <w:pStyle w:val="Heading1"/>
      </w:pPr>
      <w:r>
        <w:t>2.  Target users</w:t>
      </w:r>
    </w:p>
    <w:p>
      <w:pPr>
        <w:pStyle w:val="Heading2"/>
      </w:pPr>
      <w:r>
        <w:t>2.1  The end-user: the retiree (the beneficiary)</w:t>
      </w:r>
    </w:p>
    <w:p>
      <w:r>
        <w:rPr>
          <w:b w:val="0"/>
          <w:i w:val="0"/>
        </w:rPr>
        <w:t>The core beneficiary is a Singaporean at or near retirement (roughly 60–75), CPF-anchored, typically with a paid-off HDB flat and moderate investable assets outside CPF. The canonical worked example is Mr Tan, 65: CPF LIFE ~S$1,550/month, ~S$190,000 across cash, SRS and investments, a paid-off 4-room flat, who wants to spend ~S$3,100/month. He is not wealthy enough for a private bank and not poor enough to ignore the question — the mass-affluent middle where the decumulation problem bites hardest.</w:t>
      </w:r>
    </w:p>
    <w:p>
      <w:pPr>
        <w:pStyle w:val="Heading2"/>
      </w:pPr>
      <w:r>
        <w:t>2.2  The operator &amp; likely buyer: the adult child</w:t>
      </w:r>
    </w:p>
    <w:p>
      <w:r>
        <w:rPr>
          <w:b w:val="0"/>
          <w:i w:val="0"/>
        </w:rPr>
        <w:t>A distinguishing design choice is the family layer. The adult child (the "sandwich generation") is often the operator — they set up accounts, receive alerts, and co-sign big moves — and, in a direct-to-consumer tier, the likely payer, because their willingness to pay for a parent's peace of mind exceeds the retiree's own. Enough stays rigorously parent-centric: the plan always optimises the parent's wellbeing, and the parent — not the child — sees and confirms the final number. That parent-centric integrity is what neutralises the latent inheritance conflict of interest.</w:t>
      </w:r>
    </w:p>
    <w:p>
      <w:pPr>
        <w:pStyle w:val="Heading2"/>
      </w:pPr>
      <w:r>
        <w:t>2.3  The paying customer: financial institutions (B2B2C)</w:t>
      </w:r>
    </w:p>
    <w:p>
      <w:r>
        <w:rPr>
          <w:b w:val="0"/>
          <w:i w:val="0"/>
        </w:rPr>
        <w:t>Because direct-consumer willingness to pay is low (Section 5), the paying customer in the primary model is the distribution partner — an insurer or fee-only IFA whose retiree and pre-retiree book benefits from an engagement, retention and needs-analysis tool. The retiree remains the beneficiary; the institution is the buyer.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A2540"/>
          </w:tcPr>
          <w:p>
            <w:r/>
            <w:r>
              <w:rPr>
                <w:b/>
                <w:color w:val="FFFFFF"/>
                <w:sz w:val="19"/>
              </w:rPr>
              <w:t>User</w:t>
            </w:r>
          </w:p>
        </w:tc>
        <w:tc>
          <w:tcPr>
            <w:tcW w:type="dxa" w:w="2448"/>
            <w:shd w:val="clear" w:color="auto" w:fill="0A2540"/>
          </w:tcPr>
          <w:p>
            <w:r/>
            <w:r>
              <w:rPr>
                <w:b/>
                <w:color w:val="FFFFFF"/>
                <w:sz w:val="19"/>
              </w:rPr>
              <w:t>Role</w:t>
            </w:r>
          </w:p>
        </w:tc>
        <w:tc>
          <w:tcPr>
            <w:tcW w:type="dxa" w:w="3744"/>
            <w:shd w:val="clear" w:color="auto" w:fill="0A2540"/>
          </w:tcPr>
          <w:p>
            <w:r/>
            <w:r>
              <w:rPr>
                <w:b/>
                <w:color w:val="FFFFFF"/>
                <w:sz w:val="19"/>
              </w:rPr>
              <w:t>What they get</w:t>
            </w:r>
          </w:p>
        </w:tc>
        <w:tc>
          <w:tcPr>
            <w:tcW w:type="dxa" w:w="1440"/>
            <w:shd w:val="clear" w:color="auto" w:fill="0A2540"/>
          </w:tcPr>
          <w:p>
            <w:r/>
            <w:r>
              <w:rPr>
                <w:b/>
                <w:color w:val="FFFFFF"/>
                <w:sz w:val="19"/>
              </w:rPr>
              <w:t>Pays?</w:t>
            </w:r>
          </w:p>
        </w:tc>
      </w:tr>
      <w:tr>
        <w:tc>
          <w:tcPr>
            <w:tcW w:type="dxa" w:w="2160"/>
          </w:tcPr>
          <w:p>
            <w:r/>
            <w:r>
              <w:rPr>
                <w:sz w:val="19"/>
              </w:rPr>
              <w:t>Retiree (e.g. Mr Tan)</w:t>
            </w:r>
          </w:p>
        </w:tc>
        <w:tc>
          <w:tcPr>
            <w:tcW w:type="dxa" w:w="2448"/>
          </w:tcPr>
          <w:p>
            <w:r/>
            <w:r>
              <w:rPr>
                <w:sz w:val="19"/>
              </w:rPr>
              <w:t>Owner / beneficiary / decision-maker</w:t>
            </w:r>
          </w:p>
        </w:tc>
        <w:tc>
          <w:tcPr>
            <w:tcW w:type="dxa" w:w="3744"/>
          </w:tcPr>
          <w:p>
            <w:r/>
            <w:r>
              <w:rPr>
                <w:sz w:val="19"/>
              </w:rPr>
              <w:t>The safer-spend number; confirms every change</w:t>
            </w:r>
          </w:p>
        </w:tc>
        <w:tc>
          <w:tcPr>
            <w:tcW w:type="dxa" w:w="1440"/>
          </w:tcPr>
          <w:p>
            <w:r/>
            <w:r>
              <w:rPr>
                <w:sz w:val="19"/>
              </w:rPr>
              <w:t>Free / low tier</w:t>
            </w:r>
          </w:p>
        </w:tc>
      </w:tr>
      <w:tr>
        <w:tc>
          <w:tcPr>
            <w:tcW w:type="dxa" w:w="2160"/>
            <w:shd w:val="clear" w:color="auto" w:fill="EAF1F0"/>
          </w:tcPr>
          <w:p>
            <w:r/>
            <w:r>
              <w:rPr>
                <w:sz w:val="19"/>
              </w:rPr>
              <w:t>Spouse</w:t>
            </w:r>
          </w:p>
        </w:tc>
        <w:tc>
          <w:tcPr>
            <w:tcW w:type="dxa" w:w="2448"/>
            <w:shd w:val="clear" w:color="auto" w:fill="EAF1F0"/>
          </w:tcPr>
          <w:p>
            <w:r/>
            <w:r>
              <w:rPr>
                <w:sz w:val="19"/>
              </w:rPr>
              <w:t>Viewer</w:t>
            </w:r>
          </w:p>
        </w:tc>
        <w:tc>
          <w:tcPr>
            <w:tcW w:type="dxa" w:w="3744"/>
            <w:shd w:val="clear" w:color="auto" w:fill="EAF1F0"/>
          </w:tcPr>
          <w:p>
            <w:r/>
            <w:r>
              <w:rPr>
                <w:sz w:val="19"/>
              </w:rPr>
              <w:t>Shared visibility of the plan</w:t>
            </w:r>
          </w:p>
        </w:tc>
        <w:tc>
          <w:tcPr>
            <w:tcW w:type="dxa" w:w="1440"/>
            <w:shd w:val="clear" w:color="auto" w:fill="EAF1F0"/>
          </w:tcPr>
          <w:p>
            <w:r/>
            <w:r>
              <w:rPr>
                <w:sz w:val="19"/>
              </w:rPr>
              <w:t>No</w:t>
            </w:r>
          </w:p>
        </w:tc>
      </w:tr>
      <w:tr>
        <w:tc>
          <w:tcPr>
            <w:tcW w:type="dxa" w:w="2160"/>
          </w:tcPr>
          <w:p>
            <w:r/>
            <w:r>
              <w:rPr>
                <w:sz w:val="19"/>
              </w:rPr>
              <w:t>Adult child</w:t>
            </w:r>
          </w:p>
        </w:tc>
        <w:tc>
          <w:tcPr>
            <w:tcW w:type="dxa" w:w="2448"/>
          </w:tcPr>
          <w:p>
            <w:r/>
            <w:r>
              <w:rPr>
                <w:sz w:val="19"/>
              </w:rPr>
              <w:t>Operator / co-pilot</w:t>
            </w:r>
          </w:p>
        </w:tc>
        <w:tc>
          <w:tcPr>
            <w:tcW w:type="dxa" w:w="3744"/>
          </w:tcPr>
          <w:p>
            <w:r/>
            <w:r>
              <w:rPr>
                <w:sz w:val="19"/>
              </w:rPr>
              <w:t>Sets up, gets alerts, co-signs; peace of mind</w:t>
            </w:r>
          </w:p>
        </w:tc>
        <w:tc>
          <w:tcPr>
            <w:tcW w:type="dxa" w:w="1440"/>
          </w:tcPr>
          <w:p>
            <w:r/>
            <w:r>
              <w:rPr>
                <w:sz w:val="19"/>
              </w:rPr>
              <w:t>In D2C family tier</w:t>
            </w:r>
          </w:p>
        </w:tc>
      </w:tr>
      <w:tr>
        <w:tc>
          <w:tcPr>
            <w:tcW w:type="dxa" w:w="2160"/>
            <w:shd w:val="clear" w:color="auto" w:fill="EAF1F0"/>
          </w:tcPr>
          <w:p>
            <w:r/>
            <w:r>
              <w:rPr>
                <w:sz w:val="19"/>
              </w:rPr>
              <w:t>Insurer / IFA</w:t>
            </w:r>
          </w:p>
        </w:tc>
        <w:tc>
          <w:tcPr>
            <w:tcW w:type="dxa" w:w="2448"/>
            <w:shd w:val="clear" w:color="auto" w:fill="EAF1F0"/>
          </w:tcPr>
          <w:p>
            <w:r/>
            <w:r>
              <w:rPr>
                <w:sz w:val="19"/>
              </w:rPr>
              <w:t>Distribution partner</w:t>
            </w:r>
          </w:p>
        </w:tc>
        <w:tc>
          <w:tcPr>
            <w:tcW w:type="dxa" w:w="3744"/>
            <w:shd w:val="clear" w:color="auto" w:fill="EAF1F0"/>
          </w:tcPr>
          <w:p>
            <w:r/>
            <w:r>
              <w:rPr>
                <w:sz w:val="19"/>
              </w:rPr>
              <w:t>Engagement, retention, neutral needs-analysis, qualified leads</w:t>
            </w:r>
          </w:p>
        </w:tc>
        <w:tc>
          <w:tcPr>
            <w:tcW w:type="dxa" w:w="1440"/>
            <w:shd w:val="clear" w:color="auto" w:fill="EAF1F0"/>
          </w:tcPr>
          <w:p>
            <w:r/>
            <w:r>
              <w:rPr>
                <w:sz w:val="19"/>
              </w:rPr>
              <w:t>Yes (primary)</w:t>
            </w:r>
          </w:p>
        </w:tc>
      </w:tr>
    </w:tbl>
    <w:p>
      <w:pPr>
        <w:spacing w:after="40"/>
      </w:pPr>
    </w:p>
    <w:p>
      <w:pPr>
        <w:pStyle w:val="Heading1"/>
      </w:pPr>
      <w:r>
        <w:t>3.  Market context</w:t>
      </w:r>
    </w:p>
    <w:p>
      <w:pPr>
        <w:pStyle w:val="Heading2"/>
      </w:pPr>
      <w:r>
        <w:t>3.1  Why now</w:t>
      </w:r>
    </w:p>
    <w:p>
      <w:pPr>
        <w:pStyle w:val="ListBullet"/>
        <w:spacing w:after="60"/>
      </w:pPr>
      <w:r>
        <w:t>Demographics — a rapidly ageing population moving en masse from accumulation into decumulation over the next decade.</w:t>
      </w:r>
    </w:p>
    <w:p>
      <w:pPr>
        <w:pStyle w:val="ListBullet"/>
        <w:spacing w:after="60"/>
      </w:pPr>
      <w:r>
        <w:t>A proven planning gap — prior neutral digital-advisory efforts demonstrated real demand for low-cost guidance.</w:t>
      </w:r>
    </w:p>
    <w:p>
      <w:pPr>
        <w:pStyle w:val="ListBullet"/>
        <w:spacing w:after="60"/>
      </w:pPr>
      <w:r>
        <w:t>Rising digital readiness among older Singaporeans, and Singpass/SGFinDex rails that make consented whole-wealth aggregation feasible.</w:t>
      </w:r>
    </w:p>
    <w:p>
      <w:pPr>
        <w:pStyle w:val="Heading2"/>
      </w:pPr>
      <w:r>
        <w:t>3.2  The competitive gap</w:t>
      </w:r>
    </w:p>
    <w:p>
      <w:r>
        <w:rPr>
          <w:b w:val="0"/>
          <w:i w:val="0"/>
        </w:rPr>
        <w:t>The market is crowded with accumulation tools and product funnels, but empty where Enough sits — a neutral, whole-wealth, decumulation-first safe-spend engine.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color="auto" w:fill="0A2540"/>
          </w:tcPr>
          <w:p>
            <w:r/>
            <w:r>
              <w:rPr>
                <w:b/>
                <w:color w:val="FFFFFF"/>
                <w:sz w:val="19"/>
              </w:rPr>
              <w:t>Capability</w:t>
            </w:r>
          </w:p>
        </w:tc>
        <w:tc>
          <w:tcPr>
            <w:tcW w:type="dxa" w:w="1440"/>
            <w:shd w:val="clear" w:color="auto" w:fill="0A2540"/>
          </w:tcPr>
          <w:p>
            <w:r/>
            <w:r>
              <w:rPr>
                <w:b/>
                <w:color w:val="FFFFFF"/>
                <w:sz w:val="19"/>
              </w:rPr>
              <w:t>CPF tools</w:t>
            </w:r>
          </w:p>
        </w:tc>
        <w:tc>
          <w:tcPr>
            <w:tcW w:type="dxa" w:w="1728"/>
            <w:shd w:val="clear" w:color="auto" w:fill="0A2540"/>
          </w:tcPr>
          <w:p>
            <w:r/>
            <w:r>
              <w:rPr>
                <w:b/>
                <w:color w:val="FFFFFF"/>
                <w:sz w:val="19"/>
              </w:rPr>
              <w:t>Invest. platforms</w:t>
            </w:r>
          </w:p>
        </w:tc>
        <w:tc>
          <w:tcPr>
            <w:tcW w:type="dxa" w:w="1368"/>
            <w:shd w:val="clear" w:color="auto" w:fill="0A2540"/>
          </w:tcPr>
          <w:p>
            <w:r/>
            <w:r>
              <w:rPr>
                <w:b/>
                <w:color w:val="FFFFFF"/>
                <w:sz w:val="19"/>
              </w:rPr>
              <w:t>Advisers</w:t>
            </w:r>
          </w:p>
        </w:tc>
        <w:tc>
          <w:tcPr>
            <w:tcW w:type="dxa" w:w="1224"/>
            <w:shd w:val="clear" w:color="auto" w:fill="0A2540"/>
          </w:tcPr>
          <w:p>
            <w:r/>
            <w:r>
              <w:rPr>
                <w:b/>
                <w:color w:val="FFFFFF"/>
                <w:sz w:val="19"/>
              </w:rPr>
              <w:t>Enough</w:t>
            </w:r>
          </w:p>
        </w:tc>
      </w:tr>
      <w:tr>
        <w:tc>
          <w:tcPr>
            <w:tcW w:type="dxa" w:w="3744"/>
          </w:tcPr>
          <w:p>
            <w:r/>
            <w:r>
              <w:rPr>
                <w:sz w:val="19"/>
              </w:rPr>
              <w:t>CPF LIFE payout view</w:t>
            </w:r>
          </w:p>
        </w:tc>
        <w:tc>
          <w:tcPr>
            <w:tcW w:type="dxa" w:w="1440"/>
          </w:tcPr>
          <w:p>
            <w:r/>
            <w:r>
              <w:rPr>
                <w:sz w:val="19"/>
              </w:rPr>
              <w:t>Yes</w:t>
            </w:r>
          </w:p>
        </w:tc>
        <w:tc>
          <w:tcPr>
            <w:tcW w:type="dxa" w:w="1728"/>
          </w:tcPr>
          <w:p>
            <w:r/>
            <w:r>
              <w:rPr>
                <w:sz w:val="19"/>
              </w:rPr>
              <w:t>No</w:t>
            </w:r>
          </w:p>
        </w:tc>
        <w:tc>
          <w:tcPr>
            <w:tcW w:type="dxa" w:w="1368"/>
          </w:tcPr>
          <w:p>
            <w:r/>
            <w:r>
              <w:rPr>
                <w:sz w:val="19"/>
              </w:rPr>
              <w:t>Partial</w:t>
            </w:r>
          </w:p>
        </w:tc>
        <w:tc>
          <w:tcPr>
            <w:tcW w:type="dxa" w:w="1224"/>
          </w:tcPr>
          <w:p>
            <w:r/>
            <w:r>
              <w:rPr>
                <w:sz w:val="19"/>
              </w:rPr>
              <w:t>Yes</w:t>
            </w:r>
          </w:p>
        </w:tc>
      </w:tr>
      <w:tr>
        <w:tc>
          <w:tcPr>
            <w:tcW w:type="dxa" w:w="3744"/>
            <w:shd w:val="clear" w:color="auto" w:fill="EAF1F0"/>
          </w:tcPr>
          <w:p>
            <w:r/>
            <w:r>
              <w:rPr>
                <w:sz w:val="19"/>
              </w:rPr>
              <w:t>Whole-wealth (cash/SRS/invest.) view</w:t>
            </w:r>
          </w:p>
        </w:tc>
        <w:tc>
          <w:tcPr>
            <w:tcW w:type="dxa" w:w="1440"/>
            <w:shd w:val="clear" w:color="auto" w:fill="EAF1F0"/>
          </w:tcPr>
          <w:p>
            <w:r/>
            <w:r>
              <w:rPr>
                <w:sz w:val="19"/>
              </w:rPr>
              <w:t>No</w:t>
            </w:r>
          </w:p>
        </w:tc>
        <w:tc>
          <w:tcPr>
            <w:tcW w:type="dxa" w:w="1728"/>
            <w:shd w:val="clear" w:color="auto" w:fill="EAF1F0"/>
          </w:tcPr>
          <w:p>
            <w:r/>
            <w:r>
              <w:rPr>
                <w:sz w:val="19"/>
              </w:rPr>
              <w:t>Partial</w:t>
            </w:r>
          </w:p>
        </w:tc>
        <w:tc>
          <w:tcPr>
            <w:tcW w:type="dxa" w:w="1368"/>
            <w:shd w:val="clear" w:color="auto" w:fill="EAF1F0"/>
          </w:tcPr>
          <w:p>
            <w:r/>
            <w:r>
              <w:rPr>
                <w:sz w:val="19"/>
              </w:rPr>
              <w:t>Yes</w:t>
            </w:r>
          </w:p>
        </w:tc>
        <w:tc>
          <w:tcPr>
            <w:tcW w:type="dxa" w:w="1224"/>
            <w:shd w:val="clear" w:color="auto" w:fill="EAF1F0"/>
          </w:tcPr>
          <w:p>
            <w:r/>
            <w:r>
              <w:rPr>
                <w:sz w:val="19"/>
              </w:rPr>
              <w:t>Yes</w:t>
            </w:r>
          </w:p>
        </w:tc>
      </w:tr>
      <w:tr>
        <w:tc>
          <w:tcPr>
            <w:tcW w:type="dxa" w:w="3744"/>
          </w:tcPr>
          <w:p>
            <w:r/>
            <w:r>
              <w:rPr>
                <w:sz w:val="19"/>
              </w:rPr>
              <w:t>Safe monthly spend number</w:t>
            </w:r>
          </w:p>
        </w:tc>
        <w:tc>
          <w:tcPr>
            <w:tcW w:type="dxa" w:w="1440"/>
          </w:tcPr>
          <w:p>
            <w:r/>
            <w:r>
              <w:rPr>
                <w:sz w:val="19"/>
              </w:rPr>
              <w:t>No</w:t>
            </w:r>
          </w:p>
        </w:tc>
        <w:tc>
          <w:tcPr>
            <w:tcW w:type="dxa" w:w="1728"/>
          </w:tcPr>
          <w:p>
            <w:r/>
            <w:r>
              <w:rPr>
                <w:sz w:val="19"/>
              </w:rPr>
              <w:t>No</w:t>
            </w:r>
          </w:p>
        </w:tc>
        <w:tc>
          <w:tcPr>
            <w:tcW w:type="dxa" w:w="1368"/>
          </w:tcPr>
          <w:p>
            <w:r/>
            <w:r>
              <w:rPr>
                <w:sz w:val="19"/>
              </w:rPr>
              <w:t>No</w:t>
            </w:r>
          </w:p>
        </w:tc>
        <w:tc>
          <w:tcPr>
            <w:tcW w:type="dxa" w:w="1224"/>
          </w:tcPr>
          <w:p>
            <w:r/>
            <w:r>
              <w:rPr>
                <w:sz w:val="19"/>
              </w:rPr>
              <w:t>Yes</w:t>
            </w:r>
          </w:p>
        </w:tc>
      </w:tr>
      <w:tr>
        <w:tc>
          <w:tcPr>
            <w:tcW w:type="dxa" w:w="3744"/>
            <w:shd w:val="clear" w:color="auto" w:fill="EAF1F0"/>
          </w:tcPr>
          <w:p>
            <w:r/>
            <w:r>
              <w:rPr>
                <w:sz w:val="19"/>
              </w:rPr>
              <w:t>Updates with market data</w:t>
            </w:r>
          </w:p>
        </w:tc>
        <w:tc>
          <w:tcPr>
            <w:tcW w:type="dxa" w:w="1440"/>
            <w:shd w:val="clear" w:color="auto" w:fill="EAF1F0"/>
          </w:tcPr>
          <w:p>
            <w:r/>
            <w:r>
              <w:rPr>
                <w:sz w:val="19"/>
              </w:rPr>
              <w:t>No</w:t>
            </w:r>
          </w:p>
        </w:tc>
        <w:tc>
          <w:tcPr>
            <w:tcW w:type="dxa" w:w="1728"/>
            <w:shd w:val="clear" w:color="auto" w:fill="EAF1F0"/>
          </w:tcPr>
          <w:p>
            <w:r/>
            <w:r>
              <w:rPr>
                <w:sz w:val="19"/>
              </w:rPr>
              <w:t>Partial</w:t>
            </w:r>
          </w:p>
        </w:tc>
        <w:tc>
          <w:tcPr>
            <w:tcW w:type="dxa" w:w="1368"/>
            <w:shd w:val="clear" w:color="auto" w:fill="EAF1F0"/>
          </w:tcPr>
          <w:p>
            <w:r/>
            <w:r>
              <w:rPr>
                <w:sz w:val="19"/>
              </w:rPr>
              <w:t>No</w:t>
            </w:r>
          </w:p>
        </w:tc>
        <w:tc>
          <w:tcPr>
            <w:tcW w:type="dxa" w:w="1224"/>
            <w:shd w:val="clear" w:color="auto" w:fill="EAF1F0"/>
          </w:tcPr>
          <w:p>
            <w:r/>
            <w:r>
              <w:rPr>
                <w:sz w:val="19"/>
              </w:rPr>
              <w:t>Yes</w:t>
            </w:r>
          </w:p>
        </w:tc>
      </w:tr>
      <w:tr>
        <w:tc>
          <w:tcPr>
            <w:tcW w:type="dxa" w:w="3744"/>
          </w:tcPr>
          <w:p>
            <w:r/>
            <w:r>
              <w:rPr>
                <w:sz w:val="19"/>
              </w:rPr>
              <w:t>Structurally neutral (no product sale)</w:t>
            </w:r>
          </w:p>
        </w:tc>
        <w:tc>
          <w:tcPr>
            <w:tcW w:type="dxa" w:w="1440"/>
          </w:tcPr>
          <w:p>
            <w:r/>
            <w:r>
              <w:rPr>
                <w:sz w:val="19"/>
              </w:rPr>
              <w:t>Yes</w:t>
            </w:r>
          </w:p>
        </w:tc>
        <w:tc>
          <w:tcPr>
            <w:tcW w:type="dxa" w:w="1728"/>
          </w:tcPr>
          <w:p>
            <w:r/>
            <w:r>
              <w:rPr>
                <w:sz w:val="19"/>
              </w:rPr>
              <w:t>No</w:t>
            </w:r>
          </w:p>
        </w:tc>
        <w:tc>
          <w:tcPr>
            <w:tcW w:type="dxa" w:w="1368"/>
          </w:tcPr>
          <w:p>
            <w:r/>
            <w:r>
              <w:rPr>
                <w:sz w:val="19"/>
              </w:rPr>
              <w:t>No</w:t>
            </w:r>
          </w:p>
        </w:tc>
        <w:tc>
          <w:tcPr>
            <w:tcW w:type="dxa" w:w="1224"/>
          </w:tcPr>
          <w:p>
            <w:r/>
            <w:r>
              <w:rPr>
                <w:sz w:val="19"/>
              </w:rPr>
              <w:t>Yes</w:t>
            </w:r>
          </w:p>
        </w:tc>
      </w:tr>
    </w:tbl>
    <w:p>
      <w:pPr>
        <w:spacing w:after="40"/>
      </w:pPr>
    </w:p>
    <w:p>
      <w:pPr>
        <w:pStyle w:val="Heading2"/>
      </w:pPr>
      <w:r>
        <w:t>3.3  Competitive landscape &amp; the neutrality moat</w:t>
      </w:r>
    </w:p>
    <w:p>
      <w:r>
        <w:rPr>
          <w:b w:val="0"/>
          <w:i w:val="0"/>
        </w:rPr>
        <w:t>Adjacent players exist — CPF/Singpass calculators; investment platforms and income products (which conflate yield with a safe-withdrawal rate); banks that aggregate via SGFinDex; insurers with shallow annuity-need calculators; and neutral planning ventures (the closest positional peer being a free, trusted, CPF-anchored planner backed by a national institution). None combines neutrality with whole-wealth aggregation and a decumulation-first safe-spend engine. The defensibility thesis is that incumbents cannot copy the wedge: CPF cannot tell you to spend; banks and advisers cannot be neutral because they earn on the products they would otherwise recommend. Neutrality plus deep Singapore (CPF) calibration is the moat — and the same neutrality is why institutions want to license the tool rather than build their own (an insurer-built tool is not credible as neutral).</w:t>
      </w:r>
    </w:p>
    <w:tbl>
      <w:tblPr>
        <w:tblStyle w:val="TableGrid"/>
        <w:tblW w:type="auto" w:w="0"/>
        <w:tblLook w:firstColumn="1" w:firstRow="1" w:lastColumn="0" w:lastRow="0" w:noHBand="0" w:noVBand="1" w:val="04A0"/>
      </w:tblPr>
      <w:tblGrid>
        <w:gridCol w:w="8640"/>
      </w:tblGrid>
      <w:tr>
        <w:tc>
          <w:tcPr>
            <w:tcW w:type="dxa" w:w="8640"/>
            <w:shd w:val="clear" w:color="auto" w:fill="FBF3E6"/>
          </w:tcPr>
          <w:p>
            <w:r/>
            <w:r>
              <w:rPr>
                <w:b/>
                <w:color w:val="0A2540"/>
                <w:sz w:val="21"/>
              </w:rPr>
              <w:t>Honest limitation on the moat (analytical candour)</w:t>
            </w:r>
          </w:p>
          <w:p>
            <w:r>
              <w:rPr>
                <w:sz w:val="19"/>
              </w:rPr>
              <w:t>The Singapore-calibration depth is the moat, but it does not travel — Malaysia, Hong Kong and others have entirely different retirement systems, so growth means re-building the moat per market. The "data network effect" is also weak early: the engine is calibrated on public/actuarial data, not user data, so a data moat cannot be claimed until scale. Phase 1 is a defensible domestic niche, not a global rocket — and the proposal treats it as such.</w:t>
            </w:r>
          </w:p>
        </w:tc>
      </w:tr>
    </w:tbl>
    <w:p>
      <w:pPr>
        <w:spacing w:after="40"/>
      </w:pPr>
    </w:p>
    <w:p>
      <w:pPr>
        <w:pStyle w:val="Heading1"/>
      </w:pPr>
      <w:r>
        <w:t>4.  Product design — how the solution works and the user experience</w:t>
      </w:r>
    </w:p>
    <w:p>
      <w:pPr>
        <w:pStyle w:val="Heading2"/>
      </w:pPr>
      <w:r>
        <w:t>4.1  The core idea: floor + gap</w:t>
      </w:r>
    </w:p>
    <w:p>
      <w:r>
        <w:rPr>
          <w:b w:val="0"/>
          <w:i w:val="0"/>
        </w:rPr>
        <w:t>Enough splits desired spending into two layers and plans each differently. The floor (essentials: housing, food, utilities, healthcare, transport) is guaranteed for life by CPF LIFE plus a conservative safe-withdrawal slice. The lifestyle layer above it (discretionary — travel, dining, hobbies, gifts) is funded from the "gap" between the floor and the wealth available, and is allowed to flex: up in good markets, trimmed in bad, via pre-agreed guardrails. The floor protects the downside; the lifestyle layer enables the upside and cures the underspending paradox.</w:t>
      </w:r>
    </w:p>
    <w:p>
      <w:pPr>
        <w:pStyle w:val="Heading2"/>
      </w:pPr>
      <w:r>
        <w:t>4.2  The user journey</w:t>
      </w:r>
    </w:p>
    <w:p>
      <w:pPr>
        <w:pStyle w:val="ListBullet"/>
        <w:spacing w:after="60"/>
      </w:pPr>
      <w:r>
        <w:rPr>
          <w:b/>
        </w:rPr>
        <w:t xml:space="preserve">1)  </w:t>
      </w:r>
      <w:r>
        <w:t>Connect / enter. The user (or their adult child) connects accounts via Singpass/SGFinDex, or enters CPF LIFE, SRS, cash, investments, housing status and desired spending manually.</w:t>
      </w:r>
    </w:p>
    <w:p>
      <w:pPr>
        <w:pStyle w:val="ListBullet"/>
        <w:spacing w:after="60"/>
      </w:pPr>
      <w:r>
        <w:rPr>
          <w:b/>
        </w:rPr>
        <w:t xml:space="preserve">2)  </w:t>
      </w:r>
      <w:r>
        <w:t>Choose the desired lifestyle. The user states the life they want as a total monthly spend, split into essentials and discretionary. (A planned enhancement lets them pick a lifestyle tier that pre-fills a suggested budget per bucket, and later compares planned vs. actual spending.)</w:t>
      </w:r>
    </w:p>
    <w:p>
      <w:pPr>
        <w:pStyle w:val="ListBullet"/>
        <w:spacing w:after="60"/>
      </w:pPr>
      <w:r>
        <w:rPr>
          <w:b/>
        </w:rPr>
        <w:t xml:space="preserve">3)  </w:t>
      </w:r>
      <w:r>
        <w:t>See the safer monthly spend. Enough returns a range with a confidence level (e.g. "S$2,000–2,350/month at ~90% confidence"), the CPF floor, the extra safe withdrawal, the desired spend, and the honest gap to it.</w:t>
      </w:r>
    </w:p>
    <w:p>
      <w:pPr>
        <w:pStyle w:val="ListBullet"/>
        <w:spacing w:after="60"/>
      </w:pPr>
      <w:r>
        <w:rPr>
          <w:b/>
        </w:rPr>
        <w:t xml:space="preserve">4)  </w:t>
      </w:r>
      <w:r>
        <w:t>Explore the trade-off. A spend-vs-confidence curve shows the price of lifestyle: each extra S$100/month of spending costs a quantified amount of confidence. Sensitivity, sequence-of-returns and health-shock views make the uncertainty tangible.</w:t>
      </w:r>
    </w:p>
    <w:p>
      <w:pPr>
        <w:pStyle w:val="ListBullet"/>
        <w:spacing w:after="60"/>
      </w:pPr>
      <w:r>
        <w:rPr>
          <w:b/>
        </w:rPr>
        <w:t xml:space="preserve">5)  </w:t>
      </w:r>
      <w:r>
        <w:t>Act on the gap. Enough sizes the levers that close the gap — a guardrail raise, drawing SRS inside its tax window, modelling a higher CPF floor — and, for what drawdown cannot close, routes to government support schemes and a licensed adviser. Enough sizes the decision; a licensed partner handles any product.</w:t>
      </w:r>
    </w:p>
    <w:p>
      <w:pPr>
        <w:pStyle w:val="ListBullet"/>
        <w:spacing w:after="60"/>
      </w:pPr>
      <w:r>
        <w:rPr>
          <w:b/>
        </w:rPr>
        <w:t xml:space="preserve">6)  </w:t>
      </w:r>
      <w:r>
        <w:t>Live with the plan. Guardrails steer spending up or down as markets move; the family co-signs big moves; the plan learns the household's real spending over time, so the number gets more personal the longer they stay.</w:t>
      </w:r>
    </w:p>
    <w:p>
      <w:pPr>
        <w:pStyle w:val="Heading2"/>
      </w:pPr>
      <w:r>
        <w:t>4.3  The two faces &amp; the family layer</w:t>
      </w:r>
    </w:p>
    <w:p>
      <w:r>
        <w:rPr>
          <w:b w:val="0"/>
          <w:i w:val="0"/>
        </w:rPr>
        <w:t>Enough presents a calm parent view (one number, plain language, a printable one-page family report) and a deeper adult-child view (sensitivity, sequence risk, the longitudinal learning timeline). Roles are permissioned — owner (retiree), operator (adult child), viewer (spouse) — with a co-signer flow in which the parent always confirms.</w:t>
      </w:r>
    </w:p>
    <w:p>
      <w:pPr>
        <w:pStyle w:val="Heading2"/>
      </w:pPr>
      <w:r>
        <w:t>4.4  Glass-box by design</w:t>
      </w:r>
    </w:p>
    <w:p>
      <w:r>
        <w:rPr>
          <w:b w:val="0"/>
          <w:i w:val="0"/>
        </w:rPr>
        <w:t>Every output carries a plain-English attribution ("confidence rose because you delayed two years (+8%) and topped up CPF (+5%), but higher spending pulled it down (-4%)"). The deterministic math produces the numbers; a language layer only narrates them. This is both a trust feature and a regulatory posture — a transparent, assumptions-disclosed model is more defensible as decision-support than a black box.</w:t>
      </w:r>
    </w:p>
    <w:p>
      <w:pPr>
        <w:pStyle w:val="Heading1"/>
      </w:pPr>
      <w:r>
        <w:t>5.  Business model</w:t>
      </w:r>
    </w:p>
    <w:p>
      <w:r>
        <w:rPr>
          <w:b w:val="0"/>
          <w:i w:val="0"/>
        </w:rPr>
        <w:t>The starting hypothesis was a direct-to-consumer freemium subscription. Primary research overturned it: surveyed retirees and adult children showed low willingness to pay, gravitating to a one-off payment or the cheapest tier. That, plus the observed struggle of neutral consumer-planning ventures to monetise retirees directly, drives a B2B2C-led model where an aligned institution pays and distributes.</w:t>
      </w:r>
    </w:p>
    <w:p>
      <w:pPr>
        <w:pStyle w:val="Heading2"/>
      </w:pPr>
      <w:r>
        <w:t>5.1  Channel sequence: insurers &amp; fee-only IFAs first, banks later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0A2540"/>
          </w:tcPr>
          <w:p>
            <w:r/>
            <w:r>
              <w:rPr>
                <w:b/>
                <w:color w:val="FFFFFF"/>
                <w:sz w:val="19"/>
              </w:rPr>
              <w:t>Channel</w:t>
            </w:r>
          </w:p>
        </w:tc>
        <w:tc>
          <w:tcPr>
            <w:tcW w:type="dxa" w:w="1872"/>
            <w:shd w:val="clear" w:color="auto" w:fill="0A2540"/>
          </w:tcPr>
          <w:p>
            <w:r/>
            <w:r>
              <w:rPr>
                <w:b/>
                <w:color w:val="FFFFFF"/>
                <w:sz w:val="19"/>
              </w:rPr>
              <w:t>When</w:t>
            </w:r>
          </w:p>
        </w:tc>
        <w:tc>
          <w:tcPr>
            <w:tcW w:type="dxa" w:w="3888"/>
            <w:shd w:val="clear" w:color="auto" w:fill="0A2540"/>
          </w:tcPr>
          <w:p>
            <w:r/>
            <w:r>
              <w:rPr>
                <w:b/>
                <w:color w:val="FFFFFF"/>
                <w:sz w:val="19"/>
              </w:rPr>
              <w:t>Why they buy</w:t>
            </w:r>
          </w:p>
        </w:tc>
        <w:tc>
          <w:tcPr>
            <w:tcW w:type="dxa" w:w="2304"/>
            <w:shd w:val="clear" w:color="auto" w:fill="0A2540"/>
          </w:tcPr>
          <w:p>
            <w:r/>
            <w:r>
              <w:rPr>
                <w:b/>
                <w:color w:val="FFFFFF"/>
                <w:sz w:val="19"/>
              </w:rPr>
              <w:t>Alignment</w:t>
            </w:r>
          </w:p>
        </w:tc>
      </w:tr>
      <w:tr>
        <w:tc>
          <w:tcPr>
            <w:tcW w:type="dxa" w:w="1728"/>
          </w:tcPr>
          <w:p>
            <w:r/>
            <w:r>
              <w:rPr>
                <w:sz w:val="19"/>
              </w:rPr>
              <w:t>Insurers</w:t>
            </w:r>
          </w:p>
        </w:tc>
        <w:tc>
          <w:tcPr>
            <w:tcW w:type="dxa" w:w="1872"/>
          </w:tcPr>
          <w:p>
            <w:r/>
            <w:r>
              <w:rPr>
                <w:sz w:val="19"/>
              </w:rPr>
              <w:t>Beachhead (at scale)</w:t>
            </w:r>
          </w:p>
        </w:tc>
        <w:tc>
          <w:tcPr>
            <w:tcW w:type="dxa" w:w="3888"/>
          </w:tcPr>
          <w:p>
            <w:r/>
            <w:r>
              <w:rPr>
                <w:sz w:val="19"/>
              </w:rPr>
              <w:t>Warm needs-based leads, persistency/lower lapse, retention at the disengagement moment, a documented suitability trail, a neutral trust halo</w:t>
            </w:r>
          </w:p>
        </w:tc>
        <w:tc>
          <w:tcPr>
            <w:tcW w:type="dxa" w:w="2304"/>
          </w:tcPr>
          <w:p>
            <w:r/>
            <w:r>
              <w:rPr>
                <w:sz w:val="19"/>
              </w:rPr>
              <w:t>High — they sell the protection/annuity/LTC products Enough neutrally sizes</w:t>
            </w:r>
          </w:p>
        </w:tc>
      </w:tr>
      <w:tr>
        <w:tc>
          <w:tcPr>
            <w:tcW w:type="dxa" w:w="1728"/>
            <w:shd w:val="clear" w:color="auto" w:fill="EAF1F0"/>
          </w:tcPr>
          <w:p>
            <w:r/>
            <w:r>
              <w:rPr>
                <w:sz w:val="19"/>
              </w:rPr>
              <w:t>Fee-only IFAs</w:t>
            </w:r>
          </w:p>
        </w:tc>
        <w:tc>
          <w:tcPr>
            <w:tcW w:type="dxa" w:w="1872"/>
            <w:shd w:val="clear" w:color="auto" w:fill="EAF1F0"/>
          </w:tcPr>
          <w:p>
            <w:r/>
            <w:r>
              <w:rPr>
                <w:sz w:val="19"/>
              </w:rPr>
              <w:t>In parallel</w:t>
            </w:r>
          </w:p>
        </w:tc>
        <w:tc>
          <w:tcPr>
            <w:tcW w:type="dxa" w:w="3888"/>
            <w:shd w:val="clear" w:color="auto" w:fill="EAF1F0"/>
          </w:tcPr>
          <w:p>
            <w:r/>
            <w:r>
              <w:rPr>
                <w:sz w:val="19"/>
              </w:rPr>
              <w:t>A neutral tool fits a fee-only model perfectly; zero cross-insurer conflict</w:t>
            </w:r>
          </w:p>
        </w:tc>
        <w:tc>
          <w:tcPr>
            <w:tcW w:type="dxa" w:w="2304"/>
            <w:shd w:val="clear" w:color="auto" w:fill="EAF1F0"/>
          </w:tcPr>
          <w:p>
            <w:r/>
            <w:r>
              <w:rPr>
                <w:sz w:val="19"/>
              </w:rPr>
              <w:t>Highest — earn no product commission</w:t>
            </w:r>
          </w:p>
        </w:tc>
      </w:tr>
      <w:tr>
        <w:tc>
          <w:tcPr>
            <w:tcW w:type="dxa" w:w="1728"/>
          </w:tcPr>
          <w:p>
            <w:r/>
            <w:r>
              <w:rPr>
                <w:sz w:val="19"/>
              </w:rPr>
              <w:t>Retail banks</w:t>
            </w:r>
          </w:p>
        </w:tc>
        <w:tc>
          <w:tcPr>
            <w:tcW w:type="dxa" w:w="1872"/>
          </w:tcPr>
          <w:p>
            <w:r/>
            <w:r>
              <w:rPr>
                <w:sz w:val="19"/>
              </w:rPr>
              <w:t>Endgame (post-traction)</w:t>
            </w:r>
          </w:p>
        </w:tc>
        <w:tc>
          <w:tcPr>
            <w:tcW w:type="dxa" w:w="3888"/>
          </w:tcPr>
          <w:p>
            <w:r/>
            <w:r>
              <w:rPr>
                <w:sz w:val="19"/>
              </w:rPr>
              <w:t>Mass-affluent retention and bancassurance cross-sell at decumulation</w:t>
            </w:r>
          </w:p>
        </w:tc>
        <w:tc>
          <w:tcPr>
            <w:tcW w:type="dxa" w:w="2304"/>
          </w:tcPr>
          <w:p>
            <w:r/>
            <w:r>
              <w:rPr>
                <w:sz w:val="19"/>
              </w:rPr>
              <w:t>Partial — a drawdown tool is in tension with asset-gathering</w:t>
            </w:r>
          </w:p>
        </w:tc>
      </w:tr>
      <w:tr>
        <w:tc>
          <w:tcPr>
            <w:tcW w:type="dxa" w:w="1728"/>
            <w:shd w:val="clear" w:color="auto" w:fill="EAF1F0"/>
          </w:tcPr>
          <w:p>
            <w:r/>
            <w:r>
              <w:rPr>
                <w:sz w:val="19"/>
              </w:rPr>
              <w:t>Employer wellness</w:t>
            </w:r>
          </w:p>
        </w:tc>
        <w:tc>
          <w:tcPr>
            <w:tcW w:type="dxa" w:w="1872"/>
            <w:shd w:val="clear" w:color="auto" w:fill="EAF1F0"/>
          </w:tcPr>
          <w:p>
            <w:r/>
            <w:r>
              <w:rPr>
                <w:sz w:val="19"/>
              </w:rPr>
              <w:t>Not pursued (for now)</w:t>
            </w:r>
          </w:p>
        </w:tc>
        <w:tc>
          <w:tcPr>
            <w:tcW w:type="dxa" w:w="3888"/>
            <w:shd w:val="clear" w:color="auto" w:fill="EAF1F0"/>
          </w:tcPr>
          <w:p>
            <w:r/>
            <w:r>
              <w:rPr>
                <w:sz w:val="19"/>
              </w:rPr>
              <w:t>—</w:t>
            </w:r>
          </w:p>
        </w:tc>
        <w:tc>
          <w:tcPr>
            <w:tcW w:type="dxa" w:w="2304"/>
            <w:shd w:val="clear" w:color="auto" w:fill="EAF1F0"/>
          </w:tcPr>
          <w:p>
            <w:r/>
            <w:r>
              <w:rPr>
                <w:sz w:val="19"/>
              </w:rPr>
              <w:t>Deprioritised by decision</w:t>
            </w:r>
          </w:p>
        </w:tc>
      </w:tr>
    </w:tbl>
    <w:p>
      <w:pPr>
        <w:spacing w:after="40"/>
      </w:pPr>
    </w:p>
    <w:p>
      <w:pPr>
        <w:spacing w:after="160"/>
      </w:pPr>
      <w:r>
        <w:rPr>
          <w:b w:val="0"/>
          <w:i w:val="0"/>
        </w:rPr>
        <w:t>Insurers are the right first buyer for a stronger reason than procurement speed (though their district/agency budgets do move faster than a bank's enterprise procurement): incentive alignment. An insurer's economics point the same way as a tool that sizes a longevity, health-shock or long-term-care gap — that gap is a qualified lead for exactly what they sell. Fee-only IFAs run in parallel as an even cleaner, conflict-free wedge. Banks are the higher-value but harder, worse-aligned endgame, approached only once retiree traction is proven.</w:t>
      </w:r>
    </w:p>
    <w:p>
      <w:pPr>
        <w:pStyle w:val="Heading2"/>
      </w:pPr>
      <w:r>
        <w:t>5.2  The non-negotiable: neutrality stays with Enough</w:t>
      </w:r>
    </w:p>
    <w:p>
      <w:r>
        <w:rPr>
          <w:b w:val="0"/>
          <w:i w:val="0"/>
        </w:rPr>
        <w:t>The entire product's defensibility is neutrality, so the B2B2C contract must protect it: Enough sizes the decision, the partner fulfils any product; Enough never recommends a named product and takes no commission or revenue-share; there is no partner-branded product push inside the neutral view; and Enough remains the data controller in every deal. If that line is not held contractually, the model quietly degrades into an insurer's lead-generation funnel and the moat is lost. Single-partner concentration risk must also be actively managed.</w:t>
      </w:r>
    </w:p>
    <w:p>
      <w:pPr>
        <w:pStyle w:val="Heading1"/>
      </w:pPr>
      <w:r>
        <w:t>6.  How the product generates revenue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0A2540"/>
          </w:tcPr>
          <w:p>
            <w:r/>
            <w:r>
              <w:rPr>
                <w:b/>
                <w:color w:val="FFFFFF"/>
                <w:sz w:val="19"/>
              </w:rPr>
              <w:t>Stream</w:t>
            </w:r>
          </w:p>
        </w:tc>
        <w:tc>
          <w:tcPr>
            <w:tcW w:type="dxa" w:w="1872"/>
            <w:shd w:val="clear" w:color="auto" w:fill="0A2540"/>
          </w:tcPr>
          <w:p>
            <w:r/>
            <w:r>
              <w:rPr>
                <w:b/>
                <w:color w:val="FFFFFF"/>
                <w:sz w:val="19"/>
              </w:rPr>
              <w:t>Payer</w:t>
            </w:r>
          </w:p>
        </w:tc>
        <w:tc>
          <w:tcPr>
            <w:tcW w:type="dxa" w:w="3168"/>
            <w:shd w:val="clear" w:color="auto" w:fill="0A2540"/>
          </w:tcPr>
          <w:p>
            <w:r/>
            <w:r>
              <w:rPr>
                <w:b/>
                <w:color w:val="FFFFFF"/>
                <w:sz w:val="19"/>
              </w:rPr>
              <w:t>Basis</w:t>
            </w:r>
          </w:p>
        </w:tc>
        <w:tc>
          <w:tcPr>
            <w:tcW w:type="dxa" w:w="2736"/>
            <w:shd w:val="clear" w:color="auto" w:fill="0A2540"/>
          </w:tcPr>
          <w:p>
            <w:r/>
            <w:r>
              <w:rPr>
                <w:b/>
                <w:color w:val="FFFFFF"/>
                <w:sz w:val="19"/>
              </w:rPr>
              <w:t>Indicative pricing (illustrative)</w:t>
            </w:r>
          </w:p>
        </w:tc>
      </w:tr>
      <w:tr>
        <w:tc>
          <w:tcPr>
            <w:tcW w:type="dxa" w:w="2304"/>
          </w:tcPr>
          <w:p>
            <w:r/>
            <w:r>
              <w:rPr>
                <w:sz w:val="19"/>
              </w:rPr>
              <w:t>B2B2C licence (primary)</w:t>
            </w:r>
          </w:p>
        </w:tc>
        <w:tc>
          <w:tcPr>
            <w:tcW w:type="dxa" w:w="1872"/>
          </w:tcPr>
          <w:p>
            <w:r/>
            <w:r>
              <w:rPr>
                <w:sz w:val="19"/>
              </w:rPr>
              <w:t>Insurer / IFA</w:t>
            </w:r>
          </w:p>
        </w:tc>
        <w:tc>
          <w:tcPr>
            <w:tcW w:type="dxa" w:w="3168"/>
          </w:tcPr>
          <w:p>
            <w:r/>
            <w:r>
              <w:rPr>
                <w:sz w:val="19"/>
              </w:rPr>
              <w:t>Flat SaaS fee per active plan or per adviser seat — never commission</w:t>
            </w:r>
          </w:p>
        </w:tc>
        <w:tc>
          <w:tcPr>
            <w:tcW w:type="dxa" w:w="2736"/>
          </w:tcPr>
          <w:p>
            <w:r/>
            <w:r>
              <w:rPr>
                <w:sz w:val="19"/>
              </w:rPr>
              <w:t>Per-seat / per-active-plan subscription; priced to the partner's retention &amp; lead value</w:t>
            </w:r>
          </w:p>
        </w:tc>
      </w:tr>
      <w:tr>
        <w:tc>
          <w:tcPr>
            <w:tcW w:type="dxa" w:w="2304"/>
            <w:shd w:val="clear" w:color="auto" w:fill="EAF1F0"/>
          </w:tcPr>
          <w:p>
            <w:r/>
            <w:r>
              <w:rPr>
                <w:sz w:val="19"/>
              </w:rPr>
              <w:t>Family tier (secondary)</w:t>
            </w:r>
          </w:p>
        </w:tc>
        <w:tc>
          <w:tcPr>
            <w:tcW w:type="dxa" w:w="1872"/>
            <w:shd w:val="clear" w:color="auto" w:fill="EAF1F0"/>
          </w:tcPr>
          <w:p>
            <w:r/>
            <w:r>
              <w:rPr>
                <w:sz w:val="19"/>
              </w:rPr>
              <w:t>Adult child</w:t>
            </w:r>
          </w:p>
        </w:tc>
        <w:tc>
          <w:tcPr>
            <w:tcW w:type="dxa" w:w="3168"/>
            <w:shd w:val="clear" w:color="auto" w:fill="EAF1F0"/>
          </w:tcPr>
          <w:p>
            <w:r/>
            <w:r>
              <w:rPr>
                <w:sz w:val="19"/>
              </w:rPr>
              <w:t>Low monthly / one-off for the shared family plan &amp; report</w:t>
            </w:r>
          </w:p>
        </w:tc>
        <w:tc>
          <w:tcPr>
            <w:tcW w:type="dxa" w:w="2736"/>
            <w:shd w:val="clear" w:color="auto" w:fill="EAF1F0"/>
          </w:tcPr>
          <w:p>
            <w:r/>
            <w:r>
              <w:rPr>
                <w:sz w:val="19"/>
              </w:rPr>
              <w:t>Low D2C price point (WTP-constrained)</w:t>
            </w:r>
          </w:p>
        </w:tc>
      </w:tr>
      <w:tr>
        <w:tc>
          <w:tcPr>
            <w:tcW w:type="dxa" w:w="2304"/>
          </w:tcPr>
          <w:p>
            <w:r/>
            <w:r>
              <w:rPr>
                <w:sz w:val="19"/>
              </w:rPr>
              <w:t>Free tier (acquisition)</w:t>
            </w:r>
          </w:p>
        </w:tc>
        <w:tc>
          <w:tcPr>
            <w:tcW w:type="dxa" w:w="1872"/>
          </w:tcPr>
          <w:p>
            <w:r/>
            <w:r>
              <w:rPr>
                <w:sz w:val="19"/>
              </w:rPr>
              <w:t>—</w:t>
            </w:r>
          </w:p>
        </w:tc>
        <w:tc>
          <w:tcPr>
            <w:tcW w:type="dxa" w:w="3168"/>
          </w:tcPr>
          <w:p>
            <w:r/>
            <w:r>
              <w:rPr>
                <w:sz w:val="19"/>
              </w:rPr>
              <w:t>Headline safe-spend estimate; drives trust &amp; funnel</w:t>
            </w:r>
          </w:p>
        </w:tc>
        <w:tc>
          <w:tcPr>
            <w:tcW w:type="dxa" w:w="2736"/>
          </w:tcPr>
          <w:p>
            <w:r/>
            <w:r>
              <w:rPr>
                <w:sz w:val="19"/>
              </w:rPr>
              <w:t>S$0</w:t>
            </w:r>
          </w:p>
        </w:tc>
      </w:tr>
      <w:tr>
        <w:tc>
          <w:tcPr>
            <w:tcW w:type="dxa" w:w="2304"/>
            <w:shd w:val="clear" w:color="auto" w:fill="EAF1F0"/>
          </w:tcPr>
          <w:p>
            <w:r/>
            <w:r>
              <w:rPr>
                <w:sz w:val="19"/>
              </w:rPr>
              <w:t>Later: platform / API</w:t>
            </w:r>
          </w:p>
        </w:tc>
        <w:tc>
          <w:tcPr>
            <w:tcW w:type="dxa" w:w="1872"/>
            <w:shd w:val="clear" w:color="auto" w:fill="EAF1F0"/>
          </w:tcPr>
          <w:p>
            <w:r/>
            <w:r>
              <w:rPr>
                <w:sz w:val="19"/>
              </w:rPr>
              <w:t>Institution</w:t>
            </w:r>
          </w:p>
        </w:tc>
        <w:tc>
          <w:tcPr>
            <w:tcW w:type="dxa" w:w="3168"/>
            <w:shd w:val="clear" w:color="auto" w:fill="EAF1F0"/>
          </w:tcPr>
          <w:p>
            <w:r/>
            <w:r>
              <w:rPr>
                <w:sz w:val="19"/>
              </w:rPr>
              <w:t>White-label engine, analytics, reporting</w:t>
            </w:r>
          </w:p>
        </w:tc>
        <w:tc>
          <w:tcPr>
            <w:tcW w:type="dxa" w:w="2736"/>
            <w:shd w:val="clear" w:color="auto" w:fill="EAF1F0"/>
          </w:tcPr>
          <w:p>
            <w:r/>
            <w:r>
              <w:rPr>
                <w:sz w:val="19"/>
              </w:rPr>
              <w:t>Enterprise, post-scale</w:t>
            </w:r>
          </w:p>
        </w:tc>
      </w:tr>
    </w:tbl>
    <w:p>
      <w:pPr>
        <w:spacing w:after="40"/>
      </w:pPr>
    </w:p>
    <w:p>
      <w:r>
        <w:rPr>
          <w:b w:val="0"/>
          <w:i w:val="0"/>
        </w:rPr>
        <w:t>Revenue is deliberately decoupled from product sales. Enough is paid for the neutral engine and the engagement it drives, not for steering a retiree into any financial product — the same decoupling that preserves the trust moat and keeps the Phase-1 offering on the defensible side of the regulatory line (Section 9). Exact price points are unresolved and are a validation item; the flat-fee, no-commission principle is fixed.</w:t>
      </w:r>
    </w:p>
    <w:p>
      <w:pPr>
        <w:pStyle w:val="Heading1"/>
      </w:pPr>
      <w:r>
        <w:t>7.  Key drivers of the economics</w:t>
      </w:r>
    </w:p>
    <w:p>
      <w:pPr>
        <w:pStyle w:val="ListBullet"/>
        <w:spacing w:after="60"/>
      </w:pPr>
      <w:r>
        <w:rPr>
          <w:b/>
        </w:rPr>
        <w:t xml:space="preserve">Operating leverage. </w:t>
      </w:r>
      <w:r>
        <w:t>High operating leverage. One Singapore-calibrated engine serves every user; marginal cost per additional plan is near zero, so gross margin scales with distribution.</w:t>
      </w:r>
    </w:p>
    <w:p>
      <w:pPr>
        <w:pStyle w:val="ListBullet"/>
        <w:spacing w:after="60"/>
      </w:pPr>
      <w:r>
        <w:rPr>
          <w:b/>
        </w:rPr>
        <w:t xml:space="preserve">Distribution efficiency. </w:t>
      </w:r>
      <w:r>
        <w:t>Reach-per-deal. Each B2B2C partner delivers a whole book of retirees from a single sale — the antidote to expensive one-by-one consumer acquisition against low willingness to pay.</w:t>
      </w:r>
    </w:p>
    <w:p>
      <w:pPr>
        <w:pStyle w:val="ListBullet"/>
        <w:spacing w:after="60"/>
      </w:pPr>
      <w:r>
        <w:rPr>
          <w:b/>
        </w:rPr>
        <w:t xml:space="preserve">Retention. </w:t>
      </w:r>
      <w:r>
        <w:t>Strong net revenue retention. A decumulation plan is checked monthly for decades; switching cost rises as the plan learns the household's real spending, so retention compounds (a switching cost, not a network effect).</w:t>
      </w:r>
    </w:p>
    <w:p>
      <w:pPr>
        <w:pStyle w:val="ListBullet"/>
        <w:spacing w:after="60"/>
      </w:pPr>
      <w:r>
        <w:rPr>
          <w:b/>
        </w:rPr>
        <w:t xml:space="preserve">Unit-economics logic. </w:t>
      </w:r>
      <w:r>
        <w:t>Partner-side value = the CAC offset. Enough must pay for itself in the partner's own P&amp;L — via persistency (lower lapse), retention of decumulation-stage customers, and qualified needs-based leads — which is what makes the flat fee an easy purchase.</w:t>
      </w:r>
    </w:p>
    <w:p>
      <w:pPr>
        <w:pStyle w:val="ListBullet"/>
        <w:spacing w:after="60"/>
      </w:pPr>
      <w:r>
        <w:rPr>
          <w:b/>
        </w:rPr>
        <w:t xml:space="preserve">Key risk to economics. </w:t>
      </w:r>
      <w:r>
        <w:t>Concentration risk. A few large partners could dominate revenue; over-reliance on one is the principal economic fragility to manage.</w:t>
      </w:r>
    </w:p>
    <w:p>
      <w:pPr>
        <w:pStyle w:val="ListBullet"/>
        <w:spacing w:after="60"/>
      </w:pPr>
      <w:r>
        <w:rPr>
          <w:b/>
        </w:rPr>
        <w:t xml:space="preserve">Honest caveat. </w:t>
      </w:r>
      <w:r>
        <w:t>Weak early data moat. The compounding data advantage is real but only at scale — it must not be over-claimed in the early economics.</w:t>
      </w:r>
    </w:p>
    <w:p>
      <w:pPr>
        <w:pStyle w:val="Heading1"/>
      </w:pPr>
      <w:r>
        <w:t>8.  Financial &amp; analytical component</w:t>
      </w:r>
    </w:p>
    <w:p>
      <w:r>
        <w:rPr>
          <w:b w:val="0"/>
          <w:i w:val="0"/>
        </w:rPr>
        <w:t>The credibility of Enough is the analytics. The working prototype implements a deterministic, glass-box engine (TypeScript) that a reviewer can audit end-to-end. The components below describe what is actually built, with honest notes on the simplifications an educational model makes.</w:t>
      </w:r>
    </w:p>
    <w:p>
      <w:pPr>
        <w:pStyle w:val="Heading2"/>
      </w:pPr>
      <w:r>
        <w:t>8.1  Portfolio construction logic</w:t>
      </w:r>
    </w:p>
    <w:p>
      <w:r>
        <w:rPr>
          <w:b w:val="0"/>
          <w:i w:val="0"/>
        </w:rPr>
        <w:t>Enough is a decumulation planner, not a portfolio optimiser, so allocation is an input, not an output. The user (or a preset) supplies a cash / bond / equity split; the engine computes the allocation-weighted expected return and volatility, assuming zero cross-class correlation — a standard educational simplification that slightly understates true portfolio volatility and therefore errs toward conservative (safer) spend estimates. Three assumption presets — Conservative, Base, Optimistic — vary returns, volatility and inflation so the user sees the safe-spend spread rather than a single false-precise number. On top of allocation sits the decumulation structure that actually matters: a cash buffer of ~2 years of the spending gap drawn first in bad-market years (sequence-risk defence), then tax-aware withdrawal sequencing (cash → SRS within its 10-year window → investments, bonds before equity → CPF balances preserved last as the longevity backstop).</w:t>
      </w:r>
    </w:p>
    <w:p>
      <w:pPr>
        <w:pStyle w:val="Heading2"/>
      </w:pPr>
      <w:r>
        <w:t>8.2  Risk model</w:t>
      </w:r>
    </w:p>
    <w:p>
      <w:r>
        <w:rPr>
          <w:b w:val="0"/>
          <w:i w:val="0"/>
        </w:rPr>
        <w:t>Enough models the four risks that define decumulation, and is explicit that the answer is model-conditional:</w:t>
      </w:r>
    </w:p>
    <w:p>
      <w:pPr>
        <w:pStyle w:val="ListBullet"/>
        <w:spacing w:after="60"/>
      </w:pPr>
      <w:r>
        <w:t>Longevity risk — the planning horizon is set to a target age (default 95), extended for joint (spouse) planning and a female-longevity adjustment, so the portfolio must survive the longer-lived life.</w:t>
      </w:r>
    </w:p>
    <w:p>
      <w:pPr>
        <w:pStyle w:val="ListBullet"/>
        <w:spacing w:after="60"/>
      </w:pPr>
      <w:r>
        <w:t>Market / sequence-of-returns risk — the core Monte Carlo (below), plus a dedicated three-path sequence test holding the same long-run average return constant and varying only when a shock lands, to show early shocks do far more damage than late ones.</w:t>
      </w:r>
    </w:p>
    <w:p>
      <w:pPr>
        <w:pStyle w:val="ListBullet"/>
        <w:spacing w:after="60"/>
      </w:pPr>
      <w:r>
        <w:t>Inflation &amp; healthcare-inflation risk — spending is inflated over time (a higher rate for healthcare); critically, CPF LIFE Standard is modelled as level in nominal terms, so the engine treats it as a longevity floor, not an inflation hedge — a deliberate, disclosed conservatism.</w:t>
      </w:r>
    </w:p>
    <w:p>
      <w:pPr>
        <w:pStyle w:val="ListBullet"/>
        <w:spacing w:after="60"/>
      </w:pPr>
      <w:r>
        <w:t>Model risk — a probability is conditional on the assumptions being right; Enough never shows a bare number, always a band with a plain-English caveat, and exposes which assumptions move it.</w:t>
      </w:r>
    </w:p>
    <w:p>
      <w:pPr>
        <w:pStyle w:val="Heading2"/>
      </w:pPr>
      <w:r>
        <w:t>8.3  The Monte Carlo engine &amp; the pricing framework</w:t>
      </w:r>
    </w:p>
    <w:p>
      <w:r>
        <w:rPr>
          <w:b w:val="0"/>
          <w:i w:val="0"/>
        </w:rPr>
        <w:t>The engine simulates the investable assets above the CPF floor — the part exposed to markets. For each of thousands of trials (2,000 in the demo, ~10,000 target) over the horizon in months, it draws monthly returns from a normal distribution parameterised by the portfolio's monthly mean and volatility (extreme single-month losses clamped at -30%). Each month it grows spending by inflation, adds the CPF payout and any monetisation income, withdraws the shortfall, and applies the market return. A trial succeeds if the balance never falls below zero before the horizon and the ending balance meets the bequest target. The success probability is the share of trials that survive.</w:t>
      </w:r>
    </w:p>
    <w:p>
      <w:r>
        <w:rPr>
          <w:b/>
          <w:i w:val="0"/>
          <w:color w:val="0A2540"/>
        </w:rPr>
        <w:t xml:space="preserve">The pricing framework is the spend-confidence curve. </w:t>
      </w:r>
      <w:r>
        <w:rPr>
          <w:b w:val="0"/>
          <w:i w:val="0"/>
        </w:rPr>
        <w:t>Enough sweeps ~30 candidate spend levels from the income floor to above desired spend, running the full simulation at each, to trace probability-of-success against monthly spend. This curve is the core financial object: it prices lifestyle in the currency of confidence. The safer monthly spend is read off at the user's target confidence (default 90%), and reported as a range — the ±3-percentage-point confidence band around it — never a single point. The gap between desired and safer spend is the honest, quantified cost of the lifestyle the user wants.</w:t>
      </w:r>
    </w:p>
    <w:tbl>
      <w:tblPr>
        <w:tblStyle w:val="TableGrid"/>
        <w:tblW w:type="auto" w:w="0"/>
        <w:tblLook w:firstColumn="1" w:firstRow="1" w:lastColumn="0" w:lastRow="0" w:noHBand="0" w:noVBand="1" w:val="04A0"/>
      </w:tblPr>
      <w:tblGrid>
        <w:gridCol w:w="8640"/>
      </w:tblGrid>
      <w:tr>
        <w:tc>
          <w:tcPr>
            <w:tcW w:type="dxa" w:w="8640"/>
            <w:shd w:val="clear" w:color="auto" w:fill="EAF1F0"/>
          </w:tcPr>
          <w:p>
            <w:r/>
            <w:r>
              <w:rPr>
                <w:b/>
                <w:color w:val="0A2540"/>
                <w:sz w:val="21"/>
              </w:rPr>
              <w:t>Worked example — Mr Tan, 65 (illustrative, deterministic seed)</w:t>
            </w:r>
          </w:p>
          <w:p>
            <w:r>
              <w:rPr>
                <w:sz w:val="19"/>
              </w:rPr>
              <w:t>Inputs: CPF LIFE S$1,550/mo (Standard, level nominal) · assets ~S$190,000 (cash/SRS/investments) · paid-off flat · desired spend S$3,100/mo · horizon age 95.</w:t>
            </w:r>
          </w:p>
          <w:p>
            <w:r>
              <w:rPr>
                <w:sz w:val="19"/>
              </w:rPr>
              <w:t>Output (base case): safer spend ~S$2,000–2,350/mo, central ~S$2,150 at ~90% confidence — an initial withdrawal of ~3.8% on investable assets.</w:t>
            </w:r>
          </w:p>
          <w:p>
            <w:r>
              <w:rPr>
                <w:sz w:val="19"/>
              </w:rPr>
              <w:t>The gap: desired S$3,100 implies ~45% confidence — so there is a ~S$950/month gap between the life he wants and the life that is safe.</w:t>
            </w:r>
          </w:p>
          <w:p>
            <w:r>
              <w:rPr>
                <w:sz w:val="19"/>
              </w:rPr>
              <w:t>The plan then sizes the levers (guardrail raise, SRS drawdown in the tax window, a higher CPF floor, government schemes, adviser referral) that close as much of that S$950 as possible — the honest number, with a path.</w:t>
            </w:r>
          </w:p>
        </w:tc>
      </w:tr>
    </w:tbl>
    <w:p>
      <w:pPr>
        <w:spacing w:after="40"/>
      </w:pPr>
    </w:p>
    <w:p>
      <w:pPr>
        <w:pStyle w:val="Heading2"/>
      </w:pPr>
      <w:r>
        <w:t>8.4  Guardrails (dynamic spending rule)</w:t>
      </w:r>
    </w:p>
    <w:p>
      <w:r>
        <w:rPr>
          <w:b w:val="0"/>
          <w:i w:val="0"/>
        </w:rPr>
        <w:t>Rather than a static withdrawal rate, Enough models Guyton-Klinger-style guardrails: when the portfolio is stressed (in the engine, below 60% of its starting value), discretionary spending is trimmed by a set flexibility fraction; sustained strength earns a raise. This converts a one-time answer into a living, steerable plan and materially improves sustainability (it is one of the largest positive levers in the sensitivity view).</w:t>
      </w:r>
    </w:p>
    <w:p>
      <w:pPr>
        <w:pStyle w:val="Heading2"/>
      </w:pPr>
      <w:r>
        <w:t>8.5  Sensitivity (tornado) analysis</w:t>
      </w:r>
    </w:p>
    <w:p>
      <w:r>
        <w:rPr>
          <w:b w:val="0"/>
          <w:i w:val="0"/>
        </w:rPr>
        <w:t>For each assumption (horizon +5 years, bequest +S$50k, healthcare inflation +2%, investment return ±1%, spending flexibility, a higher CPF floor), the engine clones the inputs, applies one change, re-runs the full analysis, and reads how the central safe-spend moves. Sorted by absolute impact this is a tornado chart — it tells the user which assumptions the answer is most exposed to, so uncertainty is shown, not hidden.</w:t>
      </w:r>
    </w:p>
    <w:p>
      <w:pPr>
        <w:pStyle w:val="Heading2"/>
      </w:pPr>
      <w:r>
        <w:t>8.6  Backtest &amp; stress testing</w:t>
      </w:r>
    </w:p>
    <w:p>
      <w:r>
        <w:rPr>
          <w:b w:val="0"/>
          <w:i w:val="0"/>
        </w:rPr>
        <w:t>Beyond synthetic Monte Carlo paths, the engine backtests a 60/40 plan against real historical return sequences (including the 1973, 2000 and 2008 crises) to demonstrate the plan would have survived the worst real periods, and stress-tests deliberately brutal scenarios (slump plus high inflation; a major health shock). This is what turns a probability into trust.</w:t>
      </w:r>
    </w:p>
    <w:p>
      <w:pPr>
        <w:pStyle w:val="Heading2"/>
      </w:pPr>
      <w:r>
        <w:t>8.7  "Credit assessment" — the honest analogue</w:t>
      </w:r>
    </w:p>
    <w:p>
      <w:r>
        <w:rPr>
          <w:b w:val="0"/>
          <w:i w:val="0"/>
        </w:rPr>
        <w:t>Enough extends no credit and sells no loan, so classical credit scoring (PD/LGD, bureau data) does not apply — claiming it would be analytical theatre. The genuine analogue is an affordability / sustainability assessment: a funded-ratio view (assets vs. the present value of the future spending liability, with CPF LIFE valued as an annuity) that turns "do I have enough?" into "you are N% funded," plus a suitability / know-your-client fact-find that lives with Enough as the neutral custodian. That fact-find is what lets the downstream adviser give sound advice (see the conflict-of-interest safeguard in Section 9.4) — the decumulation counterpart of a credit decision is the sustainability verdict on a spending plan.</w:t>
      </w:r>
    </w:p>
    <w:p>
      <w:pPr>
        <w:pStyle w:val="Heading1"/>
      </w:pPr>
      <w:r>
        <w:t>9.  Key risks, constraints &amp; regulatory considerations</w:t>
      </w:r>
    </w:p>
    <w:p>
      <w:pPr>
        <w:pStyle w:val="Heading2"/>
      </w:pPr>
      <w:r>
        <w:t>9.1  Regulatory — the binding constraint</w:t>
      </w:r>
    </w:p>
    <w:p>
      <w:r>
        <w:rPr>
          <w:b w:val="0"/>
          <w:i w:val="0"/>
        </w:rPr>
        <w:t>Under Singapore's Financial Advisers Act (FAA), administered by MAS, giving a personalised recommendation on a specific investment product, life-insurance policy or CPF top-up requires a Financial Adviser's licence. The instant Enough says "you should top up CPF to ERS" or "buy this insurer's plan," it is arguably providing licensed advice. The strategy is therefore explicitly phased:</w:t>
      </w:r>
    </w:p>
    <w:p>
      <w:pPr>
        <w:pStyle w:val="ListBullet"/>
        <w:spacing w:after="60"/>
      </w:pPr>
      <w:r>
        <w:t>Phase 1 — decision-support &amp; education, not advice. Outputs are framed as scenario projections and education ("households with this profile have historically been able to spend ~$X at 90% model confidence"), with no product recommendation and no "you should." CPF and insurance features are illustrative trade-off calculators. This is why the app deliberately frames choices as "options to discuss," not directed actions — a linguistic firewall, not an oversight.</w:t>
      </w:r>
    </w:p>
    <w:p>
      <w:pPr>
        <w:pStyle w:val="ListBullet"/>
        <w:spacing w:after="60"/>
      </w:pPr>
      <w:r>
        <w:t>Phase 2 — get licensed before personalising. Apply for an FA licence (or operate under a licensed partner) and design to MAS's Guidelines on Provision of Digital Advisory Services — algorithm governance, senior-management oversight of the model, client suitability, and disclosure of assumptions — before turning on individualised recommendations.</w:t>
      </w:r>
    </w:p>
    <w:p>
      <w:pPr>
        <w:pStyle w:val="ListBullet"/>
        <w:spacing w:after="60"/>
      </w:pPr>
      <w:r>
        <w:t>The cleanest line: never recommend a specific named product; advise on the decision shape ("a larger guaranteed floor raises confidence") and let a licensed partner handle product selection — which also protects the neutrality moat.</w:t>
      </w:r>
    </w:p>
    <w:p>
      <w:r>
        <w:rPr>
          <w:b w:val="0"/>
          <w:i/>
          <w:color w:val="5B6B7F"/>
        </w:rPr>
        <w:t>Note: getting licensed is a real undertaking with a strategic cost — once Enough recommends products it risks the very neutrality that differentiates it — so licensing is a deliberate, funded Phase-2 decision, and specific regulatory perimeters flagged in the working papers require primary-source legal verification before any commercial claim.</w:t>
      </w:r>
    </w:p>
    <w:p>
      <w:pPr>
        <w:pStyle w:val="Heading2"/>
      </w:pPr>
      <w:r>
        <w:t>9.2  Data protection (PDPA) &amp; data access</w:t>
      </w:r>
    </w:p>
    <w:p>
      <w:r>
        <w:rPr>
          <w:b w:val="0"/>
          <w:i w:val="0"/>
        </w:rPr>
        <w:t>Enough ingests a near-complete financial X-ray (CPF, SRS, investments, property, expenses, family), so a breach is both a regulatory and a trust catastrophe. Mitigations: explicit consent and purpose limitation, data minimisation, encryption in transit and at rest, clear retention/deletion, a DPO and a PDPA impact assessment, and consideration of on-device/ephemeral computation for the most sensitive inputs. SGFinDex (the Singpass-consented aggregation rail) is the ideal data source but typically requires being a regulated financial institution — so Phase 1 runs on manual input and Myinfo basics, with SGFinDex as the upgrade that licensing unlocks.</w:t>
      </w:r>
    </w:p>
    <w:p>
      <w:pPr>
        <w:pStyle w:val="Heading2"/>
      </w:pPr>
      <w:r>
        <w:t>9.3  Model &amp; technology limitations</w:t>
      </w:r>
    </w:p>
    <w:p>
      <w:pPr>
        <w:pStyle w:val="ListBullet"/>
        <w:spacing w:after="60"/>
      </w:pPr>
      <w:r>
        <w:t>Garbage-in on capital-market assumptions — the safe-spend number swings materially with the assumed equity premium; Singapore's short local market history under-samples tail events. Mitigation: globally-diversified return blocks, published assumptions, a range across presets, and load-bearing historical stress tests.</w:t>
      </w:r>
    </w:p>
    <w:p>
      <w:pPr>
        <w:pStyle w:val="ListBullet"/>
        <w:spacing w:after="60"/>
      </w:pPr>
      <w:r>
        <w:t>False precision — "90%" reads as objective truth but is model-conditional. Mitigation: always a band with a plain-English caveat; never two-decimal certainty.</w:t>
      </w:r>
    </w:p>
    <w:p>
      <w:pPr>
        <w:pStyle w:val="ListBullet"/>
        <w:spacing w:after="60"/>
      </w:pPr>
      <w:r>
        <w:t>Educational simplifications in the current build — normal (not fat-tailed) monthly returns, zero cross-asset correlation, a simplified guardrail trigger, and illustrative CPF/cost figures pending verification. These are disclosed, and each errs conservative or is a named roadmap item.</w:t>
      </w:r>
    </w:p>
    <w:p>
      <w:pPr>
        <w:pStyle w:val="ListBullet"/>
        <w:spacing w:after="60"/>
      </w:pPr>
      <w:r>
        <w:t>Liability if a retiree follows the number and runs short. Mitigation: conservative defaults, prominent "estimate, not a guarantee" framing (the glass-box is also a liability shield), professional-indemnity insurance, clear T&amp;Cs, and guardrails that trim early rather than letting a plan ride into trouble.</w:t>
      </w:r>
    </w:p>
    <w:p>
      <w:pPr>
        <w:pStyle w:val="Heading2"/>
      </w:pPr>
      <w:r>
        <w:t>9.4  Operational &amp; channel risks</w:t>
      </w:r>
    </w:p>
    <w:p>
      <w:pPr>
        <w:pStyle w:val="ListBullet"/>
        <w:spacing w:after="60"/>
      </w:pPr>
      <w:r>
        <w:t>Neutrality capture — distributed by an insurer's agents, Enough could become a product-push funnel and lose its moat. Mitigation: the contractual guardrails in Section 5.2 (Enough sizes, partner fulfils; no commission; Enough stays data controller).</w:t>
      </w:r>
    </w:p>
    <w:p>
      <w:pPr>
        <w:pStyle w:val="ListBullet"/>
        <w:spacing w:after="60"/>
      </w:pPr>
      <w:r>
        <w:t>Cross-insurer conflict of interest — if sold to insurers A and B, an adviser at B could see a customer's policies with A and use that competitively (e.g. improper replacement/"twisting," itself an MAS-regulated practice). Mitigation: a three-tier disclosure model — by default the adviser sees only coverage characteristics (amount, structure, trigger, term) with the competitor's brand redacted, which is enough to recommend a suitable complement; full product detail (needed only for replacement advice) is released solely on the customer's explicit, separate consent. The structural move is that Enough, as neutral custodian, holds the whole-portfolio fact-find and does the suitability analysis, satisfying the adviser's know-your-client obligation without exposing either insurer's book to the other. This is also what makes serving competing insurers commercially possible.</w:t>
      </w:r>
    </w:p>
    <w:p>
      <w:pPr>
        <w:pStyle w:val="ListBullet"/>
        <w:spacing w:after="60"/>
      </w:pPr>
      <w:r>
        <w:t>Willingness-to-pay &amp; concentration — the reasons the model is B2B2C in the first place; managed by the channel strategy and by diversifying partners.</w:t>
      </w:r>
    </w:p>
    <w:p>
      <w:pPr>
        <w:pStyle w:val="ListBullet"/>
        <w:spacing w:after="60"/>
      </w:pPr>
      <w:r>
        <w:t>Behavioural adoption — a number that changes nothing is worthless; the family layer, guardrails and plain-English attribution exist to make the number actually shift behaviour.</w:t>
      </w:r>
    </w:p>
    <w:tbl>
      <w:tblPr>
        <w:tblStyle w:val="TableGrid"/>
        <w:tblW w:type="auto" w:w="0"/>
        <w:tblLook w:firstColumn="1" w:firstRow="1" w:lastColumn="0" w:lastRow="0" w:noHBand="0" w:noVBand="1" w:val="04A0"/>
      </w:tblPr>
      <w:tblGrid>
        <w:gridCol w:w="8640"/>
      </w:tblGrid>
      <w:tr>
        <w:tc>
          <w:tcPr>
            <w:tcW w:type="dxa" w:w="8640"/>
            <w:shd w:val="clear" w:color="auto" w:fill="FBF3E6"/>
          </w:tcPr>
          <w:p>
            <w:r/>
            <w:r>
              <w:rPr>
                <w:b/>
                <w:color w:val="0A2540"/>
                <w:sz w:val="21"/>
              </w:rPr>
              <w:t>Constraint summary — Enough is feasible only inside a tight envelope</w:t>
            </w:r>
          </w:p>
          <w:p>
            <w:r>
              <w:rPr>
                <w:sz w:val="19"/>
              </w:rPr>
              <w:t>Decision-support positioning (not advice, pre-licence) · conservative model defaults with disclosed assumptions · whole-wealth but not counting illiquid property as freely spendable · neutrality protected contractually · SG-first scope. Pushed outside that envelope, the same features become a liability.</w:t>
            </w:r>
          </w:p>
        </w:tc>
      </w:tr>
    </w:tbl>
    <w:p>
      <w:pPr>
        <w:spacing w:after="40"/>
      </w:pPr>
    </w:p>
    <w:p>
      <w:r>
        <w:br w:type="page"/>
      </w:r>
    </w:p>
    <w:p>
      <w:pPr>
        <w:pStyle w:val="Heading1"/>
      </w:pPr>
      <w:r>
        <w:t>Appendix A — Engine assumptions &amp; methodology summary</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0A2540"/>
          </w:tcPr>
          <w:p>
            <w:r/>
            <w:r>
              <w:rPr>
                <w:b/>
                <w:color w:val="FFFFFF"/>
                <w:sz w:val="19"/>
              </w:rPr>
              <w:t>Element</w:t>
            </w:r>
          </w:p>
        </w:tc>
        <w:tc>
          <w:tcPr>
            <w:tcW w:type="dxa" w:w="4320"/>
            <w:shd w:val="clear" w:color="auto" w:fill="0A2540"/>
          </w:tcPr>
          <w:p>
            <w:r/>
            <w:r>
              <w:rPr>
                <w:b/>
                <w:color w:val="FFFFFF"/>
                <w:sz w:val="19"/>
              </w:rPr>
              <w:t>Prototype implementation</w:t>
            </w:r>
          </w:p>
        </w:tc>
        <w:tc>
          <w:tcPr>
            <w:tcW w:type="dxa" w:w="3312"/>
            <w:shd w:val="clear" w:color="auto" w:fill="0A2540"/>
          </w:tcPr>
          <w:p>
            <w:r/>
            <w:r>
              <w:rPr>
                <w:b/>
                <w:color w:val="FFFFFF"/>
                <w:sz w:val="19"/>
              </w:rPr>
              <w:t>Note / conservatism</w:t>
            </w:r>
          </w:p>
        </w:tc>
      </w:tr>
      <w:tr>
        <w:tc>
          <w:tcPr>
            <w:tcW w:type="dxa" w:w="2160"/>
          </w:tcPr>
          <w:p>
            <w:r/>
            <w:r>
              <w:rPr>
                <w:sz w:val="19"/>
              </w:rPr>
              <w:t>Simulation</w:t>
            </w:r>
          </w:p>
        </w:tc>
        <w:tc>
          <w:tcPr>
            <w:tcW w:type="dxa" w:w="4320"/>
          </w:tcPr>
          <w:p>
            <w:r/>
            <w:r>
              <w:rPr>
                <w:sz w:val="19"/>
              </w:rPr>
              <w:t>Monte Carlo, 2,000 trials (demo) / ~10,000 target, monthly steps over horizon</w:t>
            </w:r>
          </w:p>
        </w:tc>
        <w:tc>
          <w:tcPr>
            <w:tcW w:type="dxa" w:w="3312"/>
          </w:tcPr>
          <w:p>
            <w:r/>
            <w:r>
              <w:rPr>
                <w:sz w:val="19"/>
              </w:rPr>
              <w:t>Deterministic seed for reproducibility</w:t>
            </w:r>
          </w:p>
        </w:tc>
      </w:tr>
      <w:tr>
        <w:tc>
          <w:tcPr>
            <w:tcW w:type="dxa" w:w="2160"/>
            <w:shd w:val="clear" w:color="auto" w:fill="EAF1F0"/>
          </w:tcPr>
          <w:p>
            <w:r/>
            <w:r>
              <w:rPr>
                <w:sz w:val="19"/>
              </w:rPr>
              <w:t>Return model</w:t>
            </w:r>
          </w:p>
        </w:tc>
        <w:tc>
          <w:tcPr>
            <w:tcW w:type="dxa" w:w="4320"/>
            <w:shd w:val="clear" w:color="auto" w:fill="EAF1F0"/>
          </w:tcPr>
          <w:p>
            <w:r/>
            <w:r>
              <w:rPr>
                <w:sz w:val="19"/>
              </w:rPr>
              <w:t>Normal monthly returns; single-month loss clamped at -30%</w:t>
            </w:r>
          </w:p>
        </w:tc>
        <w:tc>
          <w:tcPr>
            <w:tcW w:type="dxa" w:w="3312"/>
            <w:shd w:val="clear" w:color="auto" w:fill="EAF1F0"/>
          </w:tcPr>
          <w:p>
            <w:r/>
            <w:r>
              <w:rPr>
                <w:sz w:val="19"/>
              </w:rPr>
              <w:t>Simplification; fat tails a roadmap item</w:t>
            </w:r>
          </w:p>
        </w:tc>
      </w:tr>
      <w:tr>
        <w:tc>
          <w:tcPr>
            <w:tcW w:type="dxa" w:w="2160"/>
          </w:tcPr>
          <w:p>
            <w:r/>
            <w:r>
              <w:rPr>
                <w:sz w:val="19"/>
              </w:rPr>
              <w:t>Portfolio stats</w:t>
            </w:r>
          </w:p>
        </w:tc>
        <w:tc>
          <w:tcPr>
            <w:tcW w:type="dxa" w:w="4320"/>
          </w:tcPr>
          <w:p>
            <w:r/>
            <w:r>
              <w:rPr>
                <w:sz w:val="19"/>
              </w:rPr>
              <w:t>Allocation-weighted return; volatility with zero cross-correlation</w:t>
            </w:r>
          </w:p>
        </w:tc>
        <w:tc>
          <w:tcPr>
            <w:tcW w:type="dxa" w:w="3312"/>
          </w:tcPr>
          <w:p>
            <w:r/>
            <w:r>
              <w:rPr>
                <w:sz w:val="19"/>
              </w:rPr>
              <w:t>Understates vol → conservative spend</w:t>
            </w:r>
          </w:p>
        </w:tc>
      </w:tr>
      <w:tr>
        <w:tc>
          <w:tcPr>
            <w:tcW w:type="dxa" w:w="2160"/>
            <w:shd w:val="clear" w:color="auto" w:fill="EAF1F0"/>
          </w:tcPr>
          <w:p>
            <w:r/>
            <w:r>
              <w:rPr>
                <w:sz w:val="19"/>
              </w:rPr>
              <w:t>Presets</w:t>
            </w:r>
          </w:p>
        </w:tc>
        <w:tc>
          <w:tcPr>
            <w:tcW w:type="dxa" w:w="4320"/>
            <w:shd w:val="clear" w:color="auto" w:fill="EAF1F0"/>
          </w:tcPr>
          <w:p>
            <w:r/>
            <w:r>
              <w:rPr>
                <w:sz w:val="19"/>
              </w:rPr>
              <w:t>Conservative / Base / Optimistic assumption sets</w:t>
            </w:r>
          </w:p>
        </w:tc>
        <w:tc>
          <w:tcPr>
            <w:tcW w:type="dxa" w:w="3312"/>
            <w:shd w:val="clear" w:color="auto" w:fill="EAF1F0"/>
          </w:tcPr>
          <w:p>
            <w:r/>
            <w:r>
              <w:rPr>
                <w:sz w:val="19"/>
              </w:rPr>
              <w:t>Output is the spread, not one number</w:t>
            </w:r>
          </w:p>
        </w:tc>
      </w:tr>
      <w:tr>
        <w:tc>
          <w:tcPr>
            <w:tcW w:type="dxa" w:w="2160"/>
          </w:tcPr>
          <w:p>
            <w:r/>
            <w:r>
              <w:rPr>
                <w:sz w:val="19"/>
              </w:rPr>
              <w:t>CPF LIFE</w:t>
            </w:r>
          </w:p>
        </w:tc>
        <w:tc>
          <w:tcPr>
            <w:tcW w:type="dxa" w:w="4320"/>
          </w:tcPr>
          <w:p>
            <w:r/>
            <w:r>
              <w:rPr>
                <w:sz w:val="19"/>
              </w:rPr>
              <w:t>Standard = level nominal; Escalating ~82% start, +2%/yr</w:t>
            </w:r>
          </w:p>
        </w:tc>
        <w:tc>
          <w:tcPr>
            <w:tcW w:type="dxa" w:w="3312"/>
          </w:tcPr>
          <w:p>
            <w:r/>
            <w:r>
              <w:rPr>
                <w:sz w:val="19"/>
              </w:rPr>
              <w:t>Treated as longevity floor, not inflation hedge</w:t>
            </w:r>
          </w:p>
        </w:tc>
      </w:tr>
      <w:tr>
        <w:tc>
          <w:tcPr>
            <w:tcW w:type="dxa" w:w="2160"/>
            <w:shd w:val="clear" w:color="auto" w:fill="EAF1F0"/>
          </w:tcPr>
          <w:p>
            <w:r/>
            <w:r>
              <w:rPr>
                <w:sz w:val="19"/>
              </w:rPr>
              <w:t>Inflation</w:t>
            </w:r>
          </w:p>
        </w:tc>
        <w:tc>
          <w:tcPr>
            <w:tcW w:type="dxa" w:w="4320"/>
            <w:shd w:val="clear" w:color="auto" w:fill="EAF1F0"/>
          </w:tcPr>
          <w:p>
            <w:r/>
            <w:r>
              <w:rPr>
                <w:sz w:val="19"/>
              </w:rPr>
              <w:t>General rate on most spend; higher rate on healthcare</w:t>
            </w:r>
          </w:p>
        </w:tc>
        <w:tc>
          <w:tcPr>
            <w:tcW w:type="dxa" w:w="3312"/>
            <w:shd w:val="clear" w:color="auto" w:fill="EAF1F0"/>
          </w:tcPr>
          <w:p>
            <w:r/>
            <w:r>
              <w:rPr>
                <w:sz w:val="19"/>
              </w:rPr>
              <w:t>Spending inflates; CPF does not (Standard)</w:t>
            </w:r>
          </w:p>
        </w:tc>
      </w:tr>
      <w:tr>
        <w:tc>
          <w:tcPr>
            <w:tcW w:type="dxa" w:w="2160"/>
          </w:tcPr>
          <w:p>
            <w:r/>
            <w:r>
              <w:rPr>
                <w:sz w:val="19"/>
              </w:rPr>
              <w:t>Horizon</w:t>
            </w:r>
          </w:p>
        </w:tc>
        <w:tc>
          <w:tcPr>
            <w:tcW w:type="dxa" w:w="4320"/>
          </w:tcPr>
          <w:p>
            <w:r/>
            <w:r>
              <w:rPr>
                <w:sz w:val="19"/>
              </w:rPr>
              <w:t>Target age (default 95); +2 yrs female; joint spouse planning</w:t>
            </w:r>
          </w:p>
        </w:tc>
        <w:tc>
          <w:tcPr>
            <w:tcW w:type="dxa" w:w="3312"/>
          </w:tcPr>
          <w:p>
            <w:r/>
            <w:r>
              <w:rPr>
                <w:sz w:val="19"/>
              </w:rPr>
              <w:t>Longevity-conservative</w:t>
            </w:r>
          </w:p>
        </w:tc>
      </w:tr>
      <w:tr>
        <w:tc>
          <w:tcPr>
            <w:tcW w:type="dxa" w:w="2160"/>
            <w:shd w:val="clear" w:color="auto" w:fill="EAF1F0"/>
          </w:tcPr>
          <w:p>
            <w:r/>
            <w:r>
              <w:rPr>
                <w:sz w:val="19"/>
              </w:rPr>
              <w:t>Success test</w:t>
            </w:r>
          </w:p>
        </w:tc>
        <w:tc>
          <w:tcPr>
            <w:tcW w:type="dxa" w:w="4320"/>
            <w:shd w:val="clear" w:color="auto" w:fill="EAF1F0"/>
          </w:tcPr>
          <w:p>
            <w:r/>
            <w:r>
              <w:rPr>
                <w:sz w:val="19"/>
              </w:rPr>
              <w:t>Balance never &lt; 0 AND ending balance ≥ bequest target</w:t>
            </w:r>
          </w:p>
        </w:tc>
        <w:tc>
          <w:tcPr>
            <w:tcW w:type="dxa" w:w="3312"/>
            <w:shd w:val="clear" w:color="auto" w:fill="EAF1F0"/>
          </w:tcPr>
          <w:p>
            <w:r/>
            <w:r>
              <w:rPr>
                <w:sz w:val="19"/>
              </w:rPr>
              <w:t>Ruin probability = 1 − success</w:t>
            </w:r>
          </w:p>
        </w:tc>
      </w:tr>
      <w:tr>
        <w:tc>
          <w:tcPr>
            <w:tcW w:type="dxa" w:w="2160"/>
          </w:tcPr>
          <w:p>
            <w:r/>
            <w:r>
              <w:rPr>
                <w:sz w:val="19"/>
              </w:rPr>
              <w:t>Safe-spend range</w:t>
            </w:r>
          </w:p>
        </w:tc>
        <w:tc>
          <w:tcPr>
            <w:tcW w:type="dxa" w:w="4320"/>
          </w:tcPr>
          <w:p>
            <w:r/>
            <w:r>
              <w:rPr>
                <w:sz w:val="19"/>
              </w:rPr>
              <w:t>Central at target confidence (90%); ±3 pp band</w:t>
            </w:r>
          </w:p>
        </w:tc>
        <w:tc>
          <w:tcPr>
            <w:tcW w:type="dxa" w:w="3312"/>
          </w:tcPr>
          <w:p>
            <w:r/>
            <w:r>
              <w:rPr>
                <w:sz w:val="19"/>
              </w:rPr>
              <w:t>Range, never a point estimate</w:t>
            </w:r>
          </w:p>
        </w:tc>
      </w:tr>
      <w:tr>
        <w:tc>
          <w:tcPr>
            <w:tcW w:type="dxa" w:w="2160"/>
            <w:shd w:val="clear" w:color="auto" w:fill="EAF1F0"/>
          </w:tcPr>
          <w:p>
            <w:r/>
            <w:r>
              <w:rPr>
                <w:sz w:val="19"/>
              </w:rPr>
              <w:t>Guardrails</w:t>
            </w:r>
          </w:p>
        </w:tc>
        <w:tc>
          <w:tcPr>
            <w:tcW w:type="dxa" w:w="4320"/>
            <w:shd w:val="clear" w:color="auto" w:fill="EAF1F0"/>
          </w:tcPr>
          <w:p>
            <w:r/>
            <w:r>
              <w:rPr>
                <w:sz w:val="19"/>
              </w:rPr>
              <w:t>Trim discretionary when balance &lt; 60% of start, by flexibility %</w:t>
            </w:r>
          </w:p>
        </w:tc>
        <w:tc>
          <w:tcPr>
            <w:tcW w:type="dxa" w:w="3312"/>
            <w:shd w:val="clear" w:color="auto" w:fill="EAF1F0"/>
          </w:tcPr>
          <w:p>
            <w:r/>
            <w:r>
              <w:rPr>
                <w:sz w:val="19"/>
              </w:rPr>
              <w:t>Guyton-Klinger style</w:t>
            </w:r>
          </w:p>
        </w:tc>
      </w:tr>
      <w:tr>
        <w:tc>
          <w:tcPr>
            <w:tcW w:type="dxa" w:w="2160"/>
          </w:tcPr>
          <w:p>
            <w:r/>
            <w:r>
              <w:rPr>
                <w:sz w:val="19"/>
              </w:rPr>
              <w:t>Sensitivity</w:t>
            </w:r>
          </w:p>
        </w:tc>
        <w:tc>
          <w:tcPr>
            <w:tcW w:type="dxa" w:w="4320"/>
          </w:tcPr>
          <w:p>
            <w:r/>
            <w:r>
              <w:rPr>
                <w:sz w:val="19"/>
              </w:rPr>
              <w:t>One-factor-at-a-time re-runs → tornado chart</w:t>
            </w:r>
          </w:p>
        </w:tc>
        <w:tc>
          <w:tcPr>
            <w:tcW w:type="dxa" w:w="3312"/>
          </w:tcPr>
          <w:p>
            <w:r/>
            <w:r>
              <w:rPr>
                <w:sz w:val="19"/>
              </w:rPr>
              <w:t>Shows which assumptions matter</w:t>
            </w:r>
          </w:p>
        </w:tc>
      </w:tr>
      <w:tr>
        <w:tc>
          <w:tcPr>
            <w:tcW w:type="dxa" w:w="2160"/>
            <w:shd w:val="clear" w:color="auto" w:fill="EAF1F0"/>
          </w:tcPr>
          <w:p>
            <w:r/>
            <w:r>
              <w:rPr>
                <w:sz w:val="19"/>
              </w:rPr>
              <w:t>Backtest</w:t>
            </w:r>
          </w:p>
        </w:tc>
        <w:tc>
          <w:tcPr>
            <w:tcW w:type="dxa" w:w="4320"/>
            <w:shd w:val="clear" w:color="auto" w:fill="EAF1F0"/>
          </w:tcPr>
          <w:p>
            <w:r/>
            <w:r>
              <w:rPr>
                <w:sz w:val="19"/>
              </w:rPr>
              <w:t>60/40 through real sequences incl. 1973 / 2000 / 2008</w:t>
            </w:r>
          </w:p>
        </w:tc>
        <w:tc>
          <w:tcPr>
            <w:tcW w:type="dxa" w:w="3312"/>
            <w:shd w:val="clear" w:color="auto" w:fill="EAF1F0"/>
          </w:tcPr>
          <w:p>
            <w:r/>
            <w:r>
              <w:rPr>
                <w:sz w:val="19"/>
              </w:rPr>
              <w:t>Survival vs. real history</w:t>
            </w:r>
          </w:p>
        </w:tc>
      </w:tr>
    </w:tbl>
    <w:p>
      <w:pPr>
        <w:spacing w:after="40"/>
      </w:pPr>
    </w:p>
    <w:p>
      <w:r>
        <w:rPr>
          <w:b w:val="0"/>
          <w:i/>
          <w:color w:val="5B6B7F"/>
          <w:sz w:val="18"/>
        </w:rPr>
        <w:t>All dollar figures and specific statistics in this proposal are illustrative educational estimates; CPF/FRS/ERS figures, MAS regulatory perimeters and cited research percentages require primary-source verification before any commercial or academic assertion.</w:t>
      </w:r>
    </w:p>
    <w:p>
      <w:pPr>
        <w:pStyle w:val="Heading1"/>
      </w:pPr>
      <w:r>
        <w:t>Appendix B — Glossary</w:t>
      </w:r>
    </w:p>
    <w:p>
      <w:pPr>
        <w:spacing w:after="60"/>
      </w:pPr>
      <w:r>
        <w:rPr>
          <w:b/>
          <w:color w:val="0A2540"/>
        </w:rPr>
        <w:t xml:space="preserve">CPF LIFE — </w:t>
      </w:r>
      <w:r>
        <w:rPr>
          <w:sz w:val="20"/>
        </w:rPr>
        <w:t>Singapore's national annuity paying a guaranteed lifetime monthly income from Retirement Account savings.</w:t>
      </w:r>
    </w:p>
    <w:p>
      <w:pPr>
        <w:spacing w:after="60"/>
      </w:pPr>
      <w:r>
        <w:rPr>
          <w:b/>
          <w:color w:val="0A2540"/>
        </w:rPr>
        <w:t xml:space="preserve">Decumulation — </w:t>
      </w:r>
      <w:r>
        <w:rPr>
          <w:sz w:val="20"/>
        </w:rPr>
        <w:t>The retirement phase of drawing down savings (vs. accumulation, the saving-up phase).</w:t>
      </w:r>
    </w:p>
    <w:p>
      <w:pPr>
        <w:spacing w:after="60"/>
      </w:pPr>
      <w:r>
        <w:rPr>
          <w:b/>
          <w:color w:val="0A2540"/>
        </w:rPr>
        <w:t xml:space="preserve">Sequence-of-returns risk — </w:t>
      </w:r>
      <w:r>
        <w:rPr>
          <w:sz w:val="20"/>
        </w:rPr>
        <w:t>The risk that poor market returns early in retirement — when withdrawals hit a depressed portfolio — cause permanent damage.</w:t>
      </w:r>
    </w:p>
    <w:p>
      <w:pPr>
        <w:spacing w:after="60"/>
      </w:pPr>
      <w:r>
        <w:rPr>
          <w:b/>
          <w:color w:val="0A2540"/>
        </w:rPr>
        <w:t xml:space="preserve">Monte Carlo simulation — </w:t>
      </w:r>
      <w:r>
        <w:rPr>
          <w:sz w:val="20"/>
        </w:rPr>
        <w:t>Running thousands of possible market futures to estimate the probability a plan survives.</w:t>
      </w:r>
    </w:p>
    <w:p>
      <w:pPr>
        <w:spacing w:after="60"/>
      </w:pPr>
      <w:r>
        <w:rPr>
          <w:b/>
          <w:color w:val="0A2540"/>
        </w:rPr>
        <w:t xml:space="preserve">Guardrails — </w:t>
      </w:r>
      <w:r>
        <w:rPr>
          <w:sz w:val="20"/>
        </w:rPr>
        <w:t>Pre-agreed rules that trim spending after sustained drops and raise it after sustained growth.</w:t>
      </w:r>
    </w:p>
    <w:p>
      <w:pPr>
        <w:spacing w:after="60"/>
      </w:pPr>
      <w:r>
        <w:rPr>
          <w:b/>
          <w:color w:val="0A2540"/>
        </w:rPr>
        <w:t xml:space="preserve">Funded ratio — </w:t>
      </w:r>
      <w:r>
        <w:rPr>
          <w:sz w:val="20"/>
        </w:rPr>
        <w:t>Assets divided by the present value of the future spending liability — a solvency gauge for a spending plan.</w:t>
      </w:r>
    </w:p>
    <w:p>
      <w:pPr>
        <w:spacing w:after="60"/>
      </w:pPr>
      <w:r>
        <w:rPr>
          <w:b/>
          <w:color w:val="0A2540"/>
        </w:rPr>
        <w:t xml:space="preserve">SRS — </w:t>
      </w:r>
      <w:r>
        <w:rPr>
          <w:sz w:val="20"/>
        </w:rPr>
        <w:t>Supplementary Retirement Scheme — a tax-advantaged voluntary savings scheme with a 10-year penalty-free withdrawal window from the statutory retirement age.</w:t>
      </w:r>
    </w:p>
    <w:p>
      <w:pPr>
        <w:spacing w:after="60"/>
      </w:pPr>
      <w:r>
        <w:rPr>
          <w:b/>
          <w:color w:val="0A2540"/>
        </w:rPr>
        <w:t xml:space="preserve">SGFinDex — </w:t>
      </w:r>
      <w:r>
        <w:rPr>
          <w:sz w:val="20"/>
        </w:rPr>
        <w:t>Singapore Financial Data Exchange — the Singpass-consented network aggregating CPF, IRAS, HDB, bank and insurer data.</w:t>
      </w:r>
    </w:p>
    <w:p>
      <w:pPr>
        <w:spacing w:after="60"/>
      </w:pPr>
      <w:r>
        <w:rPr>
          <w:b/>
          <w:color w:val="0A2540"/>
        </w:rPr>
        <w:t xml:space="preserve">FAA / MAS — </w:t>
      </w:r>
      <w:r>
        <w:rPr>
          <w:sz w:val="20"/>
        </w:rPr>
        <w:t>Financial Advisers Act, administered by the Monetary Authority of Singapore — the licensing regime for personalised financial advice.</w:t>
      </w:r>
    </w:p>
    <w:p>
      <w:pPr>
        <w:spacing w:after="60"/>
      </w:pPr>
      <w:r>
        <w:rPr>
          <w:b/>
          <w:color w:val="0A2540"/>
        </w:rPr>
        <w:t xml:space="preserve">B2B2C — </w:t>
      </w:r>
      <w:r>
        <w:rPr>
          <w:sz w:val="20"/>
        </w:rPr>
        <w:t>Business-to-business-to-consumer — selling to an institution that distributes to end consumers.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F"/>
        <w:sz w:val="15"/>
      </w:rPr>
      <w:t>Enough — CPF-calibrated retirement decumulation platform · SMU FNCE6041 educational prototype · Not financial advice · Figures illustrative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254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25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7A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