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1yv7tzgup0uw" w:id="0"/>
      <w:bookmarkEnd w:id="0"/>
      <w:r w:rsidDel="00000000" w:rsidR="00000000" w:rsidRPr="00000000">
        <w:rPr>
          <w:rtl w:val="0"/>
        </w:rPr>
        <w:t xml:space="preserve"> Script de l’application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L’étudiant se retrouve devant une table d’expériences (paillasse), avec un tableau interactif (type tactile) accroché au mur.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Sur ce tableau est présente une interface 2D, contenant la liste des expériences.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L’étudiant sélectionne l’expérience voulue.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Après validation, les instruments apparaissent sur un chariot à côté de la paillasse. De plus, le protocole s’affiche au tableau. Il est possible de le faire défiler.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L’étudiant dispose les instruments sur la paillasse.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L’étudiant est guidé par des flèches et une voix-off. Cette même voix-off aura été enregistrée lors du développement de la solution, et il y aura un scénario audio par expérience.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L’étudiant peut ensuite mélanger les éléments, faire chauffer des récipients etc, en fonction de l’expérience.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À tout moment, si l’étudiant a un doute, il peut cliquer sur un point d’interrogation, présent sur le tableau interactif, pour afficher de l’aide. Il a également un bouton pour appeler le professeur, qui va pouvoir guider l’élève via une 3ème main.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Lorsque le scénario de l’expérience est terminé, des confettis apparaissent et un signal sonore indique la réussite de l’exercice.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L’étudiant peut ensuite sélectionner une nouvelle expérience sur le tableau.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