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bs753oxb28bh" w:id="0"/>
      <w:bookmarkEnd w:id="0"/>
      <w:r w:rsidDel="00000000" w:rsidR="00000000" w:rsidRPr="00000000">
        <w:rPr>
          <w:rtl w:val="0"/>
        </w:rPr>
        <w:t xml:space="preserve">Techniques de navigation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rb15zthgvln" w:id="1"/>
      <w:bookmarkEnd w:id="1"/>
      <w:r w:rsidDel="00000000" w:rsidR="00000000" w:rsidRPr="00000000">
        <w:rPr>
          <w:rtl w:val="0"/>
        </w:rPr>
        <w:t xml:space="preserve">Position 2D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 stick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Boutons (flèches)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Pointer et cliquer pour se déplacer 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Tirer-glisser</w:t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sawx9gci4nio" w:id="2"/>
      <w:bookmarkEnd w:id="2"/>
      <w:r w:rsidDel="00000000" w:rsidR="00000000" w:rsidRPr="00000000">
        <w:rPr>
          <w:rtl w:val="0"/>
        </w:rPr>
        <w:t xml:space="preserve">Orientation 2D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 autre stick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Orientation de la tête (capteurs gyroscopiques)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Boutons (flèches)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Un bouton qui tourne (comme avec la boussole sur Google Maps)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Un pad tactile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Système spider (câbles)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