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rPr/>
      </w:pPr>
      <w:r>
        <w:rPr/>
        <w:t>KRONUMOS AI (TOKENECTOMY LABS)</w:t>
      </w:r>
    </w:p>
    <w:p>
      <w:pPr>
        <w:pStyle w:val="PreformattedText"/>
        <w:bidi w:val="0"/>
        <w:rPr/>
      </w:pPr>
      <w:r>
        <w:rPr/>
        <w:t>MICROSOFT FOR STARTUPS FOUNDERS HUB — SUBMISSION PACKAGE</w:t>
      </w:r>
    </w:p>
    <w:p>
      <w:pPr>
        <w:pStyle w:val="PreformattedText"/>
        <w:bidi w:val="0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1. STARTUP &amp; PRODUCT INFORMATION</w:t>
      </w:r>
    </w:p>
    <w:p>
      <w:pPr>
        <w:pStyle w:val="PreformattedText"/>
        <w:bidi w:val="0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rPr/>
      </w:pPr>
      <w:r>
        <w:rPr/>
        <w:t>* Startup / Company Name: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Kronumos AI (Tokenectomy Labs)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* Primary Website / Public Showcase: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https://huggingface.co/Kronumos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* Open Source Repository: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https://github.com/Tokenectomy-Labs/Kronomus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* Research Paper / Academic Provenance: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https://doi.org/10.21203/rs.3.rs-11205335/v1 (Springer Nature Research Square)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* Primary Country: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Indonesia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* Current Funding Stage: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Bootstrapped / No outside funding yet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2. THREE CORE ESSAY QUESTIONS (COPY-PASTE READY)</w:t>
      </w:r>
    </w:p>
    <w:p>
      <w:pPr>
        <w:pStyle w:val="PreformattedText"/>
        <w:bidi w:val="0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[QUESTION A: What problem does your startup solve?]</w:t>
      </w:r>
    </w:p>
    <w:p>
      <w:pPr>
        <w:pStyle w:val="PreformattedText"/>
        <w:bidi w:val="0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rPr/>
      </w:pPr>
      <w:r>
        <w:rPr/>
        <w:t>Software engineering teams face prohibitive compute costs and high hallucination</w:t>
      </w:r>
    </w:p>
    <w:p>
      <w:pPr>
        <w:pStyle w:val="PreformattedText"/>
        <w:bidi w:val="0"/>
        <w:rPr/>
      </w:pPr>
      <w:r>
        <w:rPr/>
        <w:t>rates when using AI coding agents for automated software repair. Conventional agent</w:t>
      </w:r>
    </w:p>
    <w:p>
      <w:pPr>
        <w:pStyle w:val="PreformattedText"/>
        <w:bidi w:val="0"/>
        <w:rPr/>
      </w:pPr>
      <w:r>
        <w:rPr/>
        <w:t>loops consume 50,000 to 150,000 tokens per bug remediation due to raw stack-trace</w:t>
      </w:r>
    </w:p>
    <w:p>
      <w:pPr>
        <w:pStyle w:val="PreformattedText"/>
        <w:bidi w:val="0"/>
        <w:rPr/>
      </w:pPr>
      <w:r>
        <w:rPr/>
        <w:t>and framework bloat, costing $2 to $5 per issue while regularly generating broken diff</w:t>
      </w:r>
    </w:p>
    <w:p>
      <w:pPr>
        <w:pStyle w:val="PreformattedText"/>
        <w:bidi w:val="0"/>
        <w:rPr/>
      </w:pPr>
      <w:r>
        <w:rPr/>
        <w:t>headers and indentation syntax errors that cause CI/CD build failures.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[QUESTION B: What is your product and solution?]</w:t>
      </w:r>
    </w:p>
    <w:p>
      <w:pPr>
        <w:pStyle w:val="PreformattedText"/>
        <w:bidi w:val="0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rPr/>
      </w:pPr>
      <w:r>
        <w:rPr/>
        <w:t>Kronumos is an autonomous program repair (APR) engine engineered on a Dual-Brain</w:t>
      </w:r>
    </w:p>
    <w:p>
      <w:pPr>
        <w:pStyle w:val="PreformattedText"/>
        <w:bidi w:val="0"/>
        <w:rPr/>
      </w:pPr>
      <w:r>
        <w:rPr/>
        <w:t>cybernetic architecture. We pair neural reasoning models (Kronumos Kairos 7B/14B</w:t>
      </w:r>
    </w:p>
    <w:p>
      <w:pPr>
        <w:pStyle w:val="PreformattedText"/>
        <w:bidi w:val="0"/>
        <w:rPr/>
      </w:pPr>
      <w:r>
        <w:rPr/>
        <w:t>and Kronumos Aion 671B MoE) with an unyielding, zero-allocation native Rust</w:t>
      </w:r>
    </w:p>
    <w:p>
      <w:pPr>
        <w:pStyle w:val="PreformattedText"/>
        <w:bidi w:val="0"/>
        <w:rPr/>
      </w:pPr>
      <w:r>
        <w:rPr/>
        <w:t>Sub-Cortex compiler kernel (C-ABI 5µs). The Sub-Cortex deterministically excises</w:t>
      </w:r>
    </w:p>
    <w:p>
      <w:pPr>
        <w:pStyle w:val="PreformattedText"/>
        <w:bidi w:val="0"/>
        <w:rPr/>
      </w:pPr>
      <w:r>
        <w:rPr/>
        <w:t>93.5% of issue context bloat (averaging ~2,500 tokens per task) and validates AST</w:t>
      </w:r>
    </w:p>
    <w:p>
      <w:pPr>
        <w:pStyle w:val="PreformattedText"/>
        <w:bidi w:val="0"/>
        <w:rPr/>
      </w:pPr>
      <w:r>
        <w:rPr/>
        <w:t>syntax via Tree-sitter before any modification touches production git branches,</w:t>
      </w:r>
    </w:p>
    <w:p>
      <w:pPr>
        <w:pStyle w:val="PreformattedText"/>
        <w:bidi w:val="0"/>
        <w:rPr/>
      </w:pPr>
      <w:r>
        <w:rPr/>
        <w:t>guaranteeing zero dirty diffs on Princeton SWE-bench Verified.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[QUESTION C: Why do you need Microsoft Azure compute?]</w:t>
      </w:r>
    </w:p>
    <w:p>
      <w:pPr>
        <w:pStyle w:val="PreformattedText"/>
        <w:bidi w:val="0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rPr/>
      </w:pPr>
      <w:r>
        <w:rPr/>
        <w:t>We require Azure compute credits to host and serve our flagship enterprise model,</w:t>
      </w:r>
    </w:p>
    <w:p>
      <w:pPr>
        <w:pStyle w:val="PreformattedText"/>
        <w:bidi w:val="0"/>
        <w:rPr/>
      </w:pPr>
      <w:r>
        <w:rPr/>
        <w:t>Kronumos Aion (671B MoE), on multi-GPU Azure Virtual Machine clusters (8x A100/H100</w:t>
      </w:r>
    </w:p>
    <w:p>
      <w:pPr>
        <w:pStyle w:val="PreformattedText"/>
        <w:bidi w:val="0"/>
        <w:rPr/>
      </w:pPr>
      <w:r>
        <w:rPr/>
        <w:t>nodes via vLLM). Azure credits will also power our continuous integration benchmark</w:t>
      </w:r>
    </w:p>
    <w:p>
      <w:pPr>
        <w:pStyle w:val="PreformattedText"/>
        <w:bidi w:val="0"/>
        <w:rPr/>
      </w:pPr>
      <w:r>
        <w:rPr/>
        <w:t>testbed across the full 500-instance Princeton SWE-bench Verified dataset and</w:t>
      </w:r>
    </w:p>
    <w:p>
      <w:pPr>
        <w:pStyle w:val="PreformattedText"/>
        <w:bidi w:val="0"/>
        <w:rPr/>
      </w:pPr>
      <w:r>
        <w:rPr/>
        <w:t>support our upcoming automated GitHub Actions remediation bot for enterprise</w:t>
      </w:r>
    </w:p>
    <w:p>
      <w:pPr>
        <w:pStyle w:val="PreformattedText"/>
        <w:bidi w:val="0"/>
        <w:rPr/>
      </w:pPr>
      <w:r>
        <w:rPr/>
        <w:t>engineering teams.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3. FOUNDING TEAM PROFILE &amp; ROLES</w:t>
      </w:r>
    </w:p>
    <w:p>
      <w:pPr>
        <w:pStyle w:val="PreformattedText"/>
        <w:bidi w:val="0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rPr/>
      </w:pPr>
      <w:r>
        <w:rPr/>
        <w:t>1. Muhammad Naufal Daffa — Chief Technology Officer (CTO) &amp; Chief Scientist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Role: Architect of the Tokenectomy Rust Sub-Cortex, author of the Springer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Nature preprint, and lead AI/ML systems engineer.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ORCID: https://orcid.org/0009-0000-7909-4916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2. Muhammad Sufyan — Chief Executive Officer (CEO) &amp; Head of Business Operations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Role: Overseeing commercial strategy, enterprise B2B pilot partnerships,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grant applications, legal structure, and day-to-day operations.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3. Adi Supriyadi — Head of Product &amp; Lead Frontend Architect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Role: Leading developer experience, web portals, client monitoring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dashboards, IDE extensions (VS Code / Cursor), and visual product design.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4. OPERATIONAL MILESTONES (FOR PROPOSAL REFERENCE)</w:t>
      </w:r>
    </w:p>
    <w:p>
      <w:pPr>
        <w:pStyle w:val="PreformattedText"/>
        <w:bidi w:val="0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rPr/>
      </w:pPr>
      <w:r>
        <w:rPr/>
        <w:t>* Community Traction: 1,260+ organic model downloads on Hugging Face.</w:t>
      </w:r>
    </w:p>
    <w:p>
      <w:pPr>
        <w:pStyle w:val="PreformattedText"/>
        <w:bidi w:val="0"/>
        <w:rPr/>
      </w:pPr>
      <w:r>
        <w:rPr/>
        <w:t>* Empirical Benchmark: Evaluated against all 500 Princeton SWE-bench Verified tasks.</w:t>
      </w:r>
    </w:p>
    <w:p>
      <w:pPr>
        <w:pStyle w:val="PreformattedText"/>
        <w:bidi w:val="0"/>
        <w:rPr/>
      </w:pPr>
      <w:r>
        <w:rPr/>
        <w:t>* Sub-Cortex Efficiency: Verified 93.5% input token reduction at 5-microsecond latency.</w:t>
      </w:r>
    </w:p>
    <w:p>
      <w:pPr>
        <w:pStyle w:val="PreformattedText"/>
        <w:bidi w:val="0"/>
        <w:rPr/>
      </w:pPr>
      <w:r>
        <w:rPr/>
        <w:t>* Academic Recognition: Peer-reviewed preprint published on Springer Nature Research Square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and archived with CERN Zenodo.</w:t>
      </w:r>
    </w:p>
    <w:p>
      <w:pPr>
        <w:pStyle w:val="PreformattedText"/>
        <w:bidi w:val="0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Font Awesome 7 Brands" w:cs="Font Awesome 7 Brand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Font Awesome 7 Brands" w:cs="Font Awesome 7 Brand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ont Awesome 7 Brands" w:cs="Font Awesome 7 Brand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