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B45A00"/>
          <w:sz w:val="56"/>
        </w:rPr>
        <w:t>TOKENIA</w:t>
      </w:r>
      <w:r>
        <w:rPr>
          <w:b/>
          <w:color w:val="1F2937"/>
          <w:sz w:val="56"/>
        </w:rPr>
        <w:t xml:space="preserve"> STUDIO</w:t>
      </w:r>
    </w:p>
    <w:p/>
    <w:p/>
    <w:p>
      <w:pPr>
        <w:jc w:val="center"/>
      </w:pPr>
      <w:r>
        <w:rPr>
          <w:b/>
          <w:color w:val="1F2937"/>
          <w:sz w:val="44"/>
        </w:rPr>
        <w:t>MANUAL DE USUARIO</w:t>
      </w:r>
    </w:p>
    <w:p>
      <w:pPr>
        <w:jc w:val="center"/>
      </w:pPr>
      <w:r>
        <w:rPr>
          <w:color w:val="B45A00"/>
          <w:sz w:val="26"/>
        </w:rPr>
        <w:t>Módulo de Presupuesto · PyG Presupuesto vs Real</w:t>
      </w:r>
    </w:p>
    <w:p/>
    <w:p>
      <w:pPr>
        <w:jc w:val="center"/>
      </w:pPr>
      <w:r>
        <w:rPr>
          <w:color w:val="555B66"/>
          <w:sz w:val="24"/>
        </w:rPr>
        <w:t>FMV Dashboard — Cuadro de Mando Financiero</w:t>
      </w:r>
    </w:p>
    <w:p/>
    <w:p/>
    <w:p/>
    <w:p/>
    <w:p/>
    <w:p/>
    <w:p/>
    <w:tbl>
      <w:tblPr>
        <w:tblW w:type="auto" w:w="0"/>
        <w:jc w:val="center"/>
        <w:tblLook w:firstColumn="1" w:firstRow="1" w:lastColumn="0" w:lastRow="0" w:noHBand="0" w:noVBand="1" w:val="04A0"/>
      </w:tblPr>
      <w:tblGrid>
        <w:gridCol w:w="4824"/>
        <w:gridCol w:w="4824"/>
      </w:tblGrid>
      <w:tr>
        <w:tc>
          <w:tcPr>
            <w:tcW w:type="dxa" w:w="2880"/>
          </w:tcPr>
          <w:p>
            <w:pPr>
              <w:spacing w:before="40" w:after="40"/>
              <w:jc w:val="left"/>
            </w:pPr>
            <w:r/>
            <w:r>
              <w:rPr>
                <w:b/>
                <w:color w:val="B45A00"/>
                <w:sz w:val="20"/>
              </w:rPr>
              <w:t>Aplicación</w:t>
            </w:r>
          </w:p>
        </w:tc>
        <w:tc>
          <w:tcPr>
            <w:tcW w:type="dxa" w:w="5760"/>
          </w:tcPr>
          <w:p>
            <w:pPr>
              <w:spacing w:before="40" w:after="40"/>
              <w:jc w:val="left"/>
            </w:pPr>
            <w:r/>
            <w:r>
              <w:rPr>
                <w:b w:val="0"/>
                <w:color w:val="1F2937"/>
                <w:sz w:val="20"/>
              </w:rPr>
              <w:t>FMV Dashboard</w:t>
            </w:r>
          </w:p>
        </w:tc>
      </w:tr>
      <w:tr>
        <w:tc>
          <w:tcPr>
            <w:tcW w:type="dxa" w:w="2880"/>
          </w:tcPr>
          <w:p>
            <w:pPr>
              <w:spacing w:before="40" w:after="40"/>
              <w:jc w:val="left"/>
            </w:pPr>
            <w:r/>
            <w:r>
              <w:rPr>
                <w:b/>
                <w:color w:val="B45A00"/>
                <w:sz w:val="20"/>
              </w:rPr>
              <w:t>Módulo</w:t>
            </w:r>
          </w:p>
        </w:tc>
        <w:tc>
          <w:tcPr>
            <w:tcW w:type="dxa" w:w="5760"/>
          </w:tcPr>
          <w:p>
            <w:pPr>
              <w:spacing w:before="40" w:after="40"/>
              <w:jc w:val="left"/>
            </w:pPr>
            <w:r/>
            <w:r>
              <w:rPr>
                <w:b w:val="0"/>
                <w:color w:val="1F2937"/>
                <w:sz w:val="20"/>
              </w:rPr>
              <w:t>Presupuesto (Presupuesto vs Real)</w:t>
            </w:r>
          </w:p>
        </w:tc>
      </w:tr>
      <w:tr>
        <w:tc>
          <w:tcPr>
            <w:tcW w:type="dxa" w:w="2880"/>
          </w:tcPr>
          <w:p>
            <w:pPr>
              <w:spacing w:before="40" w:after="40"/>
              <w:jc w:val="left"/>
            </w:pPr>
            <w:r/>
            <w:r>
              <w:rPr>
                <w:b/>
                <w:color w:val="B45A00"/>
                <w:sz w:val="20"/>
              </w:rPr>
              <w:t>Dirigido a</w:t>
            </w:r>
          </w:p>
        </w:tc>
        <w:tc>
          <w:tcPr>
            <w:tcW w:type="dxa" w:w="5760"/>
          </w:tcPr>
          <w:p>
            <w:pPr>
              <w:spacing w:before="40" w:after="40"/>
              <w:jc w:val="left"/>
            </w:pPr>
            <w:r/>
            <w:r>
              <w:rPr>
                <w:b w:val="0"/>
                <w:color w:val="1F2937"/>
                <w:sz w:val="20"/>
              </w:rPr>
              <w:t>Dirección y control financiero de FMV</w:t>
            </w:r>
          </w:p>
        </w:tc>
      </w:tr>
      <w:tr>
        <w:tc>
          <w:tcPr>
            <w:tcW w:type="dxa" w:w="2880"/>
          </w:tcPr>
          <w:p>
            <w:pPr>
              <w:spacing w:before="40" w:after="40"/>
              <w:jc w:val="left"/>
            </w:pPr>
            <w:r/>
            <w:r>
              <w:rPr>
                <w:b/>
                <w:color w:val="B45A00"/>
                <w:sz w:val="20"/>
              </w:rPr>
              <w:t>Versión</w:t>
            </w:r>
          </w:p>
        </w:tc>
        <w:tc>
          <w:tcPr>
            <w:tcW w:type="dxa" w:w="5760"/>
          </w:tcPr>
          <w:p>
            <w:pPr>
              <w:spacing w:before="40" w:after="40"/>
              <w:jc w:val="left"/>
            </w:pPr>
            <w:r/>
            <w:r>
              <w:rPr>
                <w:b w:val="0"/>
                <w:color w:val="1F2937"/>
                <w:sz w:val="20"/>
              </w:rPr>
              <w:t>1.0</w:t>
            </w:r>
          </w:p>
        </w:tc>
      </w:tr>
      <w:tr>
        <w:tc>
          <w:tcPr>
            <w:tcW w:type="dxa" w:w="2880"/>
          </w:tcPr>
          <w:p>
            <w:pPr>
              <w:spacing w:before="40" w:after="40"/>
              <w:jc w:val="left"/>
            </w:pPr>
            <w:r/>
            <w:r>
              <w:rPr>
                <w:b/>
                <w:color w:val="B45A00"/>
                <w:sz w:val="20"/>
              </w:rPr>
              <w:t>Fecha</w:t>
            </w:r>
          </w:p>
        </w:tc>
        <w:tc>
          <w:tcPr>
            <w:tcW w:type="dxa" w:w="5760"/>
          </w:tcPr>
          <w:p>
            <w:pPr>
              <w:spacing w:before="40" w:after="40"/>
              <w:jc w:val="left"/>
            </w:pPr>
            <w:r/>
            <w:r>
              <w:rPr>
                <w:b w:val="0"/>
                <w:color w:val="1F2937"/>
                <w:sz w:val="20"/>
              </w:rPr>
              <w:t>15 de junio de 2026</w:t>
            </w:r>
          </w:p>
        </w:tc>
      </w:tr>
    </w:tbl>
    <w:p>
      <w:r>
        <w:br w:type="page"/>
      </w:r>
    </w:p>
    <w:p>
      <w:pPr>
        <w:spacing w:before="320" w:after="80"/>
        <w:pBdr>
          <w:bottom w:val="single" w:sz="6" w:space="4" w:color="E0A458"/>
        </w:pBdr>
      </w:pPr>
      <w:r>
        <w:rPr>
          <w:b/>
          <w:color w:val="B45A00"/>
          <w:sz w:val="30"/>
        </w:rPr>
        <w:t>Para qué sirve este módulo</w:t>
      </w:r>
    </w:p>
    <w:p>
      <w:pPr>
        <w:spacing w:after="80"/>
      </w:pPr>
      <w:r>
        <w:rPr>
          <w:color w:val="1F2937"/>
          <w:sz w:val="21"/>
        </w:rPr>
        <w:t>El módulo de Presupuesto compara, mes a mes y de forma acumulada, el PRESUPUESTO del ejercicio frente a los datos REALES de contabilidad, con la estructura de una cuenta de resultados analítica (PyG): ventas, márgenes, EBITDA y resultado. Permite ver de un vistazo dónde se está cumpliendo el presupuesto y dónde hay desviaciones, y bajar al detalle de cada cuenta y movimiento.</w:t>
      </w:r>
    </w:p>
    <w:p>
      <w:pPr>
        <w:spacing w:before="200" w:after="40"/>
      </w:pPr>
      <w:r>
        <w:rPr>
          <w:b/>
          <w:color w:val="1F2937"/>
          <w:sz w:val="23"/>
        </w:rPr>
        <w:t>En una frase</w:t>
      </w:r>
    </w:p>
    <w:tbl>
      <w:tblPr>
        <w:tblW w:type="auto" w:w="0"/>
        <w:jc w:val="center"/>
        <w:tblLook w:firstColumn="1" w:firstRow="1" w:lastColumn="0" w:lastRow="0" w:noHBand="0" w:noVBand="1" w:val="04A0"/>
      </w:tblPr>
      <w:tblGrid>
        <w:gridCol w:w="9648"/>
      </w:tblGrid>
      <w:tr>
        <w:tc>
          <w:tcPr>
            <w:tcW w:type="dxa" w:w="9648"/>
            <w:shd w:val="clear" w:fill="FEF3C7"/>
          </w:tcPr>
          <w:p>
            <w:pPr>
              <w:spacing w:after="40"/>
            </w:pPr>
            <w:r/>
            <w:r>
              <w:rPr>
                <w:b/>
                <w:color w:val="B45A00"/>
                <w:sz w:val="21"/>
              </w:rPr>
              <w:t>Flujo de trabajo</w:t>
            </w:r>
          </w:p>
          <w:p>
            <w:r>
              <w:rPr>
                <w:color w:val="1F2937"/>
                <w:sz w:val="20"/>
              </w:rPr>
              <w:t>1) Cargas el diario contable (datos reales).  2) Cargas el fichero de presupuesto del año (GL PPT de Business Central).  3) El módulo te muestra Presupuesto vs Real con sus desviaciones, y puedes bajar al detalle y exportar.</w:t>
            </w:r>
          </w:p>
        </w:tc>
      </w:tr>
    </w:tbl>
    <w:p>
      <w:pPr>
        <w:spacing w:after="40"/>
      </w:pPr>
    </w:p>
    <w:p>
      <w:pPr>
        <w:spacing w:before="320" w:after="80"/>
        <w:pBdr>
          <w:bottom w:val="single" w:sz="6" w:space="4" w:color="E0A458"/>
        </w:pBdr>
      </w:pPr>
      <w:r>
        <w:rPr>
          <w:b/>
          <w:color w:val="B45A00"/>
          <w:sz w:val="30"/>
        </w:rPr>
        <w:t>1.  Requisito previo: datos contables</w:t>
      </w:r>
    </w:p>
    <w:p>
      <w:pPr>
        <w:spacing w:after="80"/>
      </w:pPr>
      <w:r>
        <w:rPr>
          <w:color w:val="1F2937"/>
          <w:sz w:val="21"/>
        </w:rPr>
        <w:t>Para que el módulo funcione necesita PRIMERO los datos reales de contabilidad cargados en el Dashboard (el diario contable). Si no los hay, al entrar verás el mensaje:</w:t>
      </w:r>
    </w:p>
    <w:tbl>
      <w:tblPr>
        <w:tblW w:type="auto" w:w="0"/>
        <w:jc w:val="center"/>
        <w:tblLook w:firstColumn="1" w:firstRow="1" w:lastColumn="0" w:lastRow="0" w:noHBand="0" w:noVBand="1" w:val="04A0"/>
      </w:tblPr>
      <w:tblGrid>
        <w:gridCol w:w="9648"/>
      </w:tblGrid>
      <w:tr>
        <w:tc>
          <w:tcPr>
            <w:tcW w:type="dxa" w:w="9648"/>
            <w:shd w:val="clear" w:fill="E8EFF8"/>
          </w:tcPr>
          <w:p>
            <w:pPr>
              <w:spacing w:after="40"/>
            </w:pPr>
            <w:r/>
            <w:r>
              <w:rPr>
                <w:b/>
                <w:color w:val="1F2937"/>
                <w:sz w:val="21"/>
              </w:rPr>
              <w:t>"Sin datos contables"</w:t>
            </w:r>
          </w:p>
          <w:p>
            <w:r>
              <w:rPr>
                <w:color w:val="1F2937"/>
                <w:sz w:val="20"/>
              </w:rPr>
              <w:t>Carga un diario contable primero para ver el presupuesto vs real. Hasta entonces el módulo no puede comparar nada porque no tiene "lo real".</w:t>
            </w:r>
          </w:p>
        </w:tc>
      </w:tr>
    </w:tbl>
    <w:p>
      <w:pPr>
        <w:spacing w:after="40"/>
      </w:pPr>
    </w:p>
    <w:p>
      <w:pPr>
        <w:spacing w:after="80"/>
      </w:pPr>
      <w:r>
        <w:rPr>
          <w:color w:val="1F2937"/>
          <w:sz w:val="21"/>
        </w:rPr>
        <w:t>Una vez cargada la contabilidad, ya puedes cargar el presupuesto.</w:t>
      </w:r>
    </w:p>
    <w:p>
      <w:pPr>
        <w:spacing w:before="320" w:after="80"/>
        <w:pBdr>
          <w:bottom w:val="single" w:sz="6" w:space="4" w:color="E0A458"/>
        </w:pBdr>
      </w:pPr>
      <w:r>
        <w:rPr>
          <w:b/>
          <w:color w:val="B45A00"/>
          <w:sz w:val="30"/>
        </w:rPr>
        <w:t>2.  El fichero de presupuesto</w:t>
      </w:r>
    </w:p>
    <w:p>
      <w:pPr>
        <w:spacing w:before="200" w:after="40"/>
      </w:pPr>
      <w:r>
        <w:rPr>
          <w:b/>
          <w:color w:val="1F2937"/>
          <w:sz w:val="23"/>
        </w:rPr>
        <w:t>Formato</w:t>
      </w:r>
    </w:p>
    <w:p>
      <w:pPr>
        <w:spacing w:after="80"/>
      </w:pPr>
      <w:r>
        <w:rPr>
          <w:color w:val="1F2937"/>
          <w:sz w:val="21"/>
        </w:rPr>
        <w:t>El formato recomendado y que el sistema reconoce de forma nativa es el GL PPT de Business Central: el informe "Presupuesto gastos e ingresos". El sistema lo detecta automáticamente porque las columnas de los meses vienen como fechas en la fila de cabecera.</w:t>
      </w:r>
    </w:p>
    <w:p>
      <w:pPr>
        <w:spacing w:before="200" w:after="40"/>
      </w:pPr>
      <w:r>
        <w:rPr>
          <w:b/>
          <w:color w:val="1F2937"/>
          <w:sz w:val="23"/>
        </w:rPr>
        <w:t>Qué cuentas se tienen en cuenta</w:t>
      </w:r>
    </w:p>
    <w:p>
      <w:pPr>
        <w:pStyle w:val="ListBullet"/>
        <w:spacing w:after="40"/>
      </w:pPr>
      <w:r>
        <w:rPr>
          <w:color w:val="1F2937"/>
          <w:sz w:val="21"/>
        </w:rPr>
        <w:t>Solo se procesan las cuentas de los grupos 6XX (gastos) y 7XX (ingresos).</w:t>
      </w:r>
    </w:p>
    <w:p>
      <w:pPr>
        <w:pStyle w:val="ListBullet"/>
        <w:spacing w:after="40"/>
      </w:pPr>
      <w:r>
        <w:rPr>
          <w:color w:val="1F2937"/>
          <w:sz w:val="21"/>
        </w:rPr>
        <w:t>Los ingresos (7XX) vienen en negativo en el fichero; el sistema les ajusta el signo automáticamente.</w:t>
      </w:r>
    </w:p>
    <w:p>
      <w:pPr>
        <w:pStyle w:val="ListBullet"/>
        <w:spacing w:after="40"/>
      </w:pPr>
      <w:r>
        <w:rPr>
          <w:color w:val="1F2937"/>
          <w:sz w:val="21"/>
        </w:rPr>
        <w:t>El máximo desglose es a 9 dígitos (subcuenta); el sistema agrega también a 3 dígitos y a categoría de PyG.</w:t>
      </w:r>
    </w:p>
    <w:p>
      <w:pPr>
        <w:spacing w:before="200" w:after="40"/>
      </w:pPr>
      <w:r>
        <w:rPr>
          <w:b/>
          <w:color w:val="1F2937"/>
          <w:sz w:val="23"/>
        </w:rPr>
        <w:t>Formatos alternativos admitidos (si no usas el GL PPT)</w:t>
      </w:r>
    </w:p>
    <w:tbl>
      <w:tblPr>
        <w:tblStyle w:val="TableGrid"/>
        <w:tblW w:type="auto" w:w="0"/>
        <w:jc w:val="center"/>
        <w:tblLook w:firstColumn="1" w:firstRow="1" w:lastColumn="0" w:lastRow="0" w:noHBand="0" w:noVBand="1" w:val="04A0"/>
      </w:tblPr>
      <w:tblGrid>
        <w:gridCol w:w="4824"/>
        <w:gridCol w:w="4824"/>
      </w:tblGrid>
      <w:tr>
        <w:tc>
          <w:tcPr>
            <w:tcW w:type="dxa" w:w="2304"/>
            <w:shd w:val="clear" w:fill="1F2937"/>
          </w:tcPr>
          <w:p>
            <w:pPr>
              <w:spacing w:before="40" w:after="40"/>
              <w:jc w:val="left"/>
            </w:pPr>
            <w:r/>
            <w:r>
              <w:rPr>
                <w:b/>
                <w:color w:val="FFFFFF"/>
                <w:sz w:val="19"/>
              </w:rPr>
              <w:t>Formato</w:t>
            </w:r>
          </w:p>
        </w:tc>
        <w:tc>
          <w:tcPr>
            <w:tcW w:type="dxa" w:w="7200"/>
            <w:shd w:val="clear" w:fill="1F2937"/>
          </w:tcPr>
          <w:p>
            <w:pPr>
              <w:spacing w:before="40" w:after="40"/>
              <w:jc w:val="left"/>
            </w:pPr>
            <w:r/>
            <w:r>
              <w:rPr>
                <w:b/>
                <w:color w:val="FFFFFF"/>
                <w:sz w:val="19"/>
              </w:rPr>
              <w:t>Estructura</w:t>
            </w:r>
          </w:p>
        </w:tc>
      </w:tr>
      <w:tr>
        <w:tc>
          <w:tcPr>
            <w:tcW w:type="dxa" w:w="2304"/>
          </w:tcPr>
          <w:p>
            <w:pPr>
              <w:spacing w:before="40" w:after="40"/>
              <w:jc w:val="left"/>
            </w:pPr>
            <w:r/>
            <w:r>
              <w:rPr>
                <w:b w:val="0"/>
                <w:color w:val="1F2937"/>
                <w:sz w:val="19"/>
              </w:rPr>
              <w:t>Horizontal</w:t>
            </w:r>
          </w:p>
        </w:tc>
        <w:tc>
          <w:tcPr>
            <w:tcW w:type="dxa" w:w="7200"/>
          </w:tcPr>
          <w:p>
            <w:pPr>
              <w:spacing w:before="40" w:after="40"/>
              <w:jc w:val="left"/>
            </w:pPr>
            <w:r/>
            <w:r>
              <w:rPr>
                <w:b w:val="0"/>
                <w:color w:val="1F2937"/>
                <w:sz w:val="19"/>
              </w:rPr>
              <w:t>Una fila por cuenta y columnas Ene, Feb … Dic (o meses con nombre completo).</w:t>
            </w:r>
          </w:p>
        </w:tc>
      </w:tr>
      <w:tr>
        <w:tc>
          <w:tcPr>
            <w:tcW w:type="dxa" w:w="2304"/>
            <w:shd w:val="clear" w:fill="F3F4F6"/>
          </w:tcPr>
          <w:p>
            <w:pPr>
              <w:spacing w:before="40" w:after="40"/>
              <w:jc w:val="left"/>
            </w:pPr>
            <w:r/>
            <w:r>
              <w:rPr>
                <w:b w:val="0"/>
                <w:color w:val="1F2937"/>
                <w:sz w:val="19"/>
              </w:rPr>
              <w:t>Vertical</w:t>
            </w:r>
          </w:p>
        </w:tc>
        <w:tc>
          <w:tcPr>
            <w:tcW w:type="dxa" w:w="7200"/>
            <w:shd w:val="clear" w:fill="F3F4F6"/>
          </w:tcPr>
          <w:p>
            <w:pPr>
              <w:spacing w:before="40" w:after="40"/>
              <w:jc w:val="left"/>
            </w:pPr>
            <w:r/>
            <w:r>
              <w:rPr>
                <w:b w:val="0"/>
                <w:color w:val="1F2937"/>
                <w:sz w:val="19"/>
              </w:rPr>
              <w:t>Columnas Cuenta, Mes, Importe (una fila por cuenta y mes).</w:t>
            </w:r>
          </w:p>
        </w:tc>
      </w:tr>
    </w:tbl>
    <w:tbl>
      <w:tblPr>
        <w:tblW w:type="auto" w:w="0"/>
        <w:jc w:val="center"/>
        <w:tblLook w:firstColumn="1" w:firstRow="1" w:lastColumn="0" w:lastRow="0" w:noHBand="0" w:noVBand="1" w:val="04A0"/>
      </w:tblPr>
      <w:tblGrid>
        <w:gridCol w:w="9648"/>
      </w:tblGrid>
      <w:tr>
        <w:tc>
          <w:tcPr>
            <w:tcW w:type="dxa" w:w="9648"/>
            <w:shd w:val="clear" w:fill="FEF3C7"/>
          </w:tcPr>
          <w:p>
            <w:pPr>
              <w:spacing w:after="40"/>
            </w:pPr>
            <w:r/>
            <w:r>
              <w:rPr>
                <w:b/>
                <w:color w:val="B45A00"/>
                <w:sz w:val="21"/>
              </w:rPr>
              <w:t>Importante sobre el año</w:t>
            </w:r>
          </w:p>
          <w:p>
            <w:r>
              <w:rPr>
                <w:color w:val="1F2937"/>
                <w:sz w:val="20"/>
              </w:rPr>
              <w:t>En el formato GL PPT el año va dentro del fichero (en las fechas de cabecera). En los formatos alternativos NO hay año en el fichero: el año lo fija siempre el desplegable "Año" al cargar.</w:t>
            </w:r>
          </w:p>
        </w:tc>
      </w:tr>
    </w:tbl>
    <w:p>
      <w:pPr>
        <w:spacing w:after="40"/>
      </w:pPr>
    </w:p>
    <w:p>
      <w:pPr>
        <w:spacing w:before="320" w:after="80"/>
        <w:pBdr>
          <w:bottom w:val="single" w:sz="6" w:space="4" w:color="E0A458"/>
        </w:pBdr>
      </w:pPr>
      <w:r>
        <w:rPr>
          <w:b/>
          <w:color w:val="B45A00"/>
          <w:sz w:val="30"/>
        </w:rPr>
        <w:t>3.  Cómo cargar el presupuesto</w:t>
      </w:r>
    </w:p>
    <w:p>
      <w:pPr>
        <w:spacing w:after="80"/>
      </w:pPr>
      <w:r>
        <w:rPr>
          <w:color w:val="1F2937"/>
          <w:sz w:val="21"/>
        </w:rPr>
        <w:t>En la pestaña Presupuesto, sigue estos pasos:</w:t>
      </w:r>
    </w:p>
    <w:p>
      <w:pPr>
        <w:spacing w:after="60"/>
        <w:ind w:left="360"/>
      </w:pPr>
      <w:r>
        <w:rPr>
          <w:b/>
          <w:color w:val="B45A00"/>
          <w:sz w:val="21"/>
        </w:rPr>
        <w:t xml:space="preserve">1.  </w:t>
      </w:r>
      <w:r>
        <w:rPr>
          <w:color w:val="1F2937"/>
          <w:sz w:val="21"/>
        </w:rPr>
        <w:t>Localiza el bloque "Cargar Presupuesto" (si ya hay uno cargado, pulsa "Recargar presupuesto" para mostrarlo).</w:t>
      </w:r>
    </w:p>
    <w:p>
      <w:pPr>
        <w:spacing w:after="60"/>
        <w:ind w:left="360"/>
      </w:pPr>
      <w:r>
        <w:rPr>
          <w:b/>
          <w:color w:val="B45A00"/>
          <w:sz w:val="21"/>
        </w:rPr>
        <w:t xml:space="preserve">2.  </w:t>
      </w:r>
      <w:r>
        <w:rPr>
          <w:color w:val="1F2937"/>
          <w:sz w:val="21"/>
        </w:rPr>
        <w:t>En el desplegable "Año", selecciona el ejercicio que vas a cargar (p. ej. 2027).</w:t>
      </w:r>
    </w:p>
    <w:p>
      <w:pPr>
        <w:spacing w:after="60"/>
        <w:ind w:left="360"/>
      </w:pPr>
      <w:r>
        <w:rPr>
          <w:b/>
          <w:color w:val="B45A00"/>
          <w:sz w:val="21"/>
        </w:rPr>
        <w:t xml:space="preserve">3.  </w:t>
      </w:r>
      <w:r>
        <w:rPr>
          <w:color w:val="1F2937"/>
          <w:sz w:val="21"/>
        </w:rPr>
        <w:t>Pulsa "Seleccionar archivo" (o "Reemplazar" si ya había uno) y elige el Excel del presupuesto.</w:t>
      </w:r>
    </w:p>
    <w:p>
      <w:pPr>
        <w:spacing w:after="60"/>
        <w:ind w:left="360"/>
      </w:pPr>
      <w:r>
        <w:rPr>
          <w:b/>
          <w:color w:val="B45A00"/>
          <w:sz w:val="21"/>
        </w:rPr>
        <w:t xml:space="preserve">4.  </w:t>
      </w:r>
      <w:r>
        <w:rPr>
          <w:color w:val="1F2937"/>
          <w:sz w:val="21"/>
        </w:rPr>
        <w:t>Confirma el ejercicio en el aviso que aparece (ver capítulo 4).</w:t>
      </w:r>
    </w:p>
    <w:p>
      <w:pPr>
        <w:spacing w:after="60"/>
        <w:ind w:left="360"/>
      </w:pPr>
      <w:r>
        <w:rPr>
          <w:b/>
          <w:color w:val="B45A00"/>
          <w:sz w:val="21"/>
        </w:rPr>
        <w:t xml:space="preserve">5.  </w:t>
      </w:r>
      <w:r>
        <w:rPr>
          <w:color w:val="1F2937"/>
          <w:sz w:val="21"/>
        </w:rPr>
        <w:t>Espera al mensaje verde de confirmación: "Presupuesto [año] cargado: N líneas".</w:t>
      </w:r>
    </w:p>
    <w:tbl>
      <w:tblPr>
        <w:tblW w:type="auto" w:w="0"/>
        <w:jc w:val="center"/>
        <w:tblLook w:firstColumn="1" w:firstRow="1" w:lastColumn="0" w:lastRow="0" w:noHBand="0" w:noVBand="1" w:val="04A0"/>
      </w:tblPr>
      <w:tblGrid>
        <w:gridCol w:w="9648"/>
      </w:tblGrid>
      <w:tr>
        <w:tc>
          <w:tcPr>
            <w:tcW w:type="dxa" w:w="9648"/>
            <w:shd w:val="clear" w:fill="FEF3C7"/>
          </w:tcPr>
          <w:p>
            <w:pPr>
              <w:spacing w:after="40"/>
            </w:pPr>
            <w:r/>
            <w:r>
              <w:rPr>
                <w:b/>
                <w:color w:val="B45A00"/>
                <w:sz w:val="21"/>
              </w:rPr>
              <w:t>El año lo manda el desplegable</w:t>
            </w:r>
          </w:p>
          <w:p>
            <w:r>
              <w:rPr>
                <w:color w:val="1F2937"/>
                <w:sz w:val="20"/>
              </w:rPr>
              <w:t>El año con el que se guarda el presupuesto es el que eliges en el desplegable, NO el nombre del fichero. Antes de cargar 2027, asegúrate de que el desplegable dice 2027. El año 2027 ya aparece en la lista automáticamente.</w:t>
            </w:r>
          </w:p>
        </w:tc>
      </w:tr>
    </w:tbl>
    <w:p>
      <w:pPr>
        <w:spacing w:after="40"/>
      </w:pPr>
    </w:p>
    <w:p>
      <w:pPr>
        <w:spacing w:after="80"/>
      </w:pPr>
      <w:r>
        <w:rPr>
          <w:color w:val="1F2937"/>
          <w:sz w:val="21"/>
        </w:rPr>
        <w:t>Nota: cargar un presupuesto REEMPLAZA por completo el que hubiera de ese mismo año. No se acumula.</w:t>
      </w:r>
    </w:p>
    <w:p>
      <w:pPr>
        <w:spacing w:before="320" w:after="80"/>
        <w:pBdr>
          <w:bottom w:val="single" w:sz="6" w:space="4" w:color="E0A458"/>
        </w:pBdr>
      </w:pPr>
      <w:r>
        <w:rPr>
          <w:b/>
          <w:color w:val="B45A00"/>
          <w:sz w:val="30"/>
        </w:rPr>
        <w:t>4.  Protecciones contra cargar en el ejercicio incorrecto</w:t>
      </w:r>
    </w:p>
    <w:p>
      <w:pPr>
        <w:spacing w:after="80"/>
      </w:pPr>
      <w:r>
        <w:rPr>
          <w:color w:val="1F2937"/>
          <w:sz w:val="21"/>
        </w:rPr>
        <w:t>El sistema incorpora dos protecciones para evitar volcar, por ejemplo, el presupuesto de 2027 dentro de 2026 por dejar mal el desplegable:</w:t>
      </w:r>
    </w:p>
    <w:p>
      <w:pPr>
        <w:spacing w:before="200" w:after="40"/>
      </w:pPr>
      <w:r>
        <w:rPr>
          <w:b/>
          <w:color w:val="1F2937"/>
          <w:sz w:val="23"/>
        </w:rPr>
        <w:t>Protección 1 — Confirmación del ejercicio</w:t>
      </w:r>
    </w:p>
    <w:p>
      <w:pPr>
        <w:spacing w:after="80"/>
      </w:pPr>
      <w:r>
        <w:rPr>
          <w:color w:val="1F2937"/>
          <w:sz w:val="21"/>
        </w:rPr>
        <w:t>Antes de cargar, aparece un aviso que te obliga a confirmar el año:</w:t>
      </w:r>
    </w:p>
    <w:tbl>
      <w:tblPr>
        <w:tblW w:type="auto" w:w="0"/>
        <w:jc w:val="center"/>
        <w:tblLook w:firstColumn="1" w:firstRow="1" w:lastColumn="0" w:lastRow="0" w:noHBand="0" w:noVBand="1" w:val="04A0"/>
      </w:tblPr>
      <w:tblGrid>
        <w:gridCol w:w="9648"/>
      </w:tblGrid>
      <w:tr>
        <w:tc>
          <w:tcPr>
            <w:tcW w:type="dxa" w:w="9648"/>
            <w:shd w:val="clear" w:fill="E8EFF8"/>
          </w:tcPr>
          <w:p>
            <w:pPr>
              <w:spacing w:after="40"/>
            </w:pPr>
            <w:r/>
            <w:r>
              <w:rPr>
                <w:b/>
                <w:color w:val="1F2937"/>
                <w:sz w:val="21"/>
              </w:rPr>
              <w:t>Aviso de confirmación</w:t>
            </w:r>
          </w:p>
          <w:p>
            <w:r>
              <w:rPr>
                <w:color w:val="1F2937"/>
                <w:sz w:val="20"/>
              </w:rPr>
              <w:t>"Vas a cargar el presupuesto en el ejercicio 2027. Si ya existe un presupuesto de 2027, se REEMPLAZARÁ por completo. ¿El año 2027 es correcto?"  →  Si pulsas Cancelar, no se carga nada.</w:t>
            </w:r>
          </w:p>
        </w:tc>
      </w:tr>
    </w:tbl>
    <w:p>
      <w:pPr>
        <w:spacing w:after="40"/>
      </w:pPr>
    </w:p>
    <w:p>
      <w:pPr>
        <w:spacing w:before="200" w:after="40"/>
      </w:pPr>
      <w:r>
        <w:rPr>
          <w:b/>
          <w:color w:val="1F2937"/>
          <w:sz w:val="23"/>
        </w:rPr>
        <w:t>Protección 2 — Verificación automática del año (solo GL PPT)</w:t>
      </w:r>
    </w:p>
    <w:p>
      <w:pPr>
        <w:spacing w:after="80"/>
      </w:pPr>
      <w:r>
        <w:rPr>
          <w:color w:val="1F2937"/>
          <w:sz w:val="21"/>
        </w:rPr>
        <w:t>Como el GL PPT lleva el año real en las fechas de cabecera, el sistema lo lee y lo compara con el desplegable. Si no coinciden, BLOQUEA la carga y avisa:</w:t>
      </w:r>
    </w:p>
    <w:tbl>
      <w:tblPr>
        <w:tblW w:type="auto" w:w="0"/>
        <w:jc w:val="center"/>
        <w:tblLook w:firstColumn="1" w:firstRow="1" w:lastColumn="0" w:lastRow="0" w:noHBand="0" w:noVBand="1" w:val="04A0"/>
      </w:tblPr>
      <w:tblGrid>
        <w:gridCol w:w="9648"/>
      </w:tblGrid>
      <w:tr>
        <w:tc>
          <w:tcPr>
            <w:tcW w:type="dxa" w:w="9648"/>
            <w:shd w:val="clear" w:fill="FDE8E6"/>
          </w:tcPr>
          <w:p>
            <w:pPr>
              <w:spacing w:after="40"/>
            </w:pPr>
            <w:r/>
            <w:r>
              <w:rPr>
                <w:b/>
                <w:color w:val="B12A1B"/>
                <w:sz w:val="21"/>
              </w:rPr>
              <w:t>Carga bloqueada</w:t>
            </w:r>
          </w:p>
          <w:p>
            <w:r>
              <w:rPr>
                <w:color w:val="1F2937"/>
                <w:sz w:val="20"/>
              </w:rPr>
              <w:t>"El fichero parece ser del año 2027, pero has seleccionado 2026. Cambia el año en el desplegable y vuelve a cargar."  →  No se guarda nada hasta que el año del desplegable coincida con el del fichero.</w:t>
            </w:r>
          </w:p>
        </w:tc>
      </w:tr>
    </w:tbl>
    <w:p>
      <w:pPr>
        <w:spacing w:after="40"/>
      </w:pPr>
    </w:p>
    <w:p>
      <w:pPr>
        <w:spacing w:after="80"/>
      </w:pPr>
      <w:r>
        <w:rPr>
          <w:color w:val="1F2937"/>
          <w:sz w:val="21"/>
        </w:rPr>
        <w:t>Con estas dos protecciones, aunque te despistes con el selector, el dato del fichero manda y te frena antes de mezclar ejercicios.</w:t>
      </w:r>
    </w:p>
    <w:p>
      <w:pPr>
        <w:spacing w:before="320" w:after="80"/>
        <w:pBdr>
          <w:bottom w:val="single" w:sz="6" w:space="4" w:color="E0A458"/>
        </w:pBdr>
      </w:pPr>
      <w:r>
        <w:rPr>
          <w:b/>
          <w:color w:val="B45A00"/>
          <w:sz w:val="30"/>
        </w:rPr>
        <w:t>5.  La tabla Presupuesto vs Real</w:t>
      </w:r>
    </w:p>
    <w:p>
      <w:pPr>
        <w:spacing w:after="80"/>
      </w:pPr>
      <w:r>
        <w:rPr>
          <w:color w:val="1F2937"/>
          <w:sz w:val="21"/>
        </w:rPr>
        <w:t>Una vez cargados contabilidad y presupuesto, verás la tabla "PyG Presupuesto vs Real [año]". En la cabecera tienes el selector de Mes y el botón Exportar.</w:t>
      </w:r>
    </w:p>
    <w:p>
      <w:pPr>
        <w:spacing w:before="200" w:after="40"/>
      </w:pPr>
      <w:r>
        <w:rPr>
          <w:b/>
          <w:color w:val="1F2937"/>
          <w:sz w:val="23"/>
        </w:rPr>
        <w:t>Columnas</w:t>
      </w:r>
    </w:p>
    <w:tbl>
      <w:tblPr>
        <w:tblStyle w:val="TableGrid"/>
        <w:tblW w:type="auto" w:w="0"/>
        <w:jc w:val="center"/>
        <w:tblLook w:firstColumn="1" w:firstRow="1" w:lastColumn="0" w:lastRow="0" w:noHBand="0" w:noVBand="1" w:val="04A0"/>
      </w:tblPr>
      <w:tblGrid>
        <w:gridCol w:w="4824"/>
        <w:gridCol w:w="4824"/>
      </w:tblGrid>
      <w:tr>
        <w:tc>
          <w:tcPr>
            <w:tcW w:type="dxa" w:w="2304"/>
            <w:shd w:val="clear" w:fill="1F2937"/>
          </w:tcPr>
          <w:p>
            <w:pPr>
              <w:spacing w:before="40" w:after="40"/>
              <w:jc w:val="left"/>
            </w:pPr>
            <w:r/>
            <w:r>
              <w:rPr>
                <w:b/>
                <w:color w:val="FFFFFF"/>
                <w:sz w:val="19"/>
              </w:rPr>
              <w:t>Columna</w:t>
            </w:r>
          </w:p>
        </w:tc>
        <w:tc>
          <w:tcPr>
            <w:tcW w:type="dxa" w:w="7200"/>
            <w:shd w:val="clear" w:fill="1F2937"/>
          </w:tcPr>
          <w:p>
            <w:pPr>
              <w:spacing w:before="40" w:after="40"/>
              <w:jc w:val="left"/>
            </w:pPr>
            <w:r/>
            <w:r>
              <w:rPr>
                <w:b/>
                <w:color w:val="FFFFFF"/>
                <w:sz w:val="19"/>
              </w:rPr>
              <w:t>Significado</w:t>
            </w:r>
          </w:p>
        </w:tc>
      </w:tr>
      <w:tr>
        <w:tc>
          <w:tcPr>
            <w:tcW w:type="dxa" w:w="2304"/>
          </w:tcPr>
          <w:p>
            <w:pPr>
              <w:spacing w:before="40" w:after="40"/>
              <w:jc w:val="left"/>
            </w:pPr>
            <w:r/>
            <w:r>
              <w:rPr>
                <w:b w:val="0"/>
                <w:color w:val="1F2937"/>
                <w:sz w:val="19"/>
              </w:rPr>
              <w:t>Concepto</w:t>
            </w:r>
          </w:p>
        </w:tc>
        <w:tc>
          <w:tcPr>
            <w:tcW w:type="dxa" w:w="7200"/>
          </w:tcPr>
          <w:p>
            <w:pPr>
              <w:spacing w:before="40" w:after="40"/>
              <w:jc w:val="left"/>
            </w:pPr>
            <w:r/>
            <w:r>
              <w:rPr>
                <w:b w:val="0"/>
                <w:color w:val="1F2937"/>
                <w:sz w:val="19"/>
              </w:rPr>
              <w:t>Línea del PyG (Ventas, Compras, Margen Bruto, Personal, EBITDA, Resultado…).</w:t>
            </w:r>
          </w:p>
        </w:tc>
      </w:tr>
      <w:tr>
        <w:tc>
          <w:tcPr>
            <w:tcW w:type="dxa" w:w="2304"/>
            <w:shd w:val="clear" w:fill="F3F4F6"/>
          </w:tcPr>
          <w:p>
            <w:pPr>
              <w:spacing w:before="40" w:after="40"/>
              <w:jc w:val="left"/>
            </w:pPr>
            <w:r/>
            <w:r>
              <w:rPr>
                <w:b w:val="0"/>
                <w:color w:val="1F2937"/>
                <w:sz w:val="19"/>
              </w:rPr>
              <w:t>Ppto. Mes</w:t>
            </w:r>
          </w:p>
        </w:tc>
        <w:tc>
          <w:tcPr>
            <w:tcW w:type="dxa" w:w="7200"/>
            <w:shd w:val="clear" w:fill="F3F4F6"/>
          </w:tcPr>
          <w:p>
            <w:pPr>
              <w:spacing w:before="40" w:after="40"/>
              <w:jc w:val="left"/>
            </w:pPr>
            <w:r/>
            <w:r>
              <w:rPr>
                <w:b w:val="0"/>
                <w:color w:val="1F2937"/>
                <w:sz w:val="19"/>
              </w:rPr>
              <w:t>Presupuesto del mes seleccionado.</w:t>
            </w:r>
          </w:p>
        </w:tc>
      </w:tr>
      <w:tr>
        <w:tc>
          <w:tcPr>
            <w:tcW w:type="dxa" w:w="2304"/>
          </w:tcPr>
          <w:p>
            <w:pPr>
              <w:spacing w:before="40" w:after="40"/>
              <w:jc w:val="left"/>
            </w:pPr>
            <w:r/>
            <w:r>
              <w:rPr>
                <w:b w:val="0"/>
                <w:color w:val="1F2937"/>
                <w:sz w:val="19"/>
              </w:rPr>
              <w:t>Real Mes</w:t>
            </w:r>
          </w:p>
        </w:tc>
        <w:tc>
          <w:tcPr>
            <w:tcW w:type="dxa" w:w="7200"/>
          </w:tcPr>
          <w:p>
            <w:pPr>
              <w:spacing w:before="40" w:after="40"/>
              <w:jc w:val="left"/>
            </w:pPr>
            <w:r/>
            <w:r>
              <w:rPr>
                <w:b w:val="0"/>
                <w:color w:val="1F2937"/>
                <w:sz w:val="19"/>
              </w:rPr>
              <w:t>Dato real (contabilidad) del mes seleccionado.</w:t>
            </w:r>
          </w:p>
        </w:tc>
      </w:tr>
      <w:tr>
        <w:tc>
          <w:tcPr>
            <w:tcW w:type="dxa" w:w="2304"/>
            <w:shd w:val="clear" w:fill="F3F4F6"/>
          </w:tcPr>
          <w:p>
            <w:pPr>
              <w:spacing w:before="40" w:after="40"/>
              <w:jc w:val="left"/>
            </w:pPr>
            <w:r/>
            <w:r>
              <w:rPr>
                <w:b w:val="0"/>
                <w:color w:val="1F2937"/>
                <w:sz w:val="19"/>
              </w:rPr>
              <w:t>Var.</w:t>
            </w:r>
          </w:p>
        </w:tc>
        <w:tc>
          <w:tcPr>
            <w:tcW w:type="dxa" w:w="7200"/>
            <w:shd w:val="clear" w:fill="F3F4F6"/>
          </w:tcPr>
          <w:p>
            <w:pPr>
              <w:spacing w:before="40" w:after="40"/>
              <w:jc w:val="left"/>
            </w:pPr>
            <w:r/>
            <w:r>
              <w:rPr>
                <w:b w:val="0"/>
                <w:color w:val="1F2937"/>
                <w:sz w:val="19"/>
              </w:rPr>
              <w:t>Desviación del mes en % (real frente a presupuesto).</w:t>
            </w:r>
          </w:p>
        </w:tc>
      </w:tr>
      <w:tr>
        <w:tc>
          <w:tcPr>
            <w:tcW w:type="dxa" w:w="2304"/>
          </w:tcPr>
          <w:p>
            <w:pPr>
              <w:spacing w:before="40" w:after="40"/>
              <w:jc w:val="left"/>
            </w:pPr>
            <w:r/>
            <w:r>
              <w:rPr>
                <w:b w:val="0"/>
                <w:color w:val="1F2937"/>
                <w:sz w:val="19"/>
              </w:rPr>
              <w:t>Ppto. Acum</w:t>
            </w:r>
          </w:p>
        </w:tc>
        <w:tc>
          <w:tcPr>
            <w:tcW w:type="dxa" w:w="7200"/>
          </w:tcPr>
          <w:p>
            <w:pPr>
              <w:spacing w:before="40" w:after="40"/>
              <w:jc w:val="left"/>
            </w:pPr>
            <w:r/>
            <w:r>
              <w:rPr>
                <w:b w:val="0"/>
                <w:color w:val="1F2937"/>
                <w:sz w:val="19"/>
              </w:rPr>
              <w:t>Presupuesto acumulado de enero al mes seleccionado.</w:t>
            </w:r>
          </w:p>
        </w:tc>
      </w:tr>
      <w:tr>
        <w:tc>
          <w:tcPr>
            <w:tcW w:type="dxa" w:w="2304"/>
            <w:shd w:val="clear" w:fill="F3F4F6"/>
          </w:tcPr>
          <w:p>
            <w:pPr>
              <w:spacing w:before="40" w:after="40"/>
              <w:jc w:val="left"/>
            </w:pPr>
            <w:r/>
            <w:r>
              <w:rPr>
                <w:b w:val="0"/>
                <w:color w:val="1F2937"/>
                <w:sz w:val="19"/>
              </w:rPr>
              <w:t>Real Acum</w:t>
            </w:r>
          </w:p>
        </w:tc>
        <w:tc>
          <w:tcPr>
            <w:tcW w:type="dxa" w:w="7200"/>
            <w:shd w:val="clear" w:fill="F3F4F6"/>
          </w:tcPr>
          <w:p>
            <w:pPr>
              <w:spacing w:before="40" w:after="40"/>
              <w:jc w:val="left"/>
            </w:pPr>
            <w:r/>
            <w:r>
              <w:rPr>
                <w:b w:val="0"/>
                <w:color w:val="1F2937"/>
                <w:sz w:val="19"/>
              </w:rPr>
              <w:t>Real acumulado de enero al mes seleccionado.</w:t>
            </w:r>
          </w:p>
        </w:tc>
      </w:tr>
      <w:tr>
        <w:tc>
          <w:tcPr>
            <w:tcW w:type="dxa" w:w="2304"/>
          </w:tcPr>
          <w:p>
            <w:pPr>
              <w:spacing w:before="40" w:after="40"/>
              <w:jc w:val="left"/>
            </w:pPr>
            <w:r/>
            <w:r>
              <w:rPr>
                <w:b w:val="0"/>
                <w:color w:val="1F2937"/>
                <w:sz w:val="19"/>
              </w:rPr>
              <w:t>Var. (acum.)</w:t>
            </w:r>
          </w:p>
        </w:tc>
        <w:tc>
          <w:tcPr>
            <w:tcW w:type="dxa" w:w="7200"/>
          </w:tcPr>
          <w:p>
            <w:pPr>
              <w:spacing w:before="40" w:after="40"/>
              <w:jc w:val="left"/>
            </w:pPr>
            <w:r/>
            <w:r>
              <w:rPr>
                <w:b w:val="0"/>
                <w:color w:val="1F2937"/>
                <w:sz w:val="19"/>
              </w:rPr>
              <w:t>Desviación acumulada en %.</w:t>
            </w:r>
          </w:p>
        </w:tc>
      </w:tr>
    </w:tbl>
    <w:p>
      <w:pPr>
        <w:spacing w:before="200" w:after="40"/>
      </w:pPr>
      <w:r>
        <w:rPr>
          <w:b/>
          <w:color w:val="1F2937"/>
          <w:sz w:val="23"/>
        </w:rPr>
        <w:t>Selector de mes</w:t>
      </w:r>
    </w:p>
    <w:p>
      <w:pPr>
        <w:spacing w:after="80"/>
      </w:pPr>
      <w:r>
        <w:rPr>
          <w:color w:val="1F2937"/>
          <w:sz w:val="21"/>
        </w:rPr>
        <w:t>El desplegable de la cabecera elige el mes. Las columnas "Mes" muestran ese mes; las columnas "Acum" muestran el acumulado desde enero hasta ese mes.</w:t>
      </w:r>
    </w:p>
    <w:p>
      <w:pPr>
        <w:spacing w:before="200" w:after="40"/>
      </w:pPr>
      <w:r>
        <w:rPr>
          <w:b/>
          <w:color w:val="1F2937"/>
          <w:sz w:val="23"/>
        </w:rPr>
        <w:t>Estructura del PyG</w:t>
      </w:r>
    </w:p>
    <w:p>
      <w:pPr>
        <w:spacing w:after="80"/>
      </w:pPr>
      <w:r>
        <w:rPr>
          <w:color w:val="1F2937"/>
          <w:sz w:val="21"/>
        </w:rPr>
        <w:t>Las líneas siguen una cuenta de resultados analítica, con subtotales calculados automáticamente:</w:t>
      </w:r>
    </w:p>
    <w:p>
      <w:pPr>
        <w:pStyle w:val="ListBullet"/>
        <w:spacing w:after="40"/>
      </w:pPr>
      <w:r>
        <w:rPr>
          <w:color w:val="1F2937"/>
          <w:sz w:val="21"/>
        </w:rPr>
        <w:t>VENTAS  (–) Compras  (±) Var. existencias  →  MARGEN BRUTO</w:t>
      </w:r>
    </w:p>
    <w:p>
      <w:pPr>
        <w:pStyle w:val="ListBullet"/>
        <w:spacing w:after="40"/>
      </w:pPr>
      <w:r>
        <w:rPr>
          <w:color w:val="1F2937"/>
          <w:sz w:val="21"/>
        </w:rPr>
        <w:t>(–) Servicios ext.  (–) Personal  (+) Subvenciones / Otros ing. explotación  →  EBITDA</w:t>
      </w:r>
    </w:p>
    <w:p>
      <w:pPr>
        <w:pStyle w:val="ListBullet"/>
        <w:spacing w:after="40"/>
      </w:pPr>
      <w:r>
        <w:rPr>
          <w:color w:val="1F2937"/>
          <w:sz w:val="21"/>
        </w:rPr>
        <w:t>(–) Resto gastos  (–) Amortizaciones  (–) Gastos financieros  (+) Ing. financieros / excepcionales  →  RESULTADO</w:t>
      </w:r>
    </w:p>
    <w:p>
      <w:pPr>
        <w:spacing w:after="80"/>
      </w:pPr>
      <w:r>
        <w:rPr>
          <w:color w:val="1F2937"/>
          <w:sz w:val="21"/>
        </w:rPr>
        <w:t>Las líneas opcionales (subvenciones, ingresos financieros, etc.) solo aparecen si tienen importe.</w:t>
      </w:r>
    </w:p>
    <w:p>
      <w:pPr>
        <w:spacing w:before="320" w:after="80"/>
        <w:pBdr>
          <w:bottom w:val="single" w:sz="6" w:space="4" w:color="E0A458"/>
        </w:pBdr>
      </w:pPr>
      <w:r>
        <w:rPr>
          <w:b/>
          <w:color w:val="B45A00"/>
          <w:sz w:val="30"/>
        </w:rPr>
        <w:t>6.  Interpretar las desviaciones (colores)</w:t>
      </w:r>
    </w:p>
    <w:p>
      <w:pPr>
        <w:spacing w:after="80"/>
      </w:pPr>
      <w:r>
        <w:rPr>
          <w:color w:val="1F2937"/>
          <w:sz w:val="21"/>
        </w:rPr>
        <w:t>La columna de variación usa color según si la desviación es buena o mala, teniendo en cuenta si la línea es ingreso o gasto:</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2937"/>
          </w:tcPr>
          <w:p>
            <w:pPr>
              <w:spacing w:before="40" w:after="40"/>
              <w:jc w:val="left"/>
            </w:pPr>
            <w:r/>
            <w:r>
              <w:rPr>
                <w:b/>
                <w:color w:val="FFFFFF"/>
                <w:sz w:val="19"/>
              </w:rPr>
              <w:t>Tipo de línea</w:t>
            </w:r>
          </w:p>
        </w:tc>
        <w:tc>
          <w:tcPr>
            <w:tcW w:type="dxa" w:w="3168"/>
            <w:shd w:val="clear" w:fill="1F2937"/>
          </w:tcPr>
          <w:p>
            <w:pPr>
              <w:spacing w:before="40" w:after="40"/>
              <w:jc w:val="left"/>
            </w:pPr>
            <w:r/>
            <w:r>
              <w:rPr>
                <w:b/>
                <w:color w:val="FFFFFF"/>
                <w:sz w:val="19"/>
              </w:rPr>
              <w:t>Verde (favorable)</w:t>
            </w:r>
          </w:p>
        </w:tc>
        <w:tc>
          <w:tcPr>
            <w:tcW w:type="dxa" w:w="3168"/>
            <w:shd w:val="clear" w:fill="1F2937"/>
          </w:tcPr>
          <w:p>
            <w:pPr>
              <w:spacing w:before="40" w:after="40"/>
              <w:jc w:val="left"/>
            </w:pPr>
            <w:r/>
            <w:r>
              <w:rPr>
                <w:b/>
                <w:color w:val="FFFFFF"/>
                <w:sz w:val="19"/>
              </w:rPr>
              <w:t>Rojo (desfavorable)</w:t>
            </w:r>
          </w:p>
        </w:tc>
      </w:tr>
      <w:tr>
        <w:tc>
          <w:tcPr>
            <w:tcW w:type="dxa" w:w="3168"/>
          </w:tcPr>
          <w:p>
            <w:pPr>
              <w:spacing w:before="40" w:after="40"/>
              <w:jc w:val="left"/>
            </w:pPr>
            <w:r/>
            <w:r>
              <w:rPr>
                <w:b w:val="0"/>
                <w:color w:val="1F2937"/>
                <w:sz w:val="19"/>
              </w:rPr>
              <w:t>Ingresos (ventas, etc.)</w:t>
            </w:r>
          </w:p>
        </w:tc>
        <w:tc>
          <w:tcPr>
            <w:tcW w:type="dxa" w:w="3168"/>
          </w:tcPr>
          <w:p>
            <w:pPr>
              <w:spacing w:before="40" w:after="40"/>
              <w:jc w:val="left"/>
            </w:pPr>
            <w:r/>
            <w:r>
              <w:rPr>
                <w:b w:val="0"/>
                <w:color w:val="1F2937"/>
                <w:sz w:val="19"/>
              </w:rPr>
              <w:t>Real por encima del presupuesto</w:t>
            </w:r>
          </w:p>
        </w:tc>
        <w:tc>
          <w:tcPr>
            <w:tcW w:type="dxa" w:w="3168"/>
          </w:tcPr>
          <w:p>
            <w:pPr>
              <w:spacing w:before="40" w:after="40"/>
              <w:jc w:val="left"/>
            </w:pPr>
            <w:r/>
            <w:r>
              <w:rPr>
                <w:b w:val="0"/>
                <w:color w:val="1F2937"/>
                <w:sz w:val="19"/>
              </w:rPr>
              <w:t>Real por debajo del presupuesto</w:t>
            </w:r>
          </w:p>
        </w:tc>
      </w:tr>
      <w:tr>
        <w:tc>
          <w:tcPr>
            <w:tcW w:type="dxa" w:w="3168"/>
            <w:shd w:val="clear" w:fill="F3F4F6"/>
          </w:tcPr>
          <w:p>
            <w:pPr>
              <w:spacing w:before="40" w:after="40"/>
              <w:jc w:val="left"/>
            </w:pPr>
            <w:r/>
            <w:r>
              <w:rPr>
                <w:b w:val="0"/>
                <w:color w:val="1F2937"/>
                <w:sz w:val="19"/>
              </w:rPr>
              <w:t>Gastos (compras, personal…)</w:t>
            </w:r>
          </w:p>
        </w:tc>
        <w:tc>
          <w:tcPr>
            <w:tcW w:type="dxa" w:w="3168"/>
            <w:shd w:val="clear" w:fill="F3F4F6"/>
          </w:tcPr>
          <w:p>
            <w:pPr>
              <w:spacing w:before="40" w:after="40"/>
              <w:jc w:val="left"/>
            </w:pPr>
            <w:r/>
            <w:r>
              <w:rPr>
                <w:b w:val="0"/>
                <w:color w:val="1F2937"/>
                <w:sz w:val="19"/>
              </w:rPr>
              <w:t>Real por debajo del presupuesto</w:t>
            </w:r>
          </w:p>
        </w:tc>
        <w:tc>
          <w:tcPr>
            <w:tcW w:type="dxa" w:w="3168"/>
            <w:shd w:val="clear" w:fill="F3F4F6"/>
          </w:tcPr>
          <w:p>
            <w:pPr>
              <w:spacing w:before="40" w:after="40"/>
              <w:jc w:val="left"/>
            </w:pPr>
            <w:r/>
            <w:r>
              <w:rPr>
                <w:b w:val="0"/>
                <w:color w:val="1F2937"/>
                <w:sz w:val="19"/>
              </w:rPr>
              <w:t>Real por encima del presupuesto</w:t>
            </w:r>
          </w:p>
        </w:tc>
      </w:tr>
    </w:tbl>
    <w:p>
      <w:pPr>
        <w:spacing w:after="80"/>
      </w:pPr>
      <w:r>
        <w:rPr>
          <w:color w:val="1F2937"/>
          <w:sz w:val="21"/>
        </w:rPr>
        <w:t>Es decir: el verde siempre significa "vamos mejor que lo presupuestado" y el rojo "peor", se trate de ingresos o de gastos.</w:t>
      </w:r>
    </w:p>
    <w:p>
      <w:pPr>
        <w:spacing w:before="320" w:after="80"/>
        <w:pBdr>
          <w:bottom w:val="single" w:sz="6" w:space="4" w:color="E0A458"/>
        </w:pBdr>
      </w:pPr>
      <w:r>
        <w:rPr>
          <w:b/>
          <w:color w:val="B45A00"/>
          <w:sz w:val="30"/>
        </w:rPr>
        <w:t>7.  Bajar al detalle (drill-down)</w:t>
      </w:r>
    </w:p>
    <w:p>
      <w:pPr>
        <w:spacing w:after="80"/>
      </w:pPr>
      <w:r>
        <w:rPr>
          <w:color w:val="1F2937"/>
          <w:sz w:val="21"/>
        </w:rPr>
        <w:t>Puedes desplegar cada línea para ver su composición, en tres niveles:</w:t>
      </w:r>
    </w:p>
    <w:p>
      <w:pPr>
        <w:spacing w:after="60"/>
        <w:ind w:left="360"/>
      </w:pPr>
      <w:r>
        <w:rPr>
          <w:b/>
          <w:color w:val="B45A00"/>
          <w:sz w:val="21"/>
        </w:rPr>
        <w:t xml:space="preserve">1.  </w:t>
      </w:r>
      <w:r>
        <w:rPr>
          <w:color w:val="1F2937"/>
          <w:sz w:val="21"/>
        </w:rPr>
        <w:t>Clic en una categoría del PyG (con el triángulo ▶) → muestra las cuentas a 3 dígitos que la componen.</w:t>
      </w:r>
    </w:p>
    <w:p>
      <w:pPr>
        <w:spacing w:after="60"/>
        <w:ind w:left="360"/>
      </w:pPr>
      <w:r>
        <w:rPr>
          <w:b/>
          <w:color w:val="B45A00"/>
          <w:sz w:val="21"/>
        </w:rPr>
        <w:t xml:space="preserve">2.  </w:t>
      </w:r>
      <w:r>
        <w:rPr>
          <w:color w:val="1F2937"/>
          <w:sz w:val="21"/>
        </w:rPr>
        <w:t>Clic en una cuenta de 3 dígitos → muestra sus subcuentas a 9 dígitos (si hay más de una).</w:t>
      </w:r>
    </w:p>
    <w:p>
      <w:pPr>
        <w:spacing w:after="60"/>
        <w:ind w:left="360"/>
      </w:pPr>
      <w:r>
        <w:rPr>
          <w:b/>
          <w:color w:val="B45A00"/>
          <w:sz w:val="21"/>
        </w:rPr>
        <w:t xml:space="preserve">3.  </w:t>
      </w:r>
      <w:r>
        <w:rPr>
          <w:color w:val="1F2937"/>
          <w:sz w:val="21"/>
        </w:rPr>
        <w:t>Cada nivel muestra sus propias columnas de Ppto/Real/Variación, mes y acumulado.</w:t>
      </w:r>
    </w:p>
    <w:p>
      <w:pPr>
        <w:spacing w:after="80"/>
      </w:pPr>
      <w:r>
        <w:rPr>
          <w:color w:val="1F2937"/>
          <w:sz w:val="21"/>
        </w:rPr>
        <w:t>Vuelve a hacer clic para plegar. Los subtotales (Margen Bruto, EBITDA, Resultado) no se despliegan: son cálculos.</w:t>
      </w:r>
    </w:p>
    <w:p>
      <w:pPr>
        <w:spacing w:before="320" w:after="80"/>
        <w:pBdr>
          <w:bottom w:val="single" w:sz="6" w:space="4" w:color="E0A458"/>
        </w:pBdr>
      </w:pPr>
      <w:r>
        <w:rPr>
          <w:b/>
          <w:color w:val="B45A00"/>
          <w:sz w:val="30"/>
        </w:rPr>
        <w:t>8.  Exportar a Excel</w:t>
      </w:r>
    </w:p>
    <w:p>
      <w:pPr>
        <w:spacing w:before="200" w:after="40"/>
      </w:pPr>
      <w:r>
        <w:rPr>
          <w:b/>
          <w:color w:val="1F2937"/>
          <w:sz w:val="23"/>
        </w:rPr>
        <w:t>Exportar toda la tabla</w:t>
      </w:r>
    </w:p>
    <w:p>
      <w:pPr>
        <w:spacing w:after="80"/>
      </w:pPr>
      <w:r>
        <w:rPr>
          <w:color w:val="1F2937"/>
          <w:sz w:val="21"/>
        </w:rPr>
        <w:t>El botón "Exportar" de la cabecera genera un Excel con todas las líneas visibles (Concepto, Ppto/Real del mes y acumulado, y variaciones). El fichero se nombra automáticamente con el año y el mes.</w:t>
      </w:r>
    </w:p>
    <w:p>
      <w:pPr>
        <w:spacing w:before="200" w:after="40"/>
      </w:pPr>
      <w:r>
        <w:rPr>
          <w:b/>
          <w:color w:val="1F2937"/>
          <w:sz w:val="23"/>
        </w:rPr>
        <w:t>Exportar el detalle de movimientos</w:t>
      </w:r>
    </w:p>
    <w:p>
      <w:pPr>
        <w:spacing w:after="80"/>
      </w:pPr>
      <w:r>
        <w:rPr>
          <w:color w:val="1F2937"/>
          <w:sz w:val="21"/>
        </w:rPr>
        <w:t>Haciendo clic sobre cualquier importe de las columnas REAL (mes o acumulado) —en categoría, cuenta de 3 dígitos o subcuenta— se descarga un Excel con los MOVIMIENTOS contables reales que componen esa cifra (fecha, cuenta, descripción, debe, haber, neto, documento y proveedor). Ideal para justificar una desviación.</w:t>
      </w:r>
    </w:p>
    <w:tbl>
      <w:tblPr>
        <w:tblW w:type="auto" w:w="0"/>
        <w:jc w:val="center"/>
        <w:tblLook w:firstColumn="1" w:firstRow="1" w:lastColumn="0" w:lastRow="0" w:noHBand="0" w:noVBand="1" w:val="04A0"/>
      </w:tblPr>
      <w:tblGrid>
        <w:gridCol w:w="9648"/>
      </w:tblGrid>
      <w:tr>
        <w:tc>
          <w:tcPr>
            <w:tcW w:type="dxa" w:w="9648"/>
            <w:shd w:val="clear" w:fill="FEF3C7"/>
          </w:tcPr>
          <w:p>
            <w:pPr>
              <w:spacing w:after="40"/>
            </w:pPr>
            <w:r/>
            <w:r>
              <w:rPr>
                <w:b/>
                <w:color w:val="B45A00"/>
                <w:sz w:val="21"/>
              </w:rPr>
              <w:t>Truco</w:t>
            </w:r>
          </w:p>
          <w:p>
            <w:r>
              <w:rPr>
                <w:color w:val="1F2937"/>
                <w:sz w:val="20"/>
              </w:rPr>
              <w:t>Las cifras de la columna Real están subrayadas al pasar el ratón: ese subrayado indica que puedes pulsarlas para exportar su detalle de movimientos.</w:t>
            </w:r>
          </w:p>
        </w:tc>
      </w:tr>
    </w:tbl>
    <w:p>
      <w:pPr>
        <w:spacing w:after="40"/>
      </w:pPr>
    </w:p>
    <w:p>
      <w:pPr>
        <w:spacing w:before="320" w:after="80"/>
        <w:pBdr>
          <w:bottom w:val="single" w:sz="6" w:space="4" w:color="E0A458"/>
        </w:pBdr>
      </w:pPr>
      <w:r>
        <w:rPr>
          <w:b/>
          <w:color w:val="B45A00"/>
          <w:sz w:val="30"/>
        </w:rPr>
        <w:t>9.  Recargar o cambiar el presupuesto</w:t>
      </w:r>
    </w:p>
    <w:p>
      <w:pPr>
        <w:pStyle w:val="ListBullet"/>
        <w:spacing w:after="40"/>
      </w:pPr>
      <w:r>
        <w:rPr>
          <w:color w:val="1F2937"/>
          <w:sz w:val="21"/>
        </w:rPr>
        <w:t>Para sustituir el presupuesto de un año: selecciona ese año, pulsa "Recargar presupuesto" y carga el fichero nuevo. Reemplaza por completo el anterior de ese año.</w:t>
      </w:r>
    </w:p>
    <w:p>
      <w:pPr>
        <w:pStyle w:val="ListBullet"/>
        <w:spacing w:after="40"/>
      </w:pPr>
      <w:r>
        <w:rPr>
          <w:color w:val="1F2937"/>
          <w:sz w:val="21"/>
        </w:rPr>
        <w:t>Para cargar otro año (p. ej. añadir 2027 manteniendo 2026): cambia el desplegable de año y carga. Cada año se guarda por separado.</w:t>
      </w:r>
    </w:p>
    <w:p>
      <w:pPr>
        <w:pStyle w:val="ListBullet"/>
        <w:spacing w:after="40"/>
      </w:pPr>
      <w:r>
        <w:rPr>
          <w:color w:val="1F2937"/>
          <w:sz w:val="21"/>
        </w:rPr>
        <w:t>El año que se muestra en la tabla es el ejercicio activo del Dashboard (selector de año general).</w:t>
      </w:r>
    </w:p>
    <w:p>
      <w:pPr>
        <w:spacing w:before="320" w:after="80"/>
        <w:pBdr>
          <w:bottom w:val="single" w:sz="6" w:space="4" w:color="E0A458"/>
        </w:pBdr>
      </w:pPr>
      <w:r>
        <w:rPr>
          <w:b/>
          <w:color w:val="B45A00"/>
          <w:sz w:val="30"/>
        </w:rPr>
        <w:t>10.  Problemas frecuentes</w:t>
      </w:r>
    </w:p>
    <w:tbl>
      <w:tblPr>
        <w:tblStyle w:val="TableGrid"/>
        <w:tblW w:type="auto" w:w="0"/>
        <w:jc w:val="center"/>
        <w:tblLook w:firstColumn="1" w:firstRow="1" w:lastColumn="0" w:lastRow="0" w:noHBand="0" w:noVBand="1" w:val="04A0"/>
      </w:tblPr>
      <w:tblGrid>
        <w:gridCol w:w="4824"/>
        <w:gridCol w:w="4824"/>
      </w:tblGrid>
      <w:tr>
        <w:tc>
          <w:tcPr>
            <w:tcW w:type="dxa" w:w="3456"/>
            <w:shd w:val="clear" w:fill="1F2937"/>
          </w:tcPr>
          <w:p>
            <w:pPr>
              <w:spacing w:before="40" w:after="40"/>
              <w:jc w:val="left"/>
            </w:pPr>
            <w:r/>
            <w:r>
              <w:rPr>
                <w:b/>
                <w:color w:val="FFFFFF"/>
                <w:sz w:val="19"/>
              </w:rPr>
              <w:t>Síntoma</w:t>
            </w:r>
          </w:p>
        </w:tc>
        <w:tc>
          <w:tcPr>
            <w:tcW w:type="dxa" w:w="6048"/>
            <w:shd w:val="clear" w:fill="1F2937"/>
          </w:tcPr>
          <w:p>
            <w:pPr>
              <w:spacing w:before="40" w:after="40"/>
              <w:jc w:val="left"/>
            </w:pPr>
            <w:r/>
            <w:r>
              <w:rPr>
                <w:b/>
                <w:color w:val="FFFFFF"/>
                <w:sz w:val="19"/>
              </w:rPr>
              <w:t>Causa y solución</w:t>
            </w:r>
          </w:p>
        </w:tc>
      </w:tr>
      <w:tr>
        <w:tc>
          <w:tcPr>
            <w:tcW w:type="dxa" w:w="3456"/>
          </w:tcPr>
          <w:p>
            <w:pPr>
              <w:spacing w:before="40" w:after="40"/>
              <w:jc w:val="left"/>
            </w:pPr>
            <w:r/>
            <w:r>
              <w:rPr>
                <w:b w:val="0"/>
                <w:color w:val="1F2937"/>
                <w:sz w:val="19"/>
              </w:rPr>
              <w:t>"Sin datos contables"</w:t>
            </w:r>
          </w:p>
        </w:tc>
        <w:tc>
          <w:tcPr>
            <w:tcW w:type="dxa" w:w="6048"/>
          </w:tcPr>
          <w:p>
            <w:pPr>
              <w:spacing w:before="40" w:after="40"/>
              <w:jc w:val="left"/>
            </w:pPr>
            <w:r/>
            <w:r>
              <w:rPr>
                <w:b w:val="0"/>
                <w:color w:val="1F2937"/>
                <w:sz w:val="19"/>
              </w:rPr>
              <w:t>Falta cargar el diario contable. Cárgalo primero.</w:t>
            </w:r>
          </w:p>
        </w:tc>
      </w:tr>
      <w:tr>
        <w:tc>
          <w:tcPr>
            <w:tcW w:type="dxa" w:w="3456"/>
            <w:shd w:val="clear" w:fill="F3F4F6"/>
          </w:tcPr>
          <w:p>
            <w:pPr>
              <w:spacing w:before="40" w:after="40"/>
              <w:jc w:val="left"/>
            </w:pPr>
            <w:r/>
            <w:r>
              <w:rPr>
                <w:b w:val="0"/>
                <w:color w:val="1F2937"/>
                <w:sz w:val="19"/>
              </w:rPr>
              <w:t>"El fichero parece ser del año X…"</w:t>
            </w:r>
          </w:p>
        </w:tc>
        <w:tc>
          <w:tcPr>
            <w:tcW w:type="dxa" w:w="6048"/>
            <w:shd w:val="clear" w:fill="F3F4F6"/>
          </w:tcPr>
          <w:p>
            <w:pPr>
              <w:spacing w:before="40" w:after="40"/>
              <w:jc w:val="left"/>
            </w:pPr>
            <w:r/>
            <w:r>
              <w:rPr>
                <w:b w:val="0"/>
                <w:color w:val="1F2937"/>
                <w:sz w:val="19"/>
              </w:rPr>
              <w:t>El año del desplegable no coincide con el del fichero. Ajusta el desplegable y recarga.</w:t>
            </w:r>
          </w:p>
        </w:tc>
      </w:tr>
      <w:tr>
        <w:tc>
          <w:tcPr>
            <w:tcW w:type="dxa" w:w="3456"/>
          </w:tcPr>
          <w:p>
            <w:pPr>
              <w:spacing w:before="40" w:after="40"/>
              <w:jc w:val="left"/>
            </w:pPr>
            <w:r/>
            <w:r>
              <w:rPr>
                <w:b w:val="0"/>
                <w:color w:val="1F2937"/>
                <w:sz w:val="19"/>
              </w:rPr>
              <w:t>"No se encontraron datos de presupuesto válidos"</w:t>
            </w:r>
          </w:p>
        </w:tc>
        <w:tc>
          <w:tcPr>
            <w:tcW w:type="dxa" w:w="6048"/>
          </w:tcPr>
          <w:p>
            <w:pPr>
              <w:spacing w:before="40" w:after="40"/>
              <w:jc w:val="left"/>
            </w:pPr>
            <w:r/>
            <w:r>
              <w:rPr>
                <w:b w:val="0"/>
                <w:color w:val="1F2937"/>
                <w:sz w:val="19"/>
              </w:rPr>
              <w:t>El Excel no tiene cuentas 6XX/7XX reconocibles. Verifica que es el informe correcto (GL PPT).</w:t>
            </w:r>
          </w:p>
        </w:tc>
      </w:tr>
      <w:tr>
        <w:tc>
          <w:tcPr>
            <w:tcW w:type="dxa" w:w="3456"/>
            <w:shd w:val="clear" w:fill="F3F4F6"/>
          </w:tcPr>
          <w:p>
            <w:pPr>
              <w:spacing w:before="40" w:after="40"/>
              <w:jc w:val="left"/>
            </w:pPr>
            <w:r/>
            <w:r>
              <w:rPr>
                <w:b w:val="0"/>
                <w:color w:val="1F2937"/>
                <w:sz w:val="19"/>
              </w:rPr>
              <w:t>"El archivo está vacío"</w:t>
            </w:r>
          </w:p>
        </w:tc>
        <w:tc>
          <w:tcPr>
            <w:tcW w:type="dxa" w:w="6048"/>
            <w:shd w:val="clear" w:fill="F3F4F6"/>
          </w:tcPr>
          <w:p>
            <w:pPr>
              <w:spacing w:before="40" w:after="40"/>
              <w:jc w:val="left"/>
            </w:pPr>
            <w:r/>
            <w:r>
              <w:rPr>
                <w:b w:val="0"/>
                <w:color w:val="1F2937"/>
                <w:sz w:val="19"/>
              </w:rPr>
              <w:t>La hoja no tiene datos o no es el fichero esperado.</w:t>
            </w:r>
          </w:p>
        </w:tc>
      </w:tr>
      <w:tr>
        <w:tc>
          <w:tcPr>
            <w:tcW w:type="dxa" w:w="3456"/>
          </w:tcPr>
          <w:p>
            <w:pPr>
              <w:spacing w:before="40" w:after="40"/>
              <w:jc w:val="left"/>
            </w:pPr>
            <w:r/>
            <w:r>
              <w:rPr>
                <w:b w:val="0"/>
                <w:color w:val="1F2937"/>
                <w:sz w:val="19"/>
              </w:rPr>
              <w:t>No aparece una línea (p. ej. subvenciones)</w:t>
            </w:r>
          </w:p>
        </w:tc>
        <w:tc>
          <w:tcPr>
            <w:tcW w:type="dxa" w:w="6048"/>
          </w:tcPr>
          <w:p>
            <w:pPr>
              <w:spacing w:before="40" w:after="40"/>
              <w:jc w:val="left"/>
            </w:pPr>
            <w:r/>
            <w:r>
              <w:rPr>
                <w:b w:val="0"/>
                <w:color w:val="1F2937"/>
                <w:sz w:val="19"/>
              </w:rPr>
              <w:t>Es una línea opcional: solo se muestra si tiene importe en presupuesto o real.</w:t>
            </w:r>
          </w:p>
        </w:tc>
      </w:tr>
    </w:tbl>
    <w:p/>
    <w:tbl>
      <w:tblPr>
        <w:tblW w:type="auto" w:w="0"/>
        <w:jc w:val="center"/>
        <w:tblLook w:firstColumn="1" w:firstRow="1" w:lastColumn="0" w:lastRow="0" w:noHBand="0" w:noVBand="1" w:val="04A0"/>
      </w:tblPr>
      <w:tblGrid>
        <w:gridCol w:w="9648"/>
      </w:tblGrid>
      <w:tr>
        <w:tc>
          <w:tcPr>
            <w:tcW w:type="dxa" w:w="9648"/>
            <w:shd w:val="clear" w:fill="E8F4EA"/>
          </w:tcPr>
          <w:p>
            <w:pPr>
              <w:spacing w:after="40"/>
            </w:pPr>
            <w:r/>
            <w:r>
              <w:rPr>
                <w:b/>
                <w:color w:val="1E7A34"/>
                <w:sz w:val="21"/>
              </w:rPr>
              <w:t>Resumen rápido</w:t>
            </w:r>
          </w:p>
          <w:p>
            <w:r>
              <w:rPr>
                <w:color w:val="1F2937"/>
                <w:sz w:val="20"/>
              </w:rPr>
              <w:t>Carga contabilidad → selecciona el año correcto → carga el GL PPT y confirma el ejercicio → revisa desviaciones (verde = mejor, rojo = peor) → despliega para el detalle → exporta lo que necesites.</w:t>
            </w:r>
          </w:p>
        </w:tc>
      </w:tr>
    </w:tbl>
    <w:p>
      <w:pPr>
        <w:spacing w:after="40"/>
      </w:pPr>
    </w:p>
    <w:p/>
    <w:p>
      <w:pPr>
        <w:jc w:val="center"/>
      </w:pPr>
      <w:r>
        <w:rPr>
          <w:color w:val="8A8F98"/>
          <w:sz w:val="20"/>
        </w:rPr>
        <w:t>— Fin del manual —</w:t>
      </w:r>
    </w:p>
    <w:p>
      <w:pPr>
        <w:jc w:val="center"/>
      </w:pPr>
      <w:r>
        <w:rPr>
          <w:i/>
          <w:color w:val="B45A00"/>
          <w:sz w:val="18"/>
        </w:rPr>
        <w:t>Powered by TOKENIA Studio</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F98"/>
        <w:sz w:val="16"/>
      </w:rPr>
      <w:t>TOKENIA Automation SLU · Manual Presupuesto · FMV Dashboard · v1.0 · 15/06/2026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