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consensus suppresses low-frequency, copy-specific variation and keeps the sufficiently supported sequence states of neighbouring copies. On mouse B2 SINEs single copies have a median identity of 0.82 to the nearest published subfamily consensus, the rows 0.94, and groups whose diagnostic variation is hard to recognise among single copies can be seen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main consensus patterns remain recognisable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the closest-ends rule is greedy and does not minimise the total distance along the order. Letters other than A, C, G, T and U are skipped when k-mers are counted, so k-mers can span an N or another ambiguity code; the B2 examples exclude copies with N. Restarting the k-mer window at an N changed nothing measurable: with an N run of 1–10 bases in 1,000 of the 3,000 B2 copies, the same 37 of the 60 rows recurred with and without the restart (Additional file 7).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