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and aligns the plurality consensuses of the chunks, with a table of the copies behind every row. Every copy contributes to one row, and a row summarises its copies rather than sampling them: the mutations that each copy acquired on its own drop out of the consensus, while the bases that neighbouring copies share remain. On mouse B2 SINEs single copies have a median identity of 0.82 to the nearest published subfamily consensus, the rows 0.94, and groups that are lost in the noise of single copies stand out as blocks of rows. SubFam needs neither a reference nor an identity cutoff; its main parameter is N. A family of up to millions of copies can be run on a random sample: about 30,000 copies give some 600 rows, still a readable alignment. On B2 and human Alu SINEs the published consensuses appear among the rows; on 5′-truncated human LINE-1 copies the rows extend as far as their copies do. The rows stand when the copies carry short flanks or come in another order, and without the ordering chunks mix dissimilar copies. The consensus writer reproduces EMBOSS cons byte for byte, and the output does not depend on the number of threads.</w:t>
      </w:r>
    </w:p>
    <w:p>
      <w:r>
        <w:rPr>
          <w:b/>
          <w:i w:val="0"/>
        </w:rPr>
        <w:t>Conclusions.</w:t>
      </w:r>
      <w:r>
        <w:rPr>
          <w:b w:val="0"/>
          <w:i w:val="0"/>
        </w:rPr>
        <w:t xml:space="preserve"> SubFam turns a pile of raw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MeShClust [5]) groups copies above an identity cutoff, which is tuned to one level of divergence; statistical subfamily methods, from the genome-wide Alu analysis of Price et al. [6] to COSEG [7], define subfamilies on copies aligned to one reference over a shared window; library-curation tools such as TEtrimmer [8] refine one family consensus at a time from a genome.</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Each copy carries, besides the bases of its group, mutations of its own, scattered over its length and rarely shared; in the consensus of similar copies these drop out and the shared bases remain. A row therefore shows the features of its copies' group more clearly than any one copy does, and a group whose copies look like noise one by one appears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and the case is kept through the final alignment.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present in one or a few of them does not, so the consensus keeps what the chunk has in common and drops what is private to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a group needs roughly N copies to obtain a row of its own,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needs about N copies in the sample to obtain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xml:space="preserve">: 3,600 consensus runs and 80 MSF files, no difference). The distance matrix agrees with a brute-force computation, and the C and Python orderings give byte-identical orders on 292 synthetic cases. For the same input file, output is byte-identical across runs and thread counts;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390 of the copies (a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private differences are gone, and what remains are the bases and indels that set the groups apart: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Sanger-sequenced polymorphic Alu loci (Konkel et al. [19]),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needs about N copies in the sample.</w:t>
      </w:r>
    </w:p>
    <w:p>
      <w:pPr>
        <w:keepNext/>
      </w:pPr>
      <w:r>
        <w:rPr>
          <w:b/>
          <w:i/>
          <w:sz w:val="24"/>
        </w:rPr>
        <w:t>Input preparation (Additional file 7)</w:t>
      </w:r>
    </w:p>
    <w:p>
      <w:r>
        <w:rPr>
          <w:b w:val="0"/>
          <w:i w:val="0"/>
        </w:rPr>
        <w:t>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two shuffled input orders (47 and 36), and the published consensuses of the family (Dfam and Vassetzky et al. [16]) are found among the rows at the same identities as without flanks (for example B2c 0.994 without flanks, 0.979 and 0.969 with them).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Nothing is left out: every copy contributes to one row, and each row condenses its copies into the bases they share, so that variants shared by a group are visible in the rows while the noise of single copies is not.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on copies that span a common window of one reference alignment (full-length copies in Price et al.); TEtrimmer curates a library one family at a time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 bases they share, so the noise of single copies falls away and the features of groups of copies become visible.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and </w:t>
      </w:r>
      <w:r>
        <w:rPr>
          <w:rFonts w:ascii="Courier New" w:hAnsi="Courier New"/>
          <w:b w:val="0"/>
          <w:i w:val="0"/>
        </w:rPr>
        <w:t>copies_vs_rows.sh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differences private to single copies in (b) are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two shuffled input orders,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