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neighboring copies, calls a plurality consensus for each chunk, and aligns the consensuses. Each row summarizes its copies rather than picking a single representative: the consensus suppresses variation private to one or a few copies and keeps the bases supported by enough neighboring copies. The result is a manageable alignment that represents the input collection, in which groups of similar copies, when present in the data, become apparent as blocks of adjacent rows. SubFam needs neither a reference nor an identity cutoff; its one substantive parameter is N. When a family is too large to process with SubFam directly, it can be represented by a random sample drawn before the run, so that the sample captures the family’s main diversity while still yielding a readable alignment of chunk consensuses. The main consensus patterns remain recognizable with modest flanking sequence and shuffled input orders, although chunk membership changes, and without the ordering chunks mix dissimilar copies. The consensus writer reproduces EMBOSS cons byte for byte, and the default output is byte-identical across thread counts.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visualization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 sufficiently supported bases are kept and low-frequency variants are suppressed. A row therefore shows the features of its copies' group more clearly than any one copy does, and a group whose variation is hard to recognize among single copies can be seen in the rows as a block. Whether a row, or a block of rows, is a subfamily is a judgment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neighbors are similar across subtree boundaries, which is what makes fixed windows along it meaningful. This step aligns nothing, and the tree is a device for a linear order, not a phylogeny; copies or clusters at exactly equal distances are taken in the order of their position in the file, so a different input order gives a different order of the leaves and different chunks (Results, Input preparation); the closest-ends rule is greedy and does not minimize the total distance along the order. Letters other than A, C, G, T and U are skipped when k-mers are counted, so k-mers can span an N or another ambiguity code; the B2 examples exclude copies with N. Restarting the k-mer window at an N did not materially change the result: with an N run of 1–10 bases in 1,000 of the 3,000 B2 copies, both versions recovered 37 of the 60 original rows at ≥ 0.95 identity (median best identities 0.956 and 0.962), and the copy pairs kept in the same chunk against the N-free run were 0.166 and 0.170 (Additional file 7). N runs themselves change chunk membership more than a reshuffle does (0.17 against 0.39 of pairs kept), so copies with many ambiguous bases are best removed before the run.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carried by a minority of them (fewer than a fraction p of the chunk) does not, so the consensus keeps the well-supported sequence of the chunk and suppresses variation carried by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N sets the approximate number of input copies behind each row; a group of roughly N copies may fill one or more chunks or share a chunk with neighboring groups, depending on its place in the ordering,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of fewer than about N copies in the sample is unlikely to be represented by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summarize: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low-frequency differences are largely suppressed, and the bases and indels that set the groups apart remain: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of fewer than about N copies is unlikely to obtain a row of its own.</w:t>
      </w:r>
    </w:p>
    <w:p>
      <w:pPr>
        <w:keepNext/>
      </w:pPr>
      <w:r>
        <w:rPr>
          <w:b/>
          <w:i/>
          <w:sz w:val="24"/>
        </w:rPr>
        <w:t>Input preparation (Additional file 7)</w:t>
      </w:r>
    </w:p>
    <w:p>
      <w:r>
        <w:rPr>
          <w:b w:val="0"/>
          <w:i w:val="0"/>
        </w:rPr>
        <w:t xml:space="preserve">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twelve shuffled input orders (36–47 of 60; for ten of them the median best identity of an original row was 0.96 and about 0.39 of the copy pairs stayed together),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 The dependence of chunk membership on input order has a known cause: copies at equal distances are ordered by their position in the file (the smallest distance was tied at 144 of the 2,999 merges of the B2 run, and the ten shuffled trees shared 79–96 % of their clades with the unshuffled tree). In an experimental build that breaks such ties by sequence content, the trees of all ten shuffles were identical to the unshuffled one and SubFam returned the same chunks and rows for three shuffles (copy pairs kept 1.000); that build is not the release described here (SubFam 1.5.1, whose order is that of ViewAlign's kmer-tree.js), and </w:t>
      </w:r>
      <w:r>
        <w:rPr>
          <w:rFonts w:ascii="Courier New" w:hAnsi="Courier New"/>
          <w:b w:val="0"/>
          <w:i w:val="0"/>
        </w:rPr>
        <w:t>benchmark/order_invariance/</w:t>
      </w:r>
      <w:r>
        <w:rPr>
          <w:b w:val="0"/>
          <w:i w:val="0"/>
        </w:rPr>
        <w:t xml:space="preserve"> holds its code.</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 input copy is omitted: every copy is assigned to a chunk and contributes to its consensus, and each row condenses its copies into their dominant sequence, so that variants well supported in a group are visible in the rows while low-frequency variation of single copies is suppressed.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recognizes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The chunks depend on the order of the input file through the tie-breaking of the ordering, while the main patterns of the rows persist (Results, Input preparation).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neighboring copies into their dominant sequence, so the low-frequency variation of single copies is suppressed and the features of groups of copies become easier to see.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w:t>
      </w:r>
      <w:r>
        <w:rPr>
          <w:rFonts w:ascii="Courier New" w:hAnsi="Courier New"/>
          <w:b w:val="0"/>
          <w:i w:val="0"/>
        </w:rPr>
        <w:t>copies_vs_rows.sh</w:t>
      </w:r>
      <w:r>
        <w:rPr>
          <w:b w:val="0"/>
          <w:i w:val="0"/>
        </w:rPr>
        <w:t xml:space="preserve"> and </w:t>
      </w:r>
      <w:r>
        <w:rPr>
          <w:rFonts w:ascii="Courier New" w:hAnsi="Courier New"/>
          <w:b w:val="0"/>
          <w:i w:val="0"/>
        </w:rPr>
        <w:t>permutations_and_N.sh</w:t>
      </w:r>
      <w:r>
        <w:rPr>
          <w:b w:val="0"/>
          <w:i w:val="0"/>
        </w:rPr>
        <w:t xml:space="preserve">, </w:t>
      </w:r>
      <w:r>
        <w:rPr>
          <w:rFonts w:ascii="Courier New" w:hAnsi="Courier New"/>
          <w:b w:val="0"/>
          <w:i w:val="0"/>
        </w:rPr>
        <w:t>benchmark/order_invariance/</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Gray,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low-frequency differences of single copies in (b) are largely absent from the consensuses, and the differences between groups remain. Copies and consensuses are one MAFFT alignment, of which the 220 of 1,105 columns present in at least 25 % of the copies are shown. Light gray,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twelve shuffled input orders, with N runs inserted,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