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in place of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too large for many of the tools that follow, such as aligners, tree builders and library curation. Researchers who study repeat families need a compact view of the copies that keeps their variation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aligns each chunk, calls a plurality consensus for each chunk and aligns the consensuses. The output is an alignment of chunk consensuses ordered by similarity, with a table of the copies behind every row. It needs neither a reference nor an identity cutoff, and its main parameter is N, the number of copies per row. A family of up to millions of copies can be run on a random sample: at the default N, about 30,000 copies give some 600 rows, which a reader can still take in at once. On mouse B2 and human Alu SINEs the published consensuses of the family appear among the rows and on B2 the lineages of the family form blocks of rows; on 5′-truncated human LINE-1 copies the rows extend as far as their copies do. The rows stand when the copies carry short flanks or come in another order. Without the ordering, chunks mix dissimilar copies. Every row traces back to its member copies, which SubFam can write out for further work. The consensus writer reproduces EMBOSS cons byte for byte, and the output does not depend on the number of threads.</w:t>
      </w:r>
    </w:p>
    <w:p>
      <w:r>
        <w:rPr>
          <w:b/>
          <w:i w:val="0"/>
        </w:rPr>
        <w:t>Conclusions.</w:t>
      </w:r>
      <w:r>
        <w:rPr>
          <w:b w:val="0"/>
          <w:i w:val="0"/>
        </w:rPr>
        <w:t xml:space="preserve"> SubFam turns a pile of raw copies into an ordered alignment that a person can read and a downstream tool can take.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MeShClust [5]) groups copies above an identity cutoff, which is tuned to one level of divergence; statistical subfamily methods, from the genome-wide Alu analysis of Price et al. [6] to COSEG [7], define subfamilies on copies aligned to one reference over a shared window; library-curation tools such as TEtrimmer [8] refine one family consensus at a time from a genome.</w:t>
      </w:r>
    </w:p>
    <w:p>
      <w:r>
        <w:rPr>
          <w:b w:val="0"/>
          <w:i w:val="0"/>
        </w:rPr>
        <w:t>Between the raw copies and these analyses lies a practical step: making the heap of copies visible and small enough to work with.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the consensus of a chunk of neighbouring copies;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uses no labels: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xml:space="preserve">: 3,600 consensus runs and 80 MSF files, no difference). The distance matrix agrees with a brute-force computation, and the C and Python orderings give byte-identical orders on 292 synthetic cases. For the same input file, output is byte-identical across runs and thread counts;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390 of the copies (a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and the 20 consensuses carry the same structure in 20 rows.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Input preparation (Additional file 8)</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two shuffled input orders (47 and 36), and the published consensuses of the family (Dfam and Vassetzky et al. [16]) are found among the rows at the same identities as without flanks (for example B2c 0.994 without flanks, 0.979 and 0.969 with them).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on copies that span a common window of one reference alignment (full-length copies in Price et al.); TEtrimmer curates a library one family at a time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 xml:space="preserve">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7</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and </w:t>
      </w:r>
      <w:r>
        <w:rPr>
          <w:rFonts w:ascii="Courier New" w:hAnsi="Courier New"/>
          <w:b w:val="0"/>
          <w:i w:val="0"/>
        </w:rPr>
        <w:t>flanks2.sh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(ZIP). Source code of SubFam 1.5.1, as archived </w:t>
      </w:r>
      <w:r>
        <w:rPr>
          <w:b w:val="0"/>
          <w:highlight w:val="yellow"/>
        </w:rPr>
        <w:t>[AUTHOR: Zenodo DOI]</w:t>
      </w:r>
      <w:r>
        <w:rPr>
          <w:b w:val="0"/>
          <w:i w:val="0"/>
        </w:rPr>
        <w:t>.</w:t>
      </w:r>
    </w:p>
    <w:p>
      <w:r>
        <w:rPr>
          <w:b/>
          <w:i w:val="0"/>
        </w:rPr>
        <w:t>Additional file 8</w:t>
      </w:r>
      <w:r>
        <w:rPr>
          <w:b w:val="0"/>
          <w:i w:val="0"/>
        </w:rPr>
        <w:t xml:space="preserve"> (CSV). Input preparation. The 3,000 B2 copies of Example 1 without flanks, in two shuffled input orders, and with 25, 100 and 500 bp of their own flank on each side: copy pairs kept in the same chunk, element-only rows recurring at ≥ 0.95 identity, and the best identity of each Dfam and Vassetzky et al. [16] consensus among the rows.</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