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in place of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and to give to the tools that follow (aligners, tree builders, library curation). Clustering at a fixed identity suits one age of family at a time: a cutoff that separates the groups of a young family fragments an old family into singletons, and a cutoff that holds an old family together merges the groups of a young one.</w:t>
      </w:r>
    </w:p>
    <w:p>
      <w:r>
        <w:rPr>
          <w:b/>
          <w:i w:val="0"/>
        </w:rPr>
        <w:t>Results.</w:t>
      </w:r>
      <w:r>
        <w:rPr>
          <w:b w:val="0"/>
          <w:i w:val="0"/>
        </w:rPr>
        <w:t xml:space="preserve"> SubFam orders the copies along a k-mer guide tree, cuts the order into chunks of N neighbouring copies, aligns each chunk, calls a plurality consensus for each aligned chunk and aligns the consensuses. The output is a compact alignment, ordered by similarity, with a table of the copies behind every row; it needs neither a reference nor an identity cutoff, and N, the number of copies per row, is its one substantive parameter. A family of any size, up to millions of copies, is handled through a random sample: at the default N, about 30,000 copies give some 600 rows, about as many as a reader and an alignment viewer can take in at once, and independent samples give the same picture. In tests on mouse B2 and human Alu SINEs and on 5′-truncated human LINE-1 copies, the known lineages of each family appear as blocks of rows. An ablation shows that the result rests on the combination of the steps: chunks of unordered copies are as impure as a single family-wide consensus. Identity clustering of the same copies with VSEARCH or MeShClust2 either fragments the old families into singletons or merges across their groups; on the young family it reaches the same purity as SubFam while leaving a tenth of the copies unplaced.</w:t>
      </w:r>
    </w:p>
    <w:p>
      <w:r>
        <w:rPr>
          <w:b/>
          <w:i w:val="0"/>
        </w:rPr>
        <w:t>Conclusions.</w:t>
      </w:r>
      <w:r>
        <w:rPr>
          <w:b w:val="0"/>
          <w:i w:val="0"/>
        </w:rPr>
        <w:t xml:space="preserve"> SubFam turns a pile of raw copies into an ordered, inspectable alignment that a person can read and a downstream tool can take. Defining subfamilies and placing orphan and truncated copies are left to the steps that follow.</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Such a collection is too large to inspect and too heterogeneous to group with one identity cutoff. Identity-based clustering (CD-HIT [1], VSEARCH [2], MMseqs2 [3, 4], MeShClust [5]) returns either a real copy, which carries its own private mutations, or a cluster consensus whose content depends on where the cutoff fell, and leaves every copy below the cutoff on its own. Methods that define subfamilies statistically, from the genome-wide Alu analysis of Price et al. [6] to COSEG [7], require every copy aligned to one reference over a shared window and set truncated copies aside. Library-curation tools such as TEtrimmer [8] start from a genome and refine one family consensus at a time. Annotation assigns each copy its best-scoring library consensus, a label without a stated uncertainty.</w:t>
      </w:r>
    </w:p>
    <w:p>
      <w:r>
        <w:rPr>
          <w:b w:val="0"/>
          <w:i w:val="0"/>
        </w:rPr>
        <w:t>Between the gold standard of manual curation and a researcher's computational analysis lies a practical gap: the heap of raw copies that neither a person nor a pipeline can take as it is. SubFam fills that gap, and only that gap. Its two objectives are (1) a visually observable presentation of a variety of similar sequences, at various degrees of intra- and inter-group variability, as similarity subgroups, and (2) an alignment proxy: a compact, ordered alignment of chunk consensuses that stands for thousands of repetitive sequences in the tools that cannot take them all. SubFam works without an identity cutoff and without a reference. A row is the consensus of a chunk of neighbouring copies; whether a row, or a block of rows, is a subfamily is a judgement for the researcher or for a dedicated method, and orphan and truncated copies are placed by the steps that follow.</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flipped so that their closest ends meet; the leaf order of this tree is a sequence in which neighbours are similar across subtree boundaries, which is what makes fixed windows along it meaningful. This step aligns nothing. The distance matrix agrees with a brute-force computation and the output is byte-identical across thread counts. (2) </w:t>
      </w:r>
      <w:r>
        <w:rPr>
          <w:b w:val="0"/>
          <w:i/>
        </w:rPr>
        <w:t>Chunk.</w:t>
      </w:r>
      <w:r>
        <w:rPr>
          <w:b w:val="0"/>
          <w:i w:val="0"/>
        </w:rPr>
        <w:t xml:space="preserve"> The order is cut into round(n / N) consecutive blocks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its positive-scoring matches reach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(4) </w:t>
      </w:r>
      <w:r>
        <w:rPr>
          <w:b w:val="0"/>
          <w:i/>
        </w:rPr>
        <w:t>Align.</w:t>
      </w:r>
      <w:r>
        <w:rPr>
          <w:b w:val="0"/>
          <w:i w:val="0"/>
        </w:rPr>
        <w:t xml:space="preserve"> The chunk consensuses are aligned with MAFFT L-INS-i: with full iterative refinement up to 300 consensuses, with two refinement rounds up to 1,000 (most of the gain at a tenth of the time), and in MAFFT's automatic mode beyond. Outputs: the consensuses, their alignment (FASTA and multiple sequence format, MSF), a table of copy, chunk and strand, and a label-free table of chunk statistics (size, consensus length, share of weakly supported bases, agreement of the members with the consensus, lowest member identity, gap share). Two options lead back to the original loci: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Grouping of the rows (by diagnostic columns, by a tree cut, by annotation) is the next step and is left to it.</w:t>
      </w:r>
    </w:p>
    <w:p>
      <w:r>
        <w:rPr>
          <w:b/>
          <w:i w:val="0"/>
        </w:rPr>
        <w:t>Parameter.</w:t>
      </w:r>
      <w:r>
        <w:rPr>
          <w:b w:val="0"/>
          <w:i w:val="0"/>
        </w:rPr>
        <w:t xml:space="preserve"> N is the resolution in copies: a group needs roughly N copies to obtain a row of its own. The default of 50 is the smallest chunk that still keeps the properties of a sequence group and gives a plurality consensus with statistical weight: at p = 0.36 a base needs 18 agreeing copies, enough for the private mutations of single copies to cancel out, whereas chunks of 20 call a consensus on 8 copies and follow the noise of diverged or damaged copies. In the simulations the rows of N = 50 represent their copies more closely than those of N = 20 (a copy's own row is its best-matching row for 98.1 against 95.0 % of copies in the young family and 57.5 against 48.9 % in the old one), while N = 20 recovers rare subfamilies of 40–60 copies that N = 50 merges, and N = 100 dilutes the rare groups further. N = 20 is the setting for small or rare groups, N = 50 the default for a family. On the B2 example the purity of the chunks against annotation labels moves by 0.05 over N = 20–100, by at most 0.04 over k = 4–10, by 0.02 between random samples of the copies, and stays the same for p = 0.25–0.5, since p shapes the consensus and leaves the chunk membership unchanged.</w:t>
      </w:r>
    </w:p>
    <w:p>
      <w:r>
        <w:rPr>
          <w:b/>
          <w:i w:val="0"/>
        </w:rPr>
        <w:t>Input size.</w:t>
      </w:r>
      <w:r>
        <w:rPr>
          <w:b w:val="0"/>
          <w:i w:val="0"/>
        </w:rPr>
        <w:t xml:space="preserve"> The examples use 3,000 and 30,000 copies for a reason: at N = 50 they give 60 and 600 rows, and 600 rows is about the most an alignment viewer and a reader can take in at once. A larger input brings no further view: copies from many diverged groups distort one alignment, and copies that form close groups compress to the same few hundred consensuses, so a bigger sample is better handled as a larger N, a random subsample, or the cascade of the Discussion. SubFam does not sample by itself: the sample is drawn before the run with any sampling tool (for example </w:t>
      </w:r>
      <w:r>
        <w:rPr>
          <w:rFonts w:ascii="Courier New" w:hAnsi="Courier New"/>
          <w:b w:val="0"/>
          <w:i w:val="0"/>
        </w:rPr>
        <w:t>seqkit sample</w:t>
      </w:r>
      <w:r>
        <w:rPr>
          <w:b w:val="0"/>
          <w:i w:val="0"/>
        </w:rPr>
        <w:t>; the 30,000-copy samples of Example 4 were drawn at random with seed 1), and its size, not that of the whole family, sets time and memory. A group needs about N copies in the sample to obtain a row of its own, so rare groups are recovered less often (Example 4).</w:t>
      </w:r>
    </w:p>
    <w:p>
      <w:r>
        <w:rPr>
          <w:b/>
          <w:i w:val="0"/>
        </w:rPr>
        <w:t>Scale.</w:t>
      </w:r>
      <w:r>
        <w:rPr>
          <w:b w:val="0"/>
          <w:i w:val="0"/>
        </w:rPr>
        <w:t xml:space="preserve"> The k-mer ordering holds a dense n × n float32 matrix, about 4·n² bytes (0.8 GB at 10,000 copies, 2.2 GB at 20,000, 3.6 GB at 30,000); SubFam compares this with the free memory of the machine and stops with a message when it does not fit. PartTree ordering [11] (</w:t>
      </w:r>
      <w:r>
        <w:rPr>
          <w:rFonts w:ascii="Courier New" w:hAnsi="Courier New"/>
          <w:b w:val="0"/>
          <w:i w:val="0"/>
        </w:rPr>
        <w:t>-P</w:t>
      </w:r>
      <w:r>
        <w:rPr>
          <w:b w:val="0"/>
          <w:i w:val="0"/>
        </w:rPr>
        <w:t xml:space="preserve">) replaces the matrix and needs far less memory, at a cost in chunk purity: 10,000 and 20,000 simulated copies took 65 and 173 s at 104 and 194 MB, against 75 and 247 s at 839 and 2,216 MB for the k-mer path, with all eight simulated sources recovered either way and chunk purity 0.89–0.90 against 0.92–0.95; on 30,000 real Alu copies the purity fell from 0.472 to 0.400 (Example 4). </w:t>
      </w:r>
      <w:r>
        <w:rPr>
          <w:rFonts w:ascii="Courier New" w:hAnsi="Courier New"/>
          <w:b w:val="0"/>
          <w:i w:val="0"/>
        </w:rPr>
        <w:t>-P</w:t>
      </w:r>
      <w:r>
        <w:rPr>
          <w:b w:val="0"/>
          <w:i w:val="0"/>
        </w:rPr>
        <w:t xml:space="preserve"> is therefore meant only for inputs whose matrix does not fit in memory.</w:t>
      </w:r>
    </w:p>
    <w:p>
      <w:r>
        <w:rPr>
          <w:b/>
          <w:i w:val="0"/>
        </w:rPr>
        <w:t>Equivalence and tests.</w:t>
      </w:r>
      <w:r>
        <w:rPr>
          <w:b w:val="0"/>
          <w:i w:val="0"/>
        </w:rPr>
        <w:t xml:space="preserve"> The consensus and MSF writers reproduce EMBOSS cons and seqret byte for byte. The consensus and chunk-statistics code agrees with independent reimplementations on 8,000 random alignments under two awk implementations, and the chunk splitter places every sequence in exactly one chunk for every input size from 1 to 30 and N from 2 to 10 (code review of 2026-10-11). The C and Python orderings give byte-identical orders on 292 synthetic cases; 26 robustness cases (awkward but legal inputs, determinism across runs and thread counts) either keep every input record or stop with a message; malformed input (duplicate or reserved ids, empty records, protein) is refused.</w:t>
      </w:r>
    </w:p>
    <w:p>
      <w:r>
        <w:rPr>
          <w:b/>
          <w:i w:val="0"/>
        </w:rPr>
        <w:t>Presentation of the examples.</w:t>
      </w:r>
      <w:r>
        <w:rPr>
          <w:b w:val="0"/>
          <w:i w:val="0"/>
        </w:rPr>
        <w:t xml:space="preserve"> Every example alignment (Additional file 1) is one MAFFT alignment of three kinds of row: </w:t>
      </w:r>
      <w:r>
        <w:rPr>
          <w:b w:val="0"/>
          <w:i/>
        </w:rPr>
        <w:t>class consensuses</w:t>
      </w:r>
      <w:r>
        <w:rPr>
          <w:b w:val="0"/>
          <w:i w:val="0"/>
        </w:rPr>
        <w:t xml:space="preserve"> (</w:t>
      </w:r>
      <w:r>
        <w:rPr>
          <w:rFonts w:ascii="Courier New" w:hAnsi="Courier New"/>
          <w:b w:val="0"/>
          <w:i w:val="0"/>
        </w:rPr>
        <w:t>CLASSCONS_&lt;class&gt;</w:t>
      </w:r>
      <w:r>
        <w:rPr>
          <w:b w:val="0"/>
          <w:i w:val="0"/>
        </w:rPr>
        <w:t xml:space="preserve">: the plurality consensus of the real member copies of a labelled class, the best any method could reach given the labels, and distinct from the truth), </w:t>
      </w:r>
      <w:r>
        <w:rPr>
          <w:b w:val="0"/>
          <w:i/>
        </w:rPr>
        <w:t>published consensuses</w:t>
      </w:r>
      <w:r>
        <w:rPr>
          <w:b w:val="0"/>
          <w:i w:val="0"/>
        </w:rPr>
        <w:t xml:space="preserve"> (Dfam [12], Price et al. [6]), and the SubFam rows, each named </w:t>
      </w:r>
      <w:r>
        <w:rPr>
          <w:rFonts w:ascii="Courier New" w:hAnsi="Courier New"/>
          <w:b w:val="0"/>
          <w:i w:val="0"/>
        </w:rPr>
        <w:t>&lt;chunk&gt;|&lt;class&gt;|p&lt;purity&gt;</w:t>
      </w:r>
      <w:r>
        <w:rPr>
          <w:b w:val="0"/>
          <w:i w:val="0"/>
        </w:rPr>
        <w:t xml:space="preserve">, purity being the fraction of the chunk's copies in its majority class. Labels (RepeatMasker [13] classes, published subfamilies) serve to colour and to score; the method itself uses none of them. The identity of every SubFam row to the head of its group is in </w:t>
      </w:r>
      <w:r>
        <w:rPr>
          <w:rFonts w:ascii="Courier New" w:hAnsi="Courier New"/>
          <w:b w:val="0"/>
          <w:i w:val="0"/>
        </w:rPr>
        <w:t>&lt;file&gt;.rows.tsv</w:t>
      </w:r>
      <w:r>
        <w:rPr>
          <w:b w:val="0"/>
          <w:i w:val="0"/>
        </w:rPr>
        <w:t>.</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xml:space="preserve">, giving 60 rows in 19 s. Grouped by RepeatMasker class, with each class's member consensus and the Dfam consensus as heads (Figure 1), the 60 rows have a median identity of 0.959 to the head of their own class (minimum 0.836), and 5 rows lie closer to another head. The k-mer order separates the B3 and B2 lineages into blocks of chunks (B3/B3A: chunks 1–21 and 46–60; B2: chunks 22–45). Inside the B2 block the three Repbase [15] names interleave, and B2_Mm1t, whose consensus differs from B2_Mm1a at 2 of 193 positions, has no rows of its own; the old B3A class (542 copies) shares its rows with B3. The alignment shows this structure; the question of whether the Repbase names or an indel-based classification of the family (Vassetzky et al. [16]) fit the copies better belongs to another paper; the two classifications are compared in Additional file 2 </w:t>
      </w:r>
      <w:r>
        <w:rPr>
          <w:b w:val="0"/>
          <w:highlight w:val="yellow"/>
        </w:rPr>
        <w:t>[AUTHOR: state that you co-authored that classification]</w:t>
      </w:r>
      <w:r>
        <w:rPr>
          <w:b w:val="0"/>
          <w:i w:val="0"/>
        </w:rPr>
        <w:t>.</w:t>
      </w:r>
    </w:p>
    <w:p>
      <w:r>
        <w:rPr>
          <w:b w:val="0"/>
          <w:i/>
        </w:rPr>
        <w:t>From chaos to order (Figure 2).</w:t>
      </w:r>
      <w:r>
        <w:rPr>
          <w:b w:val="0"/>
          <w:i w:val="0"/>
        </w:rPr>
        <w:t xml:space="preserve"> To make the method visible, 390 of the copies (a stratified random sample over four groups of the family,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and the 20 consensuses carry the same structure in 20 rows.</w:t>
      </w:r>
    </w:p>
    <w:p>
      <w:r>
        <w:rPr>
          <w:b w:val="0"/>
          <w:i/>
        </w:rPr>
        <w:t>Limit.</w:t>
      </w:r>
      <w:r>
        <w:rPr>
          <w:b w:val="0"/>
          <w:i w:val="0"/>
        </w:rPr>
        <w:t xml:space="preserve"> The oldest copies of the family, about 70 % identical to their own consensus, mix across chunks at N = 50, and the alignment shows that mixing as it is. At 25–30 % divergence between copies this is the limit of every copy-level method.</w:t>
      </w:r>
    </w:p>
    <w:p>
      <w:pPr>
        <w:keepNext/>
      </w:pPr>
      <w:r>
        <w:rPr>
          <w:b/>
          <w:i/>
          <w:sz w:val="24"/>
        </w:rPr>
        <w:t>Example 2: 5′-truncated LINE-1 (L1) copies (Additional file 3)</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against the head of their RepeatMasker class they have a median identity of 0.993 (minimum 0.955), and 17 of 111 rows lie closer to a neighbouring class's head. The L1PA classes are consecutive age classes of one lineage [17, 18] whose consensuses differ at 8–31 of about 900 positions; the chunks follow them at the resolution of neighbouring classes (PA2 + PA3, PA4–PA6, PA7 + PA8). </w:t>
      </w:r>
      <w:r>
        <w:rPr>
          <w:b w:val="0"/>
          <w:i/>
        </w:rPr>
        <w:t>Limit.</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4). For 5′-truncated families the recommended use is to run SubFam on the region the copies share, or on the long copies, and to place the fragments afterwards.</w:t>
      </w:r>
    </w:p>
    <w:p>
      <w:pPr>
        <w:keepNext/>
      </w:pPr>
      <w:r>
        <w:rPr>
          <w:b/>
          <w:i/>
          <w:sz w:val="24"/>
        </w:rPr>
        <w:t>Example 3: young Alu loci (Additional file 5)</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(Discussion). The references are the consensuses that labelled these copies, so this example illustrates the output rather than validating it. A genome-wide Alu run, on 30,000 copies of hg38 chr1, is part of Example 4.</w:t>
      </w:r>
    </w:p>
    <w:p>
      <w:pPr>
        <w:keepNext/>
      </w:pPr>
      <w:r>
        <w:rPr>
          <w:b/>
          <w:i/>
          <w:sz w:val="24"/>
        </w:rPr>
        <w:t>Example 4: the same family at 30,000 copies (stress case)</w:t>
      </w:r>
    </w:p>
    <w:p>
      <w:r>
        <w:rPr>
          <w:b w:val="0"/>
          <w:i w:val="0"/>
        </w:rPr>
        <w:t xml:space="preserve">Full-length B2 copies of mm39 chromosomes 1–3 (41,989; the rule of Example 1), a random 30,000 (seed 1), </w:t>
      </w:r>
      <w:r>
        <w:rPr>
          <w:rFonts w:ascii="Courier New" w:hAnsi="Courier New"/>
          <w:b w:val="0"/>
          <w:i w:val="0"/>
        </w:rPr>
        <w:t>-n 50</w:t>
      </w:r>
      <w:r>
        <w:rPr>
          <w:b w:val="0"/>
          <w:i w:val="0"/>
        </w:rPr>
        <w:t xml:space="preserve">: 600 rows, 588 of them distinct, in 6.3 min at 4.1 GB with the k-mer order (13 min with the processor shared) and in 7 min at 0.7 GB with </w:t>
      </w:r>
      <w:r>
        <w:rPr>
          <w:rFonts w:ascii="Courier New" w:hAnsi="Courier New"/>
          <w:b w:val="0"/>
          <w:i w:val="0"/>
        </w:rPr>
        <w:t>-P</w:t>
      </w:r>
      <w:r>
        <w:rPr>
          <w:b w:val="0"/>
          <w:i w:val="0"/>
        </w:rPr>
        <w:t xml:space="preserve"> (Additional file 6). Chunk purity against the RepeatMasker class is 0.805 (0.756 with </w:t>
      </w:r>
      <w:r>
        <w:rPr>
          <w:rFonts w:ascii="Courier New" w:hAnsi="Courier New"/>
          <w:b w:val="0"/>
          <w:i w:val="0"/>
        </w:rPr>
        <w:t>-P</w:t>
      </w:r>
      <w:r>
        <w:rPr>
          <w:b w:val="0"/>
          <w:i w:val="0"/>
        </w:rPr>
        <w:t xml:space="preserve">; 0.804 and 0.809 for two further random samples of the same copies), against 0.793 at 3,000 copies, so the picture of Example 1 holds at ten times the size. The Dfam consensuses are in the rows at identity 1.000 (B2_Mm1a), 0.995 (B2_Mm2), 0.984 (B2_Mm1t), 0.943 (B3) and 0.889 (B3A), the last two being the old classes whose copies are 25–30 % diverged; 35 of the 60 rows of the chr19 run have a row at ≥ 0.95 among the 600, the rest being B3/B3A rows. For comparison, 30,000 full-length Alu copies of hg38 chr1 (of 76,301) give 600 rows in 12 min at 4.3 GB (chunk purity against the RepeatMasker name 0.472; with </w:t>
      </w:r>
      <w:r>
        <w:rPr>
          <w:rFonts w:ascii="Courier New" w:hAnsi="Courier New"/>
          <w:b w:val="0"/>
          <w:i w:val="0"/>
        </w:rPr>
        <w:t>-P</w:t>
      </w:r>
      <w:r>
        <w:rPr>
          <w:b w:val="0"/>
          <w:i w:val="0"/>
        </w:rPr>
        <w:t xml:space="preserve"> 6.7 min at 0.8 GB and purity 0.400) in which 25 of the 26 Dfam human Alu families with 50 or more expected copies in the sample are present at ≥ 0.95 identity (21 at 0.98; median best identity 0.994), and 9 of the 10 families with fewer than 10 expected copies. In SubFam's row order the 600 rows form one block of B2 chunks (Mm2, Mm1t and Mm1a interleaved, the 11-bp deletion of the B2 lineage visible as a shared gap) flanked by B3/B3A chunks on both sides, the structure of the 60-row run at ten times the resolution (Additional file 7). At </w:t>
      </w:r>
      <w:r>
        <w:rPr>
          <w:rFonts w:ascii="Courier New" w:hAnsi="Courier New"/>
          <w:b w:val="0"/>
          <w:i w:val="0"/>
        </w:rPr>
        <w:t>-n 20</w:t>
      </w:r>
      <w:r>
        <w:rPr>
          <w:b w:val="0"/>
          <w:i w:val="0"/>
        </w:rPr>
        <w:t xml:space="preserve"> the same 30,000 B2 copies give 1,500 rows (1,486 distinct) at purity 0.826 in 15 min. On the Alu sample all 74 Price et al. [6] subfamilies expected to have 50 or more copies in the sample are present at ≥ 0.95 identity (61 at 0.98), 88 of 90 with 10–50 expected copies and 45 of 49 with fewer; recovery falls with the expected copy number, as a chunk needs about N copies of a group.</w:t>
      </w:r>
    </w:p>
    <w:p>
      <w:pPr>
        <w:keepNext/>
      </w:pPr>
      <w:r>
        <w:rPr>
          <w:b/>
          <w:i/>
          <w:sz w:val="24"/>
        </w:rPr>
        <w:t>What each step contributes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provenance table comes from their combination, and the ablation measures the share of each. On the 3,000 B2 copies with N = 50 the label-free chunk statistics rank the variants in the same order as purity against the RepeatMasker label (Table 1).</w:t>
      </w:r>
    </w:p>
    <w:p>
      <w:r>
        <w:rPr>
          <w:b/>
          <w:i w:val="0"/>
        </w:rPr>
        <w:t>Table 1.</w:t>
      </w:r>
      <w:r>
        <w:rPr>
          <w:b w:val="0"/>
          <w:i w:val="0"/>
        </w:rPr>
        <w:t xml:space="preserve"> Contribution of each step of SubFam: ablation on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purity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0.79</w:t>
            </w:r>
          </w:p>
        </w:tc>
      </w:tr>
      <w:tr>
        <w:tc>
          <w:tcPr>
            <w:tcW w:type="dxa" w:w="2160"/>
          </w:tcPr>
          <w:p>
            <w:pPr>
              <w:spacing w:line="240" w:lineRule="auto"/>
            </w:pPr>
            <w:r>
              <w:rPr>
                <w:b w:val="0"/>
                <w:i w:val="0"/>
              </w:rPr>
              <w:t>ordering removed: shuffled input, same chunks</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0.43</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0.43</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0.73</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0.77</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0.42</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purity, fraction of the copies that carry the majority RepeatMasker label of their chunk; –, not applicable.</w:t>
      </w:r>
    </w:p>
    <w:p>
      <w:r>
        <w:rPr>
          <w:b w:val="0"/>
          <w:i w:val="0"/>
        </w:rPr>
        <w:t>Chunks of unordered copies are as impure as a single family consensus; the generic guide-tree order supplies most of the gain, the k-mer order with the flip the rest; with the consensus step removed, the researcher is left with the 3,000-row alignment.</w:t>
      </w:r>
    </w:p>
    <w:p>
      <w:pPr>
        <w:keepNext/>
      </w:pPr>
      <w:r>
        <w:rPr>
          <w:b/>
          <w:i/>
          <w:sz w:val="24"/>
        </w:rPr>
        <w:t>Against identity clustering (Table 2)</w:t>
      </w:r>
    </w:p>
    <w:p>
      <w:r>
        <w:rPr>
          <w:rFonts w:ascii="Courier New" w:hAnsi="Courier New"/>
          <w:b w:val="0"/>
          <w:i w:val="0"/>
        </w:rPr>
        <w:t>vsearch --cluster_fast</w:t>
      </w:r>
      <w:r>
        <w:rPr>
          <w:b w:val="0"/>
          <w:i w:val="0"/>
        </w:rPr>
        <w:t xml:space="preserve"> and MeShClust2 [23] (mean-shift assignment on alignment-free identity) at several identities, beside the SubFam chunks and a single family-wide consensus. Purity is the fraction of copies carrying the majority label of their group; a "real" group has at least 10 copies; distinct rows are counted after collapsing identical consensus sequences (Table 2).</w:t>
      </w:r>
    </w:p>
    <w:p>
      <w:r>
        <w:rPr>
          <w:b/>
          <w:i w:val="0"/>
        </w:rPr>
        <w:t>Table 2.</w:t>
      </w:r>
      <w:r>
        <w:rPr>
          <w:b w:val="0"/>
          <w:i w:val="0"/>
        </w:rPr>
        <w:t xml:space="preserve"> SubFam chunks against identity clustering with VSEARCH and MeShClust2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b/>
                <w:i w:val="0"/>
              </w:rPr>
              <w:t>example</w:t>
            </w:r>
          </w:p>
        </w:tc>
        <w:tc>
          <w:tcPr>
            <w:tcW w:type="dxa" w:w="1440"/>
          </w:tcPr>
          <w:p>
            <w:pPr>
              <w:spacing w:line="240" w:lineRule="auto"/>
            </w:pPr>
            <w:r>
              <w:rPr>
                <w:b/>
                <w:i w:val="0"/>
              </w:rPr>
              <w:t>method</w:t>
            </w:r>
          </w:p>
        </w:tc>
        <w:tc>
          <w:tcPr>
            <w:tcW w:type="dxa" w:w="1440"/>
          </w:tcPr>
          <w:p>
            <w:pPr>
              <w:spacing w:line="240" w:lineRule="auto"/>
            </w:pPr>
            <w:r>
              <w:rPr>
                <w:b/>
                <w:i w:val="0"/>
              </w:rPr>
              <w:t>groups</w:t>
            </w:r>
          </w:p>
        </w:tc>
        <w:tc>
          <w:tcPr>
            <w:tcW w:type="dxa" w:w="1440"/>
          </w:tcPr>
          <w:p>
            <w:pPr>
              <w:spacing w:line="240" w:lineRule="auto"/>
            </w:pPr>
            <w:r>
              <w:rPr>
                <w:b/>
                <w:i w:val="0"/>
              </w:rPr>
              <w:t>singletons</w:t>
            </w:r>
          </w:p>
        </w:tc>
        <w:tc>
          <w:tcPr>
            <w:tcW w:type="dxa" w:w="1440"/>
          </w:tcPr>
          <w:p>
            <w:pPr>
              <w:spacing w:line="240" w:lineRule="auto"/>
            </w:pPr>
            <w:r>
              <w:rPr>
                <w:b/>
                <w:i w:val="0"/>
              </w:rPr>
              <w:t>copies in groups ≥ 10</w:t>
            </w:r>
          </w:p>
        </w:tc>
        <w:tc>
          <w:tcPr>
            <w:tcW w:type="dxa" w:w="1440"/>
          </w:tcPr>
          <w:p>
            <w:pPr>
              <w:spacing w:line="240" w:lineRule="auto"/>
            </w:pPr>
            <w:r>
              <w:rPr>
                <w:b/>
                <w:i w:val="0"/>
              </w:rPr>
              <w:t>purity of those</w:t>
            </w:r>
          </w:p>
        </w:tc>
      </w:tr>
      <w:tr>
        <w:tc>
          <w:tcPr>
            <w:tcW w:type="dxa" w:w="1440"/>
          </w:tcPr>
          <w:p>
            <w:pPr>
              <w:spacing w:line="240" w:lineRule="auto"/>
            </w:pPr>
            <w:r>
              <w:rPr>
                <w:b w:val="0"/>
                <w:i w:val="0"/>
              </w:rPr>
              <w:t>B2, 3000 copies</w:t>
            </w:r>
          </w:p>
        </w:tc>
        <w:tc>
          <w:tcPr>
            <w:tcW w:type="dxa" w:w="1440"/>
          </w:tcPr>
          <w:p>
            <w:pPr>
              <w:spacing w:line="240" w:lineRule="auto"/>
            </w:pPr>
            <w:r>
              <w:rPr>
                <w:b w:val="0"/>
                <w:i w:val="0"/>
              </w:rPr>
              <w:t>one consensus</w:t>
            </w:r>
          </w:p>
        </w:tc>
        <w:tc>
          <w:tcPr>
            <w:tcW w:type="dxa" w:w="1440"/>
          </w:tcPr>
          <w:p>
            <w:pPr>
              <w:spacing w:line="240" w:lineRule="auto"/>
            </w:pPr>
            <w:r>
              <w:rPr>
                <w:b w:val="0"/>
                <w:i w:val="0"/>
              </w:rPr>
              <w:t>1</w:t>
            </w:r>
          </w:p>
        </w:tc>
        <w:tc>
          <w:tcPr>
            <w:tcW w:type="dxa" w:w="1440"/>
          </w:tcPr>
          <w:p>
            <w:pPr>
              <w:spacing w:line="240" w:lineRule="auto"/>
            </w:pPr>
            <w:r>
              <w:rPr>
                <w:b w:val="0"/>
                <w:i w:val="0"/>
              </w:rPr>
              <w:t>0</w:t>
            </w:r>
          </w:p>
        </w:tc>
        <w:tc>
          <w:tcPr>
            <w:tcW w:type="dxa" w:w="1440"/>
          </w:tcPr>
          <w:p>
            <w:pPr>
              <w:spacing w:line="240" w:lineRule="auto"/>
            </w:pPr>
            <w:r>
              <w:rPr>
                <w:b w:val="0"/>
                <w:i w:val="0"/>
              </w:rPr>
              <w:t>100 %</w:t>
            </w:r>
          </w:p>
        </w:tc>
        <w:tc>
          <w:tcPr>
            <w:tcW w:type="dxa" w:w="1440"/>
          </w:tcPr>
          <w:p>
            <w:pPr>
              <w:spacing w:line="240" w:lineRule="auto"/>
            </w:pPr>
            <w:r>
              <w:rPr>
                <w:b w:val="0"/>
                <w:i w:val="0"/>
              </w:rPr>
              <w:t>0.42</w:t>
            </w:r>
          </w:p>
        </w:tc>
      </w:tr>
      <w:tr>
        <w:tc>
          <w:tcPr>
            <w:tcW w:type="dxa" w:w="1440"/>
          </w:tcPr>
          <w:p>
            <w:pPr>
              <w:spacing w:line="240" w:lineRule="auto"/>
            </w:pPr>
          </w:p>
        </w:tc>
        <w:tc>
          <w:tcPr>
            <w:tcW w:type="dxa" w:w="1440"/>
          </w:tcPr>
          <w:p>
            <w:pPr>
              <w:spacing w:line="240" w:lineRule="auto"/>
            </w:pPr>
            <w:r>
              <w:rPr>
                <w:b/>
                <w:i w:val="0"/>
              </w:rPr>
              <w:t>SubFam N = 50</w:t>
            </w:r>
            <w:r>
              <w:rPr>
                <w:b w:val="0"/>
                <w:i w:val="0"/>
              </w:rPr>
              <w:t xml:space="preserve"> (60 distinct rows)</w:t>
            </w:r>
          </w:p>
        </w:tc>
        <w:tc>
          <w:tcPr>
            <w:tcW w:type="dxa" w:w="1440"/>
          </w:tcPr>
          <w:p>
            <w:pPr>
              <w:spacing w:line="240" w:lineRule="auto"/>
            </w:pPr>
            <w:r>
              <w:rPr>
                <w:b/>
                <w:i w:val="0"/>
              </w:rPr>
              <w:t>60</w:t>
            </w:r>
          </w:p>
        </w:tc>
        <w:tc>
          <w:tcPr>
            <w:tcW w:type="dxa" w:w="1440"/>
          </w:tcPr>
          <w:p>
            <w:pPr>
              <w:spacing w:line="240" w:lineRule="auto"/>
            </w:pPr>
            <w:r>
              <w:rPr>
                <w:b/>
                <w:i w:val="0"/>
              </w:rPr>
              <w:t>0</w:t>
            </w:r>
          </w:p>
        </w:tc>
        <w:tc>
          <w:tcPr>
            <w:tcW w:type="dxa" w:w="1440"/>
          </w:tcPr>
          <w:p>
            <w:pPr>
              <w:spacing w:line="240" w:lineRule="auto"/>
            </w:pPr>
            <w:r>
              <w:rPr>
                <w:b/>
                <w:i w:val="0"/>
              </w:rPr>
              <w:t>100 %</w:t>
            </w:r>
          </w:p>
        </w:tc>
        <w:tc>
          <w:tcPr>
            <w:tcW w:type="dxa" w:w="1440"/>
          </w:tcPr>
          <w:p>
            <w:pPr>
              <w:spacing w:line="240" w:lineRule="auto"/>
            </w:pPr>
            <w:r>
              <w:rPr>
                <w:b/>
                <w:i w:val="0"/>
              </w:rPr>
              <w:t>0.79</w:t>
            </w:r>
          </w:p>
        </w:tc>
      </w:tr>
      <w:tr>
        <w:tc>
          <w:tcPr>
            <w:tcW w:type="dxa" w:w="1440"/>
          </w:tcPr>
          <w:p>
            <w:pPr>
              <w:spacing w:line="240" w:lineRule="auto"/>
            </w:pPr>
          </w:p>
        </w:tc>
        <w:tc>
          <w:tcPr>
            <w:tcW w:type="dxa" w:w="1440"/>
          </w:tcPr>
          <w:p>
            <w:pPr>
              <w:spacing w:line="240" w:lineRule="auto"/>
            </w:pPr>
            <w:r>
              <w:rPr>
                <w:b w:val="0"/>
                <w:i w:val="0"/>
              </w:rPr>
              <w:t>vsearch 0.60 / 0.80 / 0.95</w:t>
            </w:r>
          </w:p>
        </w:tc>
        <w:tc>
          <w:tcPr>
            <w:tcW w:type="dxa" w:w="1440"/>
          </w:tcPr>
          <w:p>
            <w:pPr>
              <w:spacing w:line="240" w:lineRule="auto"/>
            </w:pPr>
            <w:r>
              <w:rPr>
                <w:b w:val="0"/>
                <w:i w:val="0"/>
              </w:rPr>
              <w:t>632 / 1992 / 2868</w:t>
            </w:r>
          </w:p>
        </w:tc>
        <w:tc>
          <w:tcPr>
            <w:tcW w:type="dxa" w:w="1440"/>
          </w:tcPr>
          <w:p>
            <w:pPr>
              <w:spacing w:line="240" w:lineRule="auto"/>
            </w:pPr>
            <w:r>
              <w:rPr>
                <w:b w:val="0"/>
                <w:i w:val="0"/>
              </w:rPr>
              <w:t>389 / 1906 / 2812</w:t>
            </w:r>
          </w:p>
        </w:tc>
        <w:tc>
          <w:tcPr>
            <w:tcW w:type="dxa" w:w="1440"/>
          </w:tcPr>
          <w:p>
            <w:pPr>
              <w:spacing w:line="240" w:lineRule="auto"/>
            </w:pPr>
            <w:r>
              <w:rPr>
                <w:b w:val="0"/>
                <w:i w:val="0"/>
              </w:rPr>
              <w:t>63 / 29 / 1 %</w:t>
            </w:r>
          </w:p>
        </w:tc>
        <w:tc>
          <w:tcPr>
            <w:tcW w:type="dxa" w:w="1440"/>
          </w:tcPr>
          <w:p>
            <w:pPr>
              <w:spacing w:line="240" w:lineRule="auto"/>
            </w:pPr>
            <w:r>
              <w:rPr>
                <w:b w:val="0"/>
                <w:i w:val="0"/>
              </w:rPr>
              <w:t>0.67 / 0.80 / 0.82</w:t>
            </w:r>
          </w:p>
        </w:tc>
      </w:tr>
      <w:tr>
        <w:tc>
          <w:tcPr>
            <w:tcW w:type="dxa" w:w="1440"/>
          </w:tcPr>
          <w:p>
            <w:pPr>
              <w:spacing w:line="240" w:lineRule="auto"/>
            </w:pPr>
          </w:p>
        </w:tc>
        <w:tc>
          <w:tcPr>
            <w:tcW w:type="dxa" w:w="1440"/>
          </w:tcPr>
          <w:p>
            <w:pPr>
              <w:spacing w:line="240" w:lineRule="auto"/>
            </w:pPr>
            <w:r>
              <w:rPr>
                <w:b w:val="0"/>
                <w:i w:val="0"/>
              </w:rPr>
              <w:t>MeShClust2 0.60 / 0.80 / 0.95</w:t>
            </w:r>
          </w:p>
        </w:tc>
        <w:tc>
          <w:tcPr>
            <w:tcW w:type="dxa" w:w="1440"/>
          </w:tcPr>
          <w:p>
            <w:pPr>
              <w:spacing w:line="240" w:lineRule="auto"/>
            </w:pPr>
            <w:r>
              <w:rPr>
                <w:b w:val="0"/>
                <w:i w:val="0"/>
              </w:rPr>
              <w:t>636 / 2328 / 2882</w:t>
            </w:r>
          </w:p>
        </w:tc>
        <w:tc>
          <w:tcPr>
            <w:tcW w:type="dxa" w:w="1440"/>
          </w:tcPr>
          <w:p>
            <w:pPr>
              <w:spacing w:line="240" w:lineRule="auto"/>
            </w:pPr>
            <w:r>
              <w:rPr>
                <w:b w:val="0"/>
                <w:i w:val="0"/>
              </w:rPr>
              <w:t>533 / 2233 / 2865</w:t>
            </w:r>
          </w:p>
        </w:tc>
        <w:tc>
          <w:tcPr>
            <w:tcW w:type="dxa" w:w="1440"/>
          </w:tcPr>
          <w:p>
            <w:pPr>
              <w:spacing w:line="240" w:lineRule="auto"/>
            </w:pPr>
            <w:r>
              <w:rPr>
                <w:b w:val="0"/>
                <w:i w:val="0"/>
              </w:rPr>
              <w:t>73 / 16 / 3 %</w:t>
            </w:r>
          </w:p>
        </w:tc>
        <w:tc>
          <w:tcPr>
            <w:tcW w:type="dxa" w:w="1440"/>
          </w:tcPr>
          <w:p>
            <w:pPr>
              <w:spacing w:line="240" w:lineRule="auto"/>
            </w:pPr>
            <w:r>
              <w:rPr>
                <w:b w:val="0"/>
                <w:i w:val="0"/>
              </w:rPr>
              <w:t>0.46 / 0.56 / 0.95</w:t>
            </w:r>
          </w:p>
        </w:tc>
      </w:tr>
      <w:tr>
        <w:tc>
          <w:tcPr>
            <w:tcW w:type="dxa" w:w="1440"/>
          </w:tcPr>
          <w:p>
            <w:pPr>
              <w:spacing w:line="240" w:lineRule="auto"/>
            </w:pPr>
            <w:r>
              <w:rPr>
                <w:b w:val="0"/>
                <w:i w:val="0"/>
              </w:rPr>
              <w:t>L1PA2–8, 2222 copies</w:t>
            </w:r>
          </w:p>
        </w:tc>
        <w:tc>
          <w:tcPr>
            <w:tcW w:type="dxa" w:w="1440"/>
          </w:tcPr>
          <w:p>
            <w:pPr>
              <w:spacing w:line="240" w:lineRule="auto"/>
            </w:pPr>
            <w:r>
              <w:rPr>
                <w:b w:val="0"/>
                <w:i w:val="0"/>
              </w:rPr>
              <w:t>one consensus</w:t>
            </w:r>
          </w:p>
        </w:tc>
        <w:tc>
          <w:tcPr>
            <w:tcW w:type="dxa" w:w="1440"/>
          </w:tcPr>
          <w:p>
            <w:pPr>
              <w:spacing w:line="240" w:lineRule="auto"/>
            </w:pPr>
            <w:r>
              <w:rPr>
                <w:b w:val="0"/>
                <w:i w:val="0"/>
              </w:rPr>
              <w:t>1</w:t>
            </w:r>
          </w:p>
        </w:tc>
        <w:tc>
          <w:tcPr>
            <w:tcW w:type="dxa" w:w="1440"/>
          </w:tcPr>
          <w:p>
            <w:pPr>
              <w:spacing w:line="240" w:lineRule="auto"/>
            </w:pPr>
            <w:r>
              <w:rPr>
                <w:b w:val="0"/>
                <w:i w:val="0"/>
              </w:rPr>
              <w:t>0</w:t>
            </w:r>
          </w:p>
        </w:tc>
        <w:tc>
          <w:tcPr>
            <w:tcW w:type="dxa" w:w="1440"/>
          </w:tcPr>
          <w:p>
            <w:pPr>
              <w:spacing w:line="240" w:lineRule="auto"/>
            </w:pPr>
            <w:r>
              <w:rPr>
                <w:b w:val="0"/>
                <w:i w:val="0"/>
              </w:rPr>
              <w:t>100 %</w:t>
            </w:r>
          </w:p>
        </w:tc>
        <w:tc>
          <w:tcPr>
            <w:tcW w:type="dxa" w:w="1440"/>
          </w:tcPr>
          <w:p>
            <w:pPr>
              <w:spacing w:line="240" w:lineRule="auto"/>
            </w:pPr>
            <w:r>
              <w:rPr>
                <w:b w:val="0"/>
                <w:i w:val="0"/>
              </w:rPr>
              <w:t>0.22</w:t>
            </w:r>
          </w:p>
        </w:tc>
      </w:tr>
      <w:tr>
        <w:tc>
          <w:tcPr>
            <w:tcW w:type="dxa" w:w="1440"/>
          </w:tcPr>
          <w:p>
            <w:pPr>
              <w:spacing w:line="240" w:lineRule="auto"/>
            </w:pPr>
          </w:p>
        </w:tc>
        <w:tc>
          <w:tcPr>
            <w:tcW w:type="dxa" w:w="1440"/>
          </w:tcPr>
          <w:p>
            <w:pPr>
              <w:spacing w:line="240" w:lineRule="auto"/>
            </w:pPr>
            <w:r>
              <w:rPr>
                <w:b/>
                <w:i w:val="0"/>
              </w:rPr>
              <w:t>SubFam N = 20, -c</w:t>
            </w:r>
            <w:r>
              <w:rPr>
                <w:b w:val="0"/>
                <w:i w:val="0"/>
              </w:rPr>
              <w:t xml:space="preserve"> (111 distinct rows)</w:t>
            </w:r>
          </w:p>
        </w:tc>
        <w:tc>
          <w:tcPr>
            <w:tcW w:type="dxa" w:w="1440"/>
          </w:tcPr>
          <w:p>
            <w:pPr>
              <w:spacing w:line="240" w:lineRule="auto"/>
            </w:pPr>
            <w:r>
              <w:rPr>
                <w:b/>
                <w:i w:val="0"/>
              </w:rPr>
              <w:t>111</w:t>
            </w:r>
          </w:p>
        </w:tc>
        <w:tc>
          <w:tcPr>
            <w:tcW w:type="dxa" w:w="1440"/>
          </w:tcPr>
          <w:p>
            <w:pPr>
              <w:spacing w:line="240" w:lineRule="auto"/>
            </w:pPr>
            <w:r>
              <w:rPr>
                <w:b/>
                <w:i w:val="0"/>
              </w:rPr>
              <w:t>0</w:t>
            </w:r>
          </w:p>
        </w:tc>
        <w:tc>
          <w:tcPr>
            <w:tcW w:type="dxa" w:w="1440"/>
          </w:tcPr>
          <w:p>
            <w:pPr>
              <w:spacing w:line="240" w:lineRule="auto"/>
            </w:pPr>
            <w:r>
              <w:rPr>
                <w:b/>
                <w:i w:val="0"/>
              </w:rPr>
              <w:t>100 %</w:t>
            </w:r>
          </w:p>
        </w:tc>
        <w:tc>
          <w:tcPr>
            <w:tcW w:type="dxa" w:w="1440"/>
          </w:tcPr>
          <w:p>
            <w:pPr>
              <w:spacing w:line="240" w:lineRule="auto"/>
            </w:pPr>
            <w:r>
              <w:rPr>
                <w:b/>
                <w:i w:val="0"/>
              </w:rPr>
              <w:t>0.70</w:t>
            </w:r>
          </w:p>
        </w:tc>
      </w:tr>
      <w:tr>
        <w:tc>
          <w:tcPr>
            <w:tcW w:type="dxa" w:w="1440"/>
          </w:tcPr>
          <w:p>
            <w:pPr>
              <w:spacing w:line="240" w:lineRule="auto"/>
            </w:pPr>
          </w:p>
        </w:tc>
        <w:tc>
          <w:tcPr>
            <w:tcW w:type="dxa" w:w="1440"/>
          </w:tcPr>
          <w:p>
            <w:pPr>
              <w:spacing w:line="240" w:lineRule="auto"/>
            </w:pPr>
            <w:r>
              <w:rPr>
                <w:b w:val="0"/>
                <w:i w:val="0"/>
              </w:rPr>
              <w:t>vsearch 0.80 / 0.90 / 0.95</w:t>
            </w:r>
          </w:p>
        </w:tc>
        <w:tc>
          <w:tcPr>
            <w:tcW w:type="dxa" w:w="1440"/>
          </w:tcPr>
          <w:p>
            <w:pPr>
              <w:spacing w:line="240" w:lineRule="auto"/>
            </w:pPr>
            <w:r>
              <w:rPr>
                <w:b w:val="0"/>
                <w:i w:val="0"/>
              </w:rPr>
              <w:t>45 / 753 / 1557</w:t>
            </w:r>
          </w:p>
        </w:tc>
        <w:tc>
          <w:tcPr>
            <w:tcW w:type="dxa" w:w="1440"/>
          </w:tcPr>
          <w:p>
            <w:pPr>
              <w:spacing w:line="240" w:lineRule="auto"/>
            </w:pPr>
            <w:r>
              <w:rPr>
                <w:b w:val="0"/>
                <w:i w:val="0"/>
              </w:rPr>
              <w:t>31 / 686 / 1475</w:t>
            </w:r>
          </w:p>
        </w:tc>
        <w:tc>
          <w:tcPr>
            <w:tcW w:type="dxa" w:w="1440"/>
          </w:tcPr>
          <w:p>
            <w:pPr>
              <w:spacing w:line="240" w:lineRule="auto"/>
            </w:pPr>
            <w:r>
              <w:rPr>
                <w:b w:val="0"/>
                <w:i w:val="0"/>
              </w:rPr>
              <w:t>96 / 60 / 22 %</w:t>
            </w:r>
          </w:p>
        </w:tc>
        <w:tc>
          <w:tcPr>
            <w:tcW w:type="dxa" w:w="1440"/>
          </w:tcPr>
          <w:p>
            <w:pPr>
              <w:spacing w:line="240" w:lineRule="auto"/>
            </w:pPr>
            <w:r>
              <w:rPr>
                <w:b w:val="0"/>
                <w:i w:val="0"/>
              </w:rPr>
              <w:t>0.36 / 0.48 / 0.83</w:t>
            </w:r>
          </w:p>
        </w:tc>
      </w:tr>
      <w:tr>
        <w:tc>
          <w:tcPr>
            <w:tcW w:type="dxa" w:w="1440"/>
          </w:tcPr>
          <w:p>
            <w:pPr>
              <w:spacing w:line="240" w:lineRule="auto"/>
            </w:pPr>
          </w:p>
        </w:tc>
        <w:tc>
          <w:tcPr>
            <w:tcW w:type="dxa" w:w="1440"/>
          </w:tcPr>
          <w:p>
            <w:pPr>
              <w:spacing w:line="240" w:lineRule="auto"/>
            </w:pPr>
            <w:r>
              <w:rPr>
                <w:b w:val="0"/>
                <w:i w:val="0"/>
              </w:rPr>
              <w:t>MeShClust2 0.80 / 0.90 / 0.95</w:t>
            </w:r>
          </w:p>
        </w:tc>
        <w:tc>
          <w:tcPr>
            <w:tcW w:type="dxa" w:w="1440"/>
          </w:tcPr>
          <w:p>
            <w:pPr>
              <w:spacing w:line="240" w:lineRule="auto"/>
            </w:pPr>
            <w:r>
              <w:rPr>
                <w:b w:val="0"/>
                <w:i w:val="0"/>
              </w:rPr>
              <w:t>317 / 709 / 1992</w:t>
            </w:r>
          </w:p>
        </w:tc>
        <w:tc>
          <w:tcPr>
            <w:tcW w:type="dxa" w:w="1440"/>
          </w:tcPr>
          <w:p>
            <w:pPr>
              <w:spacing w:line="240" w:lineRule="auto"/>
            </w:pPr>
            <w:r>
              <w:rPr>
                <w:b w:val="0"/>
                <w:i w:val="0"/>
              </w:rPr>
              <w:t>246 / 639 / 1957</w:t>
            </w:r>
          </w:p>
        </w:tc>
        <w:tc>
          <w:tcPr>
            <w:tcW w:type="dxa" w:w="1440"/>
          </w:tcPr>
          <w:p>
            <w:pPr>
              <w:spacing w:line="240" w:lineRule="auto"/>
            </w:pPr>
            <w:r>
              <w:rPr>
                <w:b w:val="0"/>
                <w:i w:val="0"/>
              </w:rPr>
              <w:t>81 / 66 / 7 %</w:t>
            </w:r>
          </w:p>
        </w:tc>
        <w:tc>
          <w:tcPr>
            <w:tcW w:type="dxa" w:w="1440"/>
          </w:tcPr>
          <w:p>
            <w:pPr>
              <w:spacing w:line="240" w:lineRule="auto"/>
            </w:pPr>
            <w:r>
              <w:rPr>
                <w:b w:val="0"/>
                <w:i w:val="0"/>
              </w:rPr>
              <w:t>0.27 / 0.34 / 0.65</w:t>
            </w:r>
          </w:p>
        </w:tc>
      </w:tr>
      <w:tr>
        <w:tc>
          <w:tcPr>
            <w:tcW w:type="dxa" w:w="1440"/>
          </w:tcPr>
          <w:p>
            <w:pPr>
              <w:spacing w:line="240" w:lineRule="auto"/>
            </w:pPr>
            <w:r>
              <w:rPr>
                <w:b w:val="0"/>
                <w:i w:val="0"/>
              </w:rPr>
              <w:t>Alu loci, 316 copies</w:t>
            </w:r>
          </w:p>
        </w:tc>
        <w:tc>
          <w:tcPr>
            <w:tcW w:type="dxa" w:w="1440"/>
          </w:tcPr>
          <w:p>
            <w:pPr>
              <w:spacing w:line="240" w:lineRule="auto"/>
            </w:pPr>
            <w:r>
              <w:rPr>
                <w:b w:val="0"/>
                <w:i w:val="0"/>
              </w:rPr>
              <w:t>one consensus</w:t>
            </w:r>
          </w:p>
        </w:tc>
        <w:tc>
          <w:tcPr>
            <w:tcW w:type="dxa" w:w="1440"/>
          </w:tcPr>
          <w:p>
            <w:pPr>
              <w:spacing w:line="240" w:lineRule="auto"/>
            </w:pPr>
            <w:r>
              <w:rPr>
                <w:b w:val="0"/>
                <w:i w:val="0"/>
              </w:rPr>
              <w:t>1</w:t>
            </w:r>
          </w:p>
        </w:tc>
        <w:tc>
          <w:tcPr>
            <w:tcW w:type="dxa" w:w="1440"/>
          </w:tcPr>
          <w:p>
            <w:pPr>
              <w:spacing w:line="240" w:lineRule="auto"/>
            </w:pPr>
            <w:r>
              <w:rPr>
                <w:b w:val="0"/>
                <w:i w:val="0"/>
              </w:rPr>
              <w:t>0</w:t>
            </w:r>
          </w:p>
        </w:tc>
        <w:tc>
          <w:tcPr>
            <w:tcW w:type="dxa" w:w="1440"/>
          </w:tcPr>
          <w:p>
            <w:pPr>
              <w:spacing w:line="240" w:lineRule="auto"/>
            </w:pPr>
            <w:r>
              <w:rPr>
                <w:b w:val="0"/>
                <w:i w:val="0"/>
              </w:rPr>
              <w:t>100 %</w:t>
            </w:r>
          </w:p>
        </w:tc>
        <w:tc>
          <w:tcPr>
            <w:tcW w:type="dxa" w:w="1440"/>
          </w:tcPr>
          <w:p>
            <w:pPr>
              <w:spacing w:line="240" w:lineRule="auto"/>
            </w:pPr>
            <w:r>
              <w:rPr>
                <w:b w:val="0"/>
                <w:i w:val="0"/>
              </w:rPr>
              <w:t>0.52</w:t>
            </w:r>
          </w:p>
        </w:tc>
      </w:tr>
      <w:tr>
        <w:tc>
          <w:tcPr>
            <w:tcW w:type="dxa" w:w="1440"/>
          </w:tcPr>
          <w:p>
            <w:pPr>
              <w:spacing w:line="240" w:lineRule="auto"/>
            </w:pPr>
          </w:p>
        </w:tc>
        <w:tc>
          <w:tcPr>
            <w:tcW w:type="dxa" w:w="1440"/>
          </w:tcPr>
          <w:p>
            <w:pPr>
              <w:spacing w:line="240" w:lineRule="auto"/>
            </w:pPr>
            <w:r>
              <w:rPr>
                <w:b/>
                <w:i w:val="0"/>
              </w:rPr>
              <w:t>SubFam N = 20</w:t>
            </w:r>
            <w:r>
              <w:rPr>
                <w:b w:val="0"/>
                <w:i w:val="0"/>
              </w:rPr>
              <w:t xml:space="preserve"> (7 distinct of 16 rows)</w:t>
            </w:r>
          </w:p>
        </w:tc>
        <w:tc>
          <w:tcPr>
            <w:tcW w:type="dxa" w:w="1440"/>
          </w:tcPr>
          <w:p>
            <w:pPr>
              <w:spacing w:line="240" w:lineRule="auto"/>
            </w:pPr>
            <w:r>
              <w:rPr>
                <w:b/>
                <w:i w:val="0"/>
              </w:rPr>
              <w:t>16</w:t>
            </w:r>
          </w:p>
        </w:tc>
        <w:tc>
          <w:tcPr>
            <w:tcW w:type="dxa" w:w="1440"/>
          </w:tcPr>
          <w:p>
            <w:pPr>
              <w:spacing w:line="240" w:lineRule="auto"/>
            </w:pPr>
            <w:r>
              <w:rPr>
                <w:b/>
                <w:i w:val="0"/>
              </w:rPr>
              <w:t>0</w:t>
            </w:r>
          </w:p>
        </w:tc>
        <w:tc>
          <w:tcPr>
            <w:tcW w:type="dxa" w:w="1440"/>
          </w:tcPr>
          <w:p>
            <w:pPr>
              <w:spacing w:line="240" w:lineRule="auto"/>
            </w:pPr>
            <w:r>
              <w:rPr>
                <w:b/>
                <w:i w:val="0"/>
              </w:rPr>
              <w:t>100 %</w:t>
            </w:r>
          </w:p>
        </w:tc>
        <w:tc>
          <w:tcPr>
            <w:tcW w:type="dxa" w:w="1440"/>
          </w:tcPr>
          <w:p>
            <w:pPr>
              <w:spacing w:line="240" w:lineRule="auto"/>
            </w:pPr>
            <w:r>
              <w:rPr>
                <w:b/>
                <w:i w:val="0"/>
              </w:rPr>
              <w:t>0.92</w:t>
            </w:r>
          </w:p>
        </w:tc>
      </w:tr>
      <w:tr>
        <w:tc>
          <w:tcPr>
            <w:tcW w:type="dxa" w:w="1440"/>
          </w:tcPr>
          <w:p>
            <w:pPr>
              <w:spacing w:line="240" w:lineRule="auto"/>
            </w:pPr>
          </w:p>
        </w:tc>
        <w:tc>
          <w:tcPr>
            <w:tcW w:type="dxa" w:w="1440"/>
          </w:tcPr>
          <w:p>
            <w:pPr>
              <w:spacing w:line="240" w:lineRule="auto"/>
            </w:pPr>
            <w:r>
              <w:rPr>
                <w:b w:val="0"/>
                <w:i w:val="0"/>
              </w:rPr>
              <w:t>vsearch 0.95 / 0.98 / 0.99</w:t>
            </w:r>
          </w:p>
        </w:tc>
        <w:tc>
          <w:tcPr>
            <w:tcW w:type="dxa" w:w="1440"/>
          </w:tcPr>
          <w:p>
            <w:pPr>
              <w:spacing w:line="240" w:lineRule="auto"/>
            </w:pPr>
            <w:r>
              <w:rPr>
                <w:b w:val="0"/>
                <w:i w:val="0"/>
              </w:rPr>
              <w:t>18 / 70 / 140</w:t>
            </w:r>
          </w:p>
        </w:tc>
        <w:tc>
          <w:tcPr>
            <w:tcW w:type="dxa" w:w="1440"/>
          </w:tcPr>
          <w:p>
            <w:pPr>
              <w:spacing w:line="240" w:lineRule="auto"/>
            </w:pPr>
            <w:r>
              <w:rPr>
                <w:b w:val="0"/>
                <w:i w:val="0"/>
              </w:rPr>
              <w:t>8 / 38 / 101</w:t>
            </w:r>
          </w:p>
        </w:tc>
        <w:tc>
          <w:tcPr>
            <w:tcW w:type="dxa" w:w="1440"/>
          </w:tcPr>
          <w:p>
            <w:pPr>
              <w:spacing w:line="240" w:lineRule="auto"/>
            </w:pPr>
            <w:r>
              <w:rPr>
                <w:b w:val="0"/>
                <w:i w:val="0"/>
              </w:rPr>
              <w:t>89 / 65 / 35 %</w:t>
            </w:r>
          </w:p>
        </w:tc>
        <w:tc>
          <w:tcPr>
            <w:tcW w:type="dxa" w:w="1440"/>
          </w:tcPr>
          <w:p>
            <w:pPr>
              <w:spacing w:line="240" w:lineRule="auto"/>
            </w:pPr>
            <w:r>
              <w:rPr>
                <w:b w:val="0"/>
                <w:i w:val="0"/>
              </w:rPr>
              <w:t>0.94 / 0.97 / 0.98</w:t>
            </w:r>
          </w:p>
        </w:tc>
      </w:tr>
      <w:tr>
        <w:tc>
          <w:tcPr>
            <w:tcW w:type="dxa" w:w="1440"/>
          </w:tcPr>
          <w:p>
            <w:pPr>
              <w:spacing w:line="240" w:lineRule="auto"/>
            </w:pPr>
          </w:p>
        </w:tc>
        <w:tc>
          <w:tcPr>
            <w:tcW w:type="dxa" w:w="1440"/>
          </w:tcPr>
          <w:p>
            <w:pPr>
              <w:spacing w:line="240" w:lineRule="auto"/>
            </w:pPr>
            <w:r>
              <w:rPr>
                <w:b w:val="0"/>
                <w:i w:val="0"/>
              </w:rPr>
              <w:t>MeShClust2 0.90 / 0.95 / 0.98</w:t>
            </w:r>
          </w:p>
        </w:tc>
        <w:tc>
          <w:tcPr>
            <w:tcW w:type="dxa" w:w="1440"/>
          </w:tcPr>
          <w:p>
            <w:pPr>
              <w:spacing w:line="240" w:lineRule="auto"/>
            </w:pPr>
            <w:r>
              <w:rPr>
                <w:b w:val="0"/>
                <w:i w:val="0"/>
              </w:rPr>
              <w:t>1 / 11 / 40</w:t>
            </w:r>
          </w:p>
        </w:tc>
        <w:tc>
          <w:tcPr>
            <w:tcW w:type="dxa" w:w="1440"/>
          </w:tcPr>
          <w:p>
            <w:pPr>
              <w:spacing w:line="240" w:lineRule="auto"/>
            </w:pPr>
            <w:r>
              <w:rPr>
                <w:b w:val="0"/>
                <w:i w:val="0"/>
              </w:rPr>
              <w:t>0 / 4 / 24</w:t>
            </w:r>
          </w:p>
        </w:tc>
        <w:tc>
          <w:tcPr>
            <w:tcW w:type="dxa" w:w="1440"/>
          </w:tcPr>
          <w:p>
            <w:pPr>
              <w:spacing w:line="240" w:lineRule="auto"/>
            </w:pPr>
            <w:r>
              <w:rPr>
                <w:b w:val="0"/>
                <w:i w:val="0"/>
              </w:rPr>
              <w:t>100 / 95 / 78 %</w:t>
            </w:r>
          </w:p>
        </w:tc>
        <w:tc>
          <w:tcPr>
            <w:tcW w:type="dxa" w:w="1440"/>
          </w:tcPr>
          <w:p>
            <w:pPr>
              <w:spacing w:line="240" w:lineRule="auto"/>
            </w:pPr>
            <w:r>
              <w:rPr>
                <w:b w:val="0"/>
                <w:i w:val="0"/>
              </w:rPr>
              <w:t>0.52 / 0.77 / 0.86</w:t>
            </w:r>
          </w:p>
        </w:tc>
      </w:tr>
    </w:tbl>
    <w:p>
      <w:r>
        <w:rPr>
          <w:b w:val="0"/>
          <w:i/>
        </w:rPr>
        <w:t>Legend.</w:t>
      </w:r>
      <w:r>
        <w:rPr>
          <w:b w:val="0"/>
          <w:i w:val="0"/>
        </w:rPr>
        <w:t xml:space="preserve"> Numbers after a method name are its identity thresholds, and the values in the other columns follow them in the same order. Groups, number of clusters or chunks; singletons, groups of one copy; copies in groups ≥ 10, share of the copies in groups of at least 10 copies; purity, fraction of those copies that carry the majority label of their group. SubFam rows are in bold.</w:t>
      </w:r>
    </w:p>
    <w:p>
      <w:r>
        <w:rPr>
          <w:b w:val="0"/>
          <w:i w:val="0"/>
        </w:rPr>
        <w:t xml:space="preserve">With either tool, every cutoff on the old families gives one of two outcomes: a low cutoff merges across classes (L1 at 0.80: three groups hold 96 % of the copies at purity 0.36), a high cutoff fragments the set (B2 at 0.80: 1,906 of 3,000 copies are singletons). On the young Alu loci a working cutoff exists, and vsearch at 0.95 matches SubFam in purity (0.94 against 0.92) over 89 % of the copies; there SubFam adds completeness and the order. Caveats: purity favours small groups, hence the coverage column; the labels are annotations rather than truth; </w:t>
      </w:r>
      <w:r>
        <w:rPr>
          <w:rFonts w:ascii="Courier New" w:hAnsi="Courier New"/>
          <w:b w:val="0"/>
          <w:i w:val="0"/>
        </w:rPr>
        <w:t>cluster_fast</w:t>
      </w:r>
      <w:r>
        <w:rPr>
          <w:b w:val="0"/>
          <w:i w:val="0"/>
        </w:rPr>
        <w:t xml:space="preserve"> is greedy; each family is one chromosome. COSEG, run once on the Konkel loci, separated AluYb8 from the rest and left AluYa5 with AluY; at matched granularity it scored above SubFam's fixed chunks on V-measure, the chunks being over-split by design.</w:t>
      </w:r>
    </w:p>
    <w:p>
      <w:pPr>
        <w:keepNext/>
      </w:pPr>
      <w:r>
        <w:rPr>
          <w:b/>
          <w:i/>
          <w:sz w:val="24"/>
        </w:rPr>
        <w:t>Simulation (Additional file 8)</w:t>
      </w:r>
    </w:p>
    <w:p>
      <w:r>
        <w:rPr>
          <w:b w:val="0"/>
          <w:i w:val="0"/>
        </w:rPr>
        <w:t xml:space="preserve">Simulation supplies what real data withhold: a known truth across family ages. With eight subfamilies at 3, 8 and 15 % divergence (eight replicates each), SubFam </w:t>
      </w:r>
      <w:r>
        <w:rPr>
          <w:rFonts w:ascii="Courier New" w:hAnsi="Courier New"/>
          <w:b w:val="0"/>
          <w:i w:val="0"/>
        </w:rPr>
        <w:t>-n 20</w:t>
      </w:r>
      <w:r>
        <w:rPr>
          <w:b w:val="0"/>
          <w:i w:val="0"/>
        </w:rPr>
        <w:t xml:space="preserve"> recovered all eight source consensuses in every run with 100 rows for 2,000 copies, whereas the VSEARCH identity that recovers the sources moved with age (0.90–0.95 for the young family, 0.70 for the old one), and even the best identity chosen per replicate with knowledge of the truth recovered 5.25 of 8 in the old family. In a harder simulation (CpG decay, source elements, mixed ages, truncated copies) SubFam recovered 6.3–7.8 of 8 at 100 rows with identity measured over non-CpG columns; over all columns, CpG decay keeps nearly every consensus of every method below 99 % identity to the master. In the simple simulation 10 of the 40 rows at N = 50 are distinct, an abundant subfamily filling several chunks with one consensus. Rows represent their copies closely in young and middle families and less closely in old ones (a copy's own row was its best-matching row for 98.1, 87.3 and 57.5 % of copies). The simulations are star-like and of our own design and serve as a supplement.</w:t>
      </w:r>
    </w:p>
    <w:p>
      <w:pPr>
        <w:keepNext/>
      </w:pPr>
      <w:r>
        <w:rPr>
          <w:b/>
          <w:i/>
          <w:sz w:val="24"/>
        </w:rPr>
        <w:t>What SubFam gives</w:t>
      </w:r>
    </w:p>
    <w:p>
      <w:r>
        <w:rPr>
          <w:b w:val="0"/>
          <w:i w:val="0"/>
        </w:rPr>
        <w:t>A readable, ordered alignment that stands for the collection, every row traceable to its copies, built without a cutoff and without a reference. The ablation locates the contribution in the combination of the steps rather than in any one of them, and in the fixed chunk, which trades redundancy (several rows for an abundant group) for freedom from a cutoff.</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this paper describes the preparation of their input. In our own analyses of SINE families the chunk consensuses served as the material from which subfamilies were delimited and their consensuses chosen </w:t>
      </w:r>
      <w:r>
        <w:rPr>
          <w:b w:val="0"/>
          <w:highlight w:val="yellow"/>
        </w:rPr>
        <w:t>[AUTHOR: cite only the two or three papers whose Methods name SubFam; candidates: Vassetzky et al. 2021 (already cited for B2), Kosushkin et al. 2022 Can, Ustyantsev et al. 2024 Ere, Borodulina et al. 2025, Ustyantsev et al. 2026]</w:t>
      </w:r>
      <w:r>
        <w:rPr>
          <w:b w:val="0"/>
          <w:i w:val="0"/>
        </w:rPr>
        <w:t>.</w:t>
      </w:r>
    </w:p>
    <w:p>
      <w:pPr>
        <w:keepNext/>
      </w:pPr>
      <w:r>
        <w:rPr>
          <w:b/>
          <w:i/>
          <w:sz w:val="24"/>
        </w:rPr>
        <w:t>Cascaded use</w:t>
      </w:r>
    </w:p>
    <w:p>
      <w:r>
        <w:rPr>
          <w:b w:val="0"/>
          <w:i w:val="0"/>
        </w:rPr>
        <w:t>When the copies come from subfamilies of different age and size, one N serves them unequally: a young, abundant subfamily fills many near-identical rows while an old or rare one is diluted across mixed chunks. SubFam can then be run in cascade with sequential depletion: the rows of a first run that the researcher recognises as one group are taken out together with their copies (</w:t>
      </w:r>
      <w:r>
        <w:rPr>
          <w:rFonts w:ascii="Courier New" w:hAnsi="Courier New"/>
          <w:b w:val="0"/>
          <w:i w:val="0"/>
        </w:rPr>
        <w:t>-e</w:t>
      </w:r>
      <w:r>
        <w:rPr>
          <w:b w:val="0"/>
          <w:i w:val="0"/>
        </w:rPr>
        <w:t xml:space="preserve"> gives the copies of chosen chunks; the remainder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a different k for old ones. Each round keeps every copy accounted for, and the rows of all rounds can be aligned together at the end. This is a use of the tool, with the grouping decision made by the researcher between rounds.</w:t>
      </w:r>
    </w:p>
    <w:p>
      <w:pPr>
        <w:keepNext/>
      </w:pPr>
      <w:r>
        <w:rPr>
          <w:b/>
          <w:i/>
          <w:sz w:val="24"/>
        </w:rPr>
        <w:t>Relationship to existing tools</w:t>
      </w:r>
    </w:p>
    <w:p>
      <w:r>
        <w:rPr>
          <w:b w:val="0"/>
          <w:i w:val="0"/>
        </w:rPr>
        <w:t>Identity clustering returns one representative per cluster and leaves the clusters unordered; COSEG and Price et al. define subfamilies on full-length copies aligned to one reference; TEtrimmer curates a library one family at a time from a genome; PASTA [20] and MAGUS [24] decompose a guide tree in order to align everything, where SubFam collapses the subsets and aligns the consensuses. Each answers a different question; SubFam serves as a step of input preparation for them, reducing a collection of copies to an ordered set of consensuses they can take.</w:t>
      </w:r>
    </w:p>
    <w:p>
      <w:pPr>
        <w:keepNext/>
      </w:pPr>
      <w:r>
        <w:rPr>
          <w:b/>
          <w:i/>
          <w:sz w:val="24"/>
        </w:rPr>
        <w:t>Limitations</w:t>
      </w:r>
    </w:p>
    <w:p>
      <w:r>
        <w:rPr>
          <w:b w:val="0"/>
          <w:i w:val="0"/>
        </w:rPr>
        <w:t xml:space="preserve">A chunk has a fixed size: an abundant group fills several rows with near-identical consensuses, a chunk can straddle two groups, and N has to be chosen for the rarest group of interest. Rows represent old families less closely than young ones. The whole-copy k-mer distance responds to copy length, so mixed-length input (5′-truncated LINEs) sorts partly by length; the remedy is to run on the shared region or on the long copies. The k-mer ordering needs about 4·n² bytes of memory (3.6 GB at 30,000 copies); </w:t>
      </w:r>
      <w:r>
        <w:rPr>
          <w:rFonts w:ascii="Courier New" w:hAnsi="Courier New"/>
          <w:b w:val="0"/>
          <w:i w:val="0"/>
        </w:rPr>
        <w:t>-P</w:t>
      </w:r>
      <w:r>
        <w:rPr>
          <w:b w:val="0"/>
          <w:i w:val="0"/>
        </w:rPr>
        <w:t xml:space="preserve"> lifts that limit at a cost in chunk purity (0.472 against 0.400 on real Alu). The labels used to score the examples are annotations or published consensuses, and each real example is one chromosome of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On real SINE and LINE copies the rows carry the known consensuses of the family and show its lineages as blocks; removing any step of the method loses the result, and identity clustering of the same copies either fragments old families or merges young groups. The output is the input that curation, subfamily definition and phylogenetic analysis need and cannot take from the raw copies; those steps, and the definition of subfamilies,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9</w:t>
      </w:r>
    </w:p>
    <w:p>
      <w:r>
        <w:rPr>
          <w:b/>
          <w:i w:val="0"/>
        </w:rPr>
        <w:t>Operating system(s):</w:t>
      </w:r>
      <w:r>
        <w:rPr>
          <w:b w:val="0"/>
          <w:i w:val="0"/>
        </w:rPr>
        <w:t xml:space="preserve"> Linux, macOS (any Unix with bash)</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7.5;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every example and benchmark is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benchmark/baseline_vsearch/run_sweeps.sh</w:t>
      </w:r>
      <w:r>
        <w:rPr>
          <w:b w:val="0"/>
          <w:i w:val="0"/>
        </w:rPr>
        <w:t xml:space="preserve">, </w:t>
      </w:r>
      <w:r>
        <w:rPr>
          <w:rFonts w:ascii="Courier New" w:hAnsi="Courier New"/>
          <w:b w:val="0"/>
          <w:i w:val="0"/>
        </w:rPr>
        <w:t>benchmark/baseline_meshclust/run_meshclust.sh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benchmark/sine_b2/stress_chr123/pipeline.sh</w:t>
      </w:r>
      <w:r>
        <w:rPr>
          <w:b w:val="0"/>
          <w:i w:val="0"/>
        </w:rPr>
        <w:t xml:space="preserve"> from named public inputs, seeds and tool versions (MAFFT 7.505, vsearch 2.27.0, MeShClust2 d7fdb42;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in the supplement.]</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James BT, Girgis HZ. MeShClust2: application of alignment-free identity scores in clustering long DNA sequences. bioRxiv. 2018. doi:10.1101/451278. [Preprint]</w:t>
      </w:r>
    </w:p>
    <w:p>
      <w:r>
        <w:rPr>
          <w:b w:val="0"/>
          <w:i w:val="0"/>
        </w:rPr>
        <w:t>24.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by the RepeatMasker class of each chunk's majority, with the consensus of the class's member copies and the Dfam consensus as the head rows of each group (framed). Grey, the majority base of the SubFam rows in the column; red, another base; white, gap. The purity of each row (fraction of its copies in the majority class) is given at the right.</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majority label and purity of each chunk at the right. Copies and consensuses are one MAFFT alignment, of which the 220 of 1,105 columns present in at least 25 % of the copies are shown. Light grey, the majority base of the column among the copies; red, another base; white, gap. The strip at the left gives the label of each copy (a, b) or the majority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and the identity of every row to the head of its group.</w:t>
      </w:r>
    </w:p>
    <w:p>
      <w:r>
        <w:rPr>
          <w:b/>
          <w:i w:val="0"/>
        </w:rPr>
        <w:t>Additional file 2</w:t>
      </w:r>
      <w:r>
        <w:rPr>
          <w:b w:val="0"/>
          <w:i w:val="0"/>
        </w:rPr>
        <w:t xml:space="preserve"> (PDF). Two classifications of the B2 family compared. The SubFam rows of the B2 example set against the Repbase subfamily names and against the indel-based classification of Vassetzky et al. [16].</w:t>
      </w:r>
    </w:p>
    <w:p>
      <w:r>
        <w:rPr>
          <w:b/>
          <w:i w:val="0"/>
        </w:rPr>
        <w:t>Additional file 3</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4</w:t>
      </w:r>
      <w:r>
        <w:rPr>
          <w:b w:val="0"/>
          <w:i w:val="0"/>
        </w:rPr>
        <w:t xml:space="preserve"> (CSV). Whole-copy against 3′-region trees. Comparison of the tree built from whole L1 copies with the tree built from the 3′ region that every copy shares.</w:t>
      </w:r>
    </w:p>
    <w:p>
      <w:r>
        <w:rPr>
          <w:b/>
          <w:i w:val="0"/>
        </w:rPr>
        <w:t>Additional file 5</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6</w:t>
      </w:r>
      <w:r>
        <w:rPr>
          <w:b w:val="0"/>
          <w:i w:val="0"/>
        </w:rPr>
        <w:t xml:space="preserve"> (CSV). Stress case. 30,000 B2 and 30,000 Alu copies: time, memory, chunk purity and recovery of published consensuses, with and without </w:t>
      </w:r>
      <w:r>
        <w:rPr>
          <w:rFonts w:ascii="Courier New" w:hAnsi="Courier New"/>
          <w:b w:val="0"/>
          <w:i w:val="0"/>
        </w:rPr>
        <w:t>-P</w:t>
      </w:r>
      <w:r>
        <w:rPr>
          <w:b w:val="0"/>
          <w:i w:val="0"/>
        </w:rPr>
        <w:t>.</w:t>
      </w:r>
    </w:p>
    <w:p>
      <w:r>
        <w:rPr>
          <w:b/>
          <w:i w:val="0"/>
        </w:rPr>
        <w:t>Additional file 7</w:t>
      </w:r>
      <w:r>
        <w:rPr>
          <w:b w:val="0"/>
          <w:i w:val="0"/>
        </w:rPr>
        <w:t xml:space="preserve"> (PDF). The 600 rows of the 30,000-copy B2 run. Rows in SubFam order; the strip gives the RepeatMasker class of each chunk's majority.</w:t>
      </w:r>
    </w:p>
    <w:p>
      <w:r>
        <w:rPr>
          <w:b/>
          <w:i w:val="0"/>
        </w:rPr>
        <w:t>Additional file 8</w:t>
      </w:r>
      <w:r>
        <w:rPr>
          <w:b w:val="0"/>
          <w:i w:val="0"/>
        </w:rPr>
        <w:t xml:space="preserve"> (PDF). Simulation and sensitivity. (a) Simulated families of eight subfamilies at 3, 8 and 15 % divergence (2,000 copies, eight replicates each): subfamily sources recovered (of 8; a source counts when a row whose copies are mostly that subfamily matches it at ≥ 99 % identity) by VSEARCH at each identity threshold (mean, range shaded) and by SubFam </w:t>
      </w:r>
      <w:r>
        <w:rPr>
          <w:rFonts w:ascii="Courier New" w:hAnsi="Courier New"/>
          <w:b w:val="0"/>
          <w:i w:val="0"/>
        </w:rPr>
        <w:t>-n 20</w:t>
      </w:r>
      <w:r>
        <w:rPr>
          <w:b w:val="0"/>
          <w:i w:val="0"/>
        </w:rPr>
        <w:t xml:space="preserve"> and </w:t>
      </w:r>
      <w:r>
        <w:rPr>
          <w:rFonts w:ascii="Courier New" w:hAnsi="Courier New"/>
          <w:b w:val="0"/>
          <w:i w:val="0"/>
        </w:rPr>
        <w:t>-n 50</w:t>
      </w:r>
      <w:r>
        <w:rPr>
          <w:b w:val="0"/>
          <w:i w:val="0"/>
        </w:rPr>
        <w:t xml:space="preserve"> (dashed lines, mean). (b) The number of rows each method returns (median, log scale). (c) Chunk purity against the RepeatMasker class on the 3,000 real B2 copies over N (k = 6) and over k (N = 50); red bars, four random samples of the copies at N = 50.</w:t>
      </w:r>
    </w:p>
    <w:p>
      <w:r>
        <w:rPr>
          <w:b/>
          <w:i w:val="0"/>
        </w:rPr>
        <w:t>Additional file 9</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