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that condenses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for many downstream tools. Researchers need a compact view of the copies that keeps the variation shared by groups of copies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and aligns the plurality consensuses of the chunks, with a table of the copies behind every row. Every copy contributes to one row, and a row summarises its copies rather than sampling them: the mutations that each copy acquired on its own drop out of the consensus, while the bases that neighbouring copies share remain. On mouse B2 SINEs single copies have a median identity of 0.82 to the nearest published subfamily consensus, the rows 0.94, and groups whose diagnostic variation is hard to recognise among single copies can be seen as blocks of rows. SubFam needs neither a reference nor an identity cutoff; its main parameter is N. A family of up to millions of copies can be run on a random sample: about 30,000 copies give some 600 rows, still a readable alignment. On B2 and human Alu SINEs the published consensuses appear among the rows; on 5′-truncated human LINE-1 copies the rows extend as far as their copies do. The rows stand when the copies carry short flanks or come in another order, and without the ordering chunks mix dissimilar copies. The consensus writer reproduces EMBOSS cons byte for byte, and the output does not depend on the number of threads.</w:t>
      </w:r>
    </w:p>
    <w:p>
      <w:r>
        <w:rPr>
          <w:b/>
          <w:i w:val="0"/>
        </w:rPr>
        <w:t>Conclusions.</w:t>
      </w:r>
      <w:r>
        <w:rPr>
          <w:b w:val="0"/>
          <w:i w:val="0"/>
        </w:rPr>
        <w:t xml:space="preserve"> SubFam turns a collection of genomic copies into an ordered alignment that a person can read and a downstream tool can take, with the features shared by groups of copies brought out from the noise of single copies.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groups copies above an identity cutoff, which is tuned to one level of divergence, and MeShClust [5] predicts identities alignment-free and groups by mean shift; statistical subfamily methods, from the genome-wide Alu analysis of Price et al. [6], which recursively divided about 480,000 aligned full-length Alu copies by tests for over-represented co-occurring mutations, to COSEG [7], which finds groups of copies sharing co-segregating mutations in an alignment, aim to define the biological subfamilies; library-curation tools such as TEtrimmer [8] automate the curation of consensus libraries (searching the genome for copies, aligning, clustering and refining each consensus).</w:t>
      </w:r>
    </w:p>
    <w:p>
      <w:r>
        <w:rPr>
          <w:b w:val="0"/>
          <w:i w:val="0"/>
        </w:rPr>
        <w:t>Between the raw copies and these analyses lies a practical step: making the heap of copies readable, that is, small enough to work with and with the variation that groups of copies share set apart from the variation of single copies.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not a selected copy but the consensus of a chunk of neighbouring copies, to which every copy of the chunk contributes. It is a position-wise summary of the dominant sequence of its chunk, not a reconstruction of the ancestor of a subfamily; if a chunk mixes two groups, the row can be a mosaic of them. Each copy carries, besides the bases of its group, mutations of its own, scattered over its length and rarely shared; in the consensus of similar copies these drop out and the shared bases remain. A row therefore shows the features of its copies' group more clearly than any one copy does, and a group whose variation is hard to recognise among single copies can be seen in the rows as a block.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and the tree is a device for a linear order, not a phylogeny; the closest-ends rule is greedy and does not minimise the total distance along the order. Letters other than A, C, G, T and U are skipped when k-mers are counted, so k-mers can span an N or another ambiguity code; the B2 examples exclude copies with N.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(it passed the threshold but is weakly supported, not uncalled), and the case is kept through the final alignment. Columns where no residue reaches the threshold give no consensus base and are dropped, as in EMBOSS cons.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The ordering makes this step useful: because the copies of a chunk are similar, a base they share passes the threshold, while a substitution or indel present in one or a few of them does not, so the consensus keeps what the chunk has in common and drops what is private to single copies.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describes, without labels, how tight the chunk behind each row is: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a group needs roughly N copies to obtain a row of its own, and an abundant group fills several rows. A larger N averages over more copies and so removes more of the noise of single copies, at the price of coarser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needs about N copies in the sample to obtain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3,600 consensus runs and 80 MSF files, no difference). The distance matrix agrees with a brute-force computation, and the C and Python orderings give byte-identical orders on 292 synthetic cases. For the same input file, output is byte-identical across runs and thread counts in the default mode (</w:t>
      </w:r>
      <w:r>
        <w:rPr>
          <w:rFonts w:ascii="Courier New" w:hAnsi="Courier New"/>
          <w:b w:val="0"/>
          <w:i w:val="0"/>
        </w:rPr>
        <w:t>-F</w:t>
      </w:r>
      <w:r>
        <w:rPr>
          <w:b w:val="0"/>
          <w:i w:val="0"/>
        </w:rPr>
        <w:t xml:space="preserve">, which refines the final alignment on all threads, gives up this guarantee);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Identities in the text are the best local alignment (match 2, mismatch −3, gap open −5, extension −2) of a copy or row against a reference, counted as matches over the longer of the two aligned spans, and a hit is accepted when it covers at least half of the query. The class consensuses are built from the same copies that are assigned to the class, so identity to them describes the collection; the Dfam and Vassetzky et al. consensuses are independent references. That a consensus is closer to a reference than its member copies are is expected of any consensus; it shows that the copy-level noise is removed, not that the chunks are the right groups.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rows are closer to the published consensuses of the family than the copies they summarise: to the nearest of the five consensuses of Vassetzky et al. [16], single copies have a median identity of 0.817 (interquartile range 0.763–0.895; the 2,873 copies whose best hit covers at least half their length) and the 60 rows 0.936 (0.913–0.958); to the nearest Dfam consensus, 0.799 and 0.915. The difference is the copy-level noise that the consensus removes.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not to estimate how it performs on a natural sample, 390 of the copies (a deliberately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but each copy still carries scattered differences of its own. In the 20 consensuses these private differences are gone, and what remains are the bases and indels that set the groups apart: the same structure, in 20 rows and more clearly than in the 390 copies.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of the 343 Sanger-sequenced polymorphic Alu records of Konkel et al. [19] (322 unique loci; the 316 are the full-length bodies, 250–330 bp and at least 90 % of the AluY consensus),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needs about N copies in the sample.</w:t>
      </w:r>
    </w:p>
    <w:p>
      <w:pPr>
        <w:keepNext/>
      </w:pPr>
      <w:r>
        <w:rPr>
          <w:b/>
          <w:i/>
          <w:sz w:val="24"/>
        </w:rPr>
        <w:t>Input preparation (Additional file 7)</w:t>
      </w:r>
    </w:p>
    <w:p>
      <w:r>
        <w:rPr>
          <w:b w:val="0"/>
          <w:i w:val="0"/>
        </w:rPr>
        <w:t>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two shuffled input orders (47 and 36), and the published consensuses of the family (Dfam and Vassetzky et al. [16]) are found among the rows at the same identities as without flanks (for example B2c 0.994 without flanks, 0.979 and 0.969 with them). Modest flanks are tolerated, but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mean 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mean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Nothing is left out: every copy contributes to one row, and each row condenses its copies into the bases they share, so that variants shared by a group are visible in the rows while the noise of single copies is not.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by statistical tests on aligned copies (full-length copies in Price et al.); TEtrimmer automates the curation of a consensus library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A row shows what its copies share, not the variation among them. How much variation lies behind each row is reported for every chunk without labels: the lower-case bases of the row mark columns that half of the chunk or fewer support, and the chunk statistics give the agreement of the members with each column's most frequent base, their median and lowest identity to those bases, and the share of gappy columns, so that a row built from a loose chunk (a mixture, an old diverged group or outlier copies) is flagged as such. A variant carried by too few copies to pass the threshold is read from the member copies (</w:t>
      </w:r>
      <w:r>
        <w:rPr>
          <w:rFonts w:ascii="Courier New" w:hAnsi="Courier New"/>
          <w:b w:val="0"/>
          <w:i w:val="0"/>
        </w:rPr>
        <w:t>-e</w:t>
      </w:r>
      <w:r>
        <w:rPr>
          <w:b w:val="0"/>
          <w:i w:val="0"/>
        </w:rPr>
        <w:t xml:space="preserve">). 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 Only transposable-element copies were tested; satellite monomers and multigene families are within the intended use but not evaluated here. A chunk of fixed size has no guarantee of matching a biological group, and the number of copies a group needs for a row of its own (about N) is a nominal figure, not a detection limit. A tree built from the rows is an exploration of the rows; it does not replace an analysis of the copies.</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Each row condenses neighbouring copies into the bases they share, so the noise of single copies falls away and the features of groups of copies become visible.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8</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w:t>
      </w:r>
      <w:r>
        <w:rPr>
          <w:rFonts w:ascii="Courier New" w:hAnsi="Courier New"/>
          <w:b w:val="0"/>
          <w:i w:val="0"/>
        </w:rPr>
        <w:t>flanks2.sh</w:t>
      </w:r>
      <w:r>
        <w:rPr>
          <w:b w:val="0"/>
          <w:i w:val="0"/>
        </w:rPr>
        <w:t xml:space="preserve"> and </w:t>
      </w:r>
      <w:r>
        <w:rPr>
          <w:rFonts w:ascii="Courier New" w:hAnsi="Courier New"/>
          <w:b w:val="0"/>
          <w:i w:val="0"/>
        </w:rPr>
        <w:t>copies_vs_rows.sh</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the differences private to single copies in (b) are absent from the consensuses, and the differences between groups remain.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(CSV). Input preparation. The 3,000 B2 copies of Example 1 without flanks, in two shuffled input orders, and with 25, 100 and 500 bp of their own flank on each side: copy pairs kept in the same chunk, element-only rows recurring at ≥ 0.95 identity, and the best identity of each Dfam and Vassetzky et al. [16] consensus among the rows.</w:t>
      </w:r>
    </w:p>
    <w:p>
      <w:r>
        <w:rPr>
          <w:b/>
          <w:i w:val="0"/>
        </w:rPr>
        <w:t>Additional file 8</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