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in place of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too large for many of the tools that follow, such as aligners, tree builders and library curation. Researchers who study repeat families need a compact view of the copies that keeps their variation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aligns each chunk, calls a plurality consensus for each chunk and aligns the consensuses. The output is an alignment of chunk consensuses ordered by similarity, with a table of the copies behind every row. It needs neither a reference nor an identity cutoff, and its main parameter is N, the number of copies per row. A family of up to millions of copies can be run on a random sample: at the default N, about 30,000 copies give some 600 rows, which a reader can still take in at once. On mouse B2 and human Alu SINEs the published consensuses of the family appear among the rows and on B2 the lineages of the family form blocks of rows; on 5′-truncated human LINE-1 copies the rows extend as far as their copies do. Without the ordering, chunks mix dissimilar copies. Every row traces back to its member copies, which SubFam can write out for further work. The consensus writer reproduces EMBOSS cons byte for byte, and the output does not depend on the number of threads.</w:t>
      </w:r>
    </w:p>
    <w:p>
      <w:r>
        <w:rPr>
          <w:b/>
          <w:i w:val="0"/>
        </w:rPr>
        <w:t>Conclusions.</w:t>
      </w:r>
      <w:r>
        <w:rPr>
          <w:b w:val="0"/>
          <w:i w:val="0"/>
        </w:rPr>
        <w:t xml:space="preserve"> SubFam turns a pile of raw copies into an ordered alignment that a person can read and a downstream tool can take.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MeShClust [5]) groups copies above an identity cutoff, which is tuned to one level of divergence; statistical subfamily methods, from the genome-wide Alu analysis of Price et al. [6] to COSEG [7], define subfamilies on copies aligned to one reference over a shared window; library-curation tools such as TEtrimmer [8] refine one family consensus at a time from a genome.</w:t>
      </w:r>
    </w:p>
    <w:p>
      <w:r>
        <w:rPr>
          <w:b w:val="0"/>
          <w:i w:val="0"/>
        </w:rPr>
        <w:t>Between the raw copies and these analyses lies a practical step: making the heap of copies visible and small enough to work with.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the consensus of a chunk of neighbouring copies;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uses no labels: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a group needs roughly N copies to obtain a row of its own, and an abundant group fills several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needs about N copies in the sample to obtain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xml:space="preserve">: 3,600 consensus runs and 80 MSF files, no difference). The distance matrix agrees with a brute-force computation, and the C and Python orderings give byte-identical orders on 292 synthetic cases. Output is byte-identical across runs and thread counts;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390 of the copies (a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and the 20 consensuses carry the same structure in 20 rows.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needs about N copies in the sample.</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on copies that span a common window of one reference alignment (full-length copies in Price et al.); TEtrimmer curates a library one family at a time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 xml:space="preserve">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7</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