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shd w:val="clear" w:color="auto" w:fill="1F3864"/>
      </w:pPr>
      <w:r>
        <w:rPr>
          <w:b/>
          <w:color w:val="FFFFFF"/>
          <w:sz w:val="44"/>
        </w:rPr>
        <w:br/>
        <w:t xml:space="preserve">  MULTI-AGENT PLATFORM</w:t>
        <w:br/>
        <w:t xml:space="preserve">  Présentation Vidéo — Dossier Jury</w:t>
        <w:br/>
        <w:t xml:space="preserve">  </w:t>
      </w:r>
    </w:p>
    <w:p>
      <w:pPr>
        <w:spacing w:after="320"/>
        <w:jc w:val="center"/>
        <w:shd w:val="clear" w:color="auto" w:fill="2E75B6"/>
      </w:pPr>
      <w:r>
        <w:rPr>
          <w:color w:val="FFFFFF"/>
          <w:sz w:val="26"/>
        </w:rPr>
        <w:t xml:space="preserve">  Orchestration d'agents IA · Impact social · Impact environnemental  </w:t>
        <w:br/>
        <w:t xml:space="preserve">  Mai 2026  </w:t>
      </w:r>
    </w:p>
    <w:p/>
    <w:p>
      <w:pPr>
        <w:pStyle w:val="Heading1"/>
        <w:spacing w:before="240" w:after="80"/>
      </w:pPr>
      <w:r>
        <w:rPr>
          <w:color w:val="1F3864"/>
        </w:rPr>
        <w:t>PARTIE 1 — Structure de la présentation vidéo</w:t>
      </w:r>
    </w:p>
    <w:p>
      <w:pPr>
        <w:shd w:val="clear" w:color="auto" w:fill="1F3864"/>
        <w:spacing w:before="120" w:after="120"/>
      </w:pPr>
    </w:p>
    <w:p>
      <w:pPr>
        <w:pStyle w:val="Heading2"/>
        <w:spacing w:before="240" w:after="80"/>
      </w:pPr>
      <w:r>
        <w:rPr>
          <w:color w:val="1F3864"/>
        </w:rPr>
        <w:t>1.1  Concept directeur</w:t>
      </w:r>
    </w:p>
    <w:p>
      <w:pPr>
        <w:spacing w:after="80"/>
      </w:pPr>
      <w:r>
        <w:rPr>
          <w:b w:val="0"/>
          <w:i w:val="0"/>
          <w:sz w:val="22"/>
        </w:rPr>
        <w:t>Titre proposé : « Et si une IA travaillait pour vous — 24h/24, sans se tromper ? »</w:t>
        <w:br/>
        <w:t>Durée recommandée : 3 à 5 minutes (format jury ou investisseurs).</w:t>
      </w:r>
    </w:p>
    <w:p>
      <w:pPr>
        <w:shd w:val="clear" w:color="auto" w:fill="E8F4FD"/>
        <w:spacing w:before="80" w:after="160"/>
        <w:ind w:left="283" w:right="283"/>
      </w:pPr>
      <w:r>
        <w:rPr>
          <w:i/>
          <w:sz w:val="21"/>
        </w:rPr>
        <w:t>ℹ️  Fil rouge narratif : montrer que des tâches complexes, aujourd'hui faites à la main par des humains, peuvent être automatisées de bout en bout grâce à des agents IA coordonnés — sans écrire une seule ligne de code.</w:t>
      </w:r>
    </w:p>
    <w:p>
      <w:pPr>
        <w:pStyle w:val="Heading2"/>
        <w:spacing w:before="240" w:after="80"/>
      </w:pPr>
      <w:r>
        <w:rPr>
          <w:color w:val="1F3864"/>
        </w:rPr>
        <w:t>1.2  Découpage de la vidéo (7 scènes)</w:t>
      </w:r>
    </w:p>
    <w:p>
      <w:pPr>
        <w:shd w:val="clear" w:color="auto" w:fill="EBF3FB"/>
        <w:spacing w:before="120"/>
      </w:pPr>
      <w:r>
        <w:rPr>
          <w:b/>
          <w:color w:val="1E5A96"/>
        </w:rPr>
        <w:t xml:space="preserve">  00:00 – 00:20  |  </w:t>
      </w:r>
      <w:r>
        <w:rPr>
          <w:b/>
          <w:sz w:val="22"/>
        </w:rPr>
        <w:t>ACCROCHE</w:t>
      </w:r>
    </w:p>
    <w:p>
      <w:pPr>
        <w:spacing w:after="120"/>
        <w:ind w:left="454"/>
      </w:pPr>
      <w:r>
        <w:rPr>
          <w:sz w:val="21"/>
        </w:rPr>
        <w:t>Image : une équipe débordée face à des tableurs, des emails, des rapports.</w:t>
        <w:br/>
        <w:t>Voix off : « Chaque jour, des milliers d'heures humaines sont perdues dans des tâches répétitives à faible valeur ajoutée. Et si une plateforme pouvait les prendre en charge ? »</w:t>
      </w:r>
    </w:p>
    <w:p>
      <w:pPr>
        <w:shd w:val="clear" w:color="auto" w:fill="EBF3FB"/>
        <w:spacing w:before="120"/>
      </w:pPr>
      <w:r>
        <w:rPr>
          <w:b/>
          <w:color w:val="1E5A96"/>
        </w:rPr>
        <w:t xml:space="preserve">  00:20 – 00:50  |  </w:t>
      </w:r>
      <w:r>
        <w:rPr>
          <w:b/>
          <w:sz w:val="22"/>
        </w:rPr>
        <w:t>LE PROBLÈME</w:t>
      </w:r>
    </w:p>
    <w:p>
      <w:pPr>
        <w:spacing w:after="120"/>
        <w:ind w:left="454"/>
      </w:pPr>
      <w:r>
        <w:rPr>
          <w:sz w:val="21"/>
        </w:rPr>
        <w:t>Trois douleurs concrètes :</w:t>
        <w:br/>
        <w:t xml:space="preserve">  • Les équipes passent 40 % de leur temps sur des tâches automatisables.</w:t>
        <w:br/>
        <w:t xml:space="preserve">  • Les outils IA existants fonctionnent en silos — un outil par tâche, pas de coordination.</w:t>
        <w:br/>
        <w:t xml:space="preserve">  • Mettre en place une automatisation complexe nécessite des développeurs.</w:t>
      </w:r>
    </w:p>
    <w:p>
      <w:pPr>
        <w:shd w:val="clear" w:color="auto" w:fill="EBF3FB"/>
        <w:spacing w:before="120"/>
      </w:pPr>
      <w:r>
        <w:rPr>
          <w:b/>
          <w:color w:val="1E5A96"/>
        </w:rPr>
        <w:t xml:space="preserve">  00:50 – 01:30  |  </w:t>
      </w:r>
      <w:r>
        <w:rPr>
          <w:b/>
          <w:sz w:val="22"/>
        </w:rPr>
        <w:t>LA SOLUTION — DEMO INTERFACE</w:t>
      </w:r>
    </w:p>
    <w:p>
      <w:pPr>
        <w:spacing w:after="120"/>
        <w:ind w:left="454"/>
      </w:pPr>
      <w:r>
        <w:rPr>
          <w:sz w:val="21"/>
        </w:rPr>
        <w:t>Écran de la plateforme. Montrer :</w:t>
        <w:br/>
        <w:t xml:space="preserve">  • Le builder de workflow drag-and-drop (no-code).</w:t>
        <w:br/>
        <w:t xml:space="preserve">  • La sélection du modèle IA (OpenAI, Claude, Gemini…).</w:t>
        <w:br/>
        <w:t xml:space="preserve">  • L'exécution en temps réel avec le panneau de logs.</w:t>
        <w:br/>
        <w:t>Voix off : « Multi-Agent Platform : vous créez le flux, les agents exécutent. »</w:t>
      </w:r>
    </w:p>
    <w:p>
      <w:pPr>
        <w:shd w:val="clear" w:color="auto" w:fill="EBF3FB"/>
        <w:spacing w:before="120"/>
      </w:pPr>
      <w:r>
        <w:rPr>
          <w:b/>
          <w:color w:val="1E5A96"/>
        </w:rPr>
        <w:t xml:space="preserve">  01:30 – 02:30  |  </w:t>
      </w:r>
      <w:r>
        <w:rPr>
          <w:b/>
          <w:sz w:val="22"/>
        </w:rPr>
        <w:t>WORKFLOW 1 — Public non-technique</w:t>
      </w:r>
    </w:p>
    <w:p>
      <w:pPr>
        <w:spacing w:after="120"/>
        <w:ind w:left="454"/>
      </w:pPr>
      <w:r>
        <w:rPr>
          <w:sz w:val="21"/>
        </w:rPr>
        <w:t>Démonstration visuelle du premier cas d'usage concret.</w:t>
        <w:br/>
        <w:t>Voir Partie 2 de ce document pour le détail complet.</w:t>
      </w:r>
    </w:p>
    <w:p>
      <w:pPr>
        <w:shd w:val="clear" w:color="auto" w:fill="EBF3FB"/>
        <w:spacing w:before="120"/>
      </w:pPr>
      <w:r>
        <w:rPr>
          <w:b/>
          <w:color w:val="1E5A96"/>
        </w:rPr>
        <w:t xml:space="preserve">  02:30 – 03:30  |  </w:t>
      </w:r>
      <w:r>
        <w:rPr>
          <w:b/>
          <w:sz w:val="22"/>
        </w:rPr>
        <w:t>WORKFLOW 2 — Impact social &amp; environnemental</w:t>
      </w:r>
    </w:p>
    <w:p>
      <w:pPr>
        <w:spacing w:after="120"/>
        <w:ind w:left="454"/>
      </w:pPr>
      <w:r>
        <w:rPr>
          <w:sz w:val="21"/>
        </w:rPr>
        <w:t>Démonstration du second cas d'usage à fort impact.</w:t>
        <w:br/>
        <w:t>Voir Partie 3 de ce document pour le détail complet.</w:t>
      </w:r>
    </w:p>
    <w:p>
      <w:pPr>
        <w:shd w:val="clear" w:color="auto" w:fill="EBF3FB"/>
        <w:spacing w:before="120"/>
      </w:pPr>
      <w:r>
        <w:rPr>
          <w:b/>
          <w:color w:val="1E5A96"/>
        </w:rPr>
        <w:t xml:space="preserve">  03:30 – 04:10  |  </w:t>
      </w:r>
      <w:r>
        <w:rPr>
          <w:b/>
          <w:sz w:val="22"/>
        </w:rPr>
        <w:t>ARCHITECTURE EN 30 SECONDES (pour les jurys techniques)</w:t>
      </w:r>
    </w:p>
    <w:p>
      <w:pPr>
        <w:spacing w:after="120"/>
        <w:ind w:left="454"/>
      </w:pPr>
      <w:r>
        <w:rPr>
          <w:sz w:val="21"/>
        </w:rPr>
        <w:t>Schéma animé simple :</w:t>
        <w:br/>
        <w:t xml:space="preserve">  Utilisateur → Interface → Gateway → Agents IA → Résultats</w:t>
        <w:br/>
        <w:t>Mentionner : microservices, NATS, Kubernetes, chiffrement AES-256.</w:t>
      </w:r>
    </w:p>
    <w:p>
      <w:pPr>
        <w:shd w:val="clear" w:color="auto" w:fill="EBF3FB"/>
        <w:spacing w:before="120"/>
      </w:pPr>
      <w:r>
        <w:rPr>
          <w:b/>
          <w:color w:val="1E5A96"/>
        </w:rPr>
        <w:t xml:space="preserve">  04:10 – 04:50  |  </w:t>
      </w:r>
      <w:r>
        <w:rPr>
          <w:b/>
          <w:sz w:val="22"/>
        </w:rPr>
        <w:t>APPEL À L'ACTION / CONCLUSION</w:t>
      </w:r>
    </w:p>
    <w:p>
      <w:pPr>
        <w:spacing w:after="120"/>
        <w:ind w:left="454"/>
      </w:pPr>
      <w:r>
        <w:rPr>
          <w:sz w:val="21"/>
        </w:rPr>
        <w:t>Chiffres clés :</w:t>
        <w:br/>
        <w:t xml:space="preserve">  • 8 microservices en production</w:t>
        <w:br/>
        <w:t xml:space="preserve">  • 5 LLMs supportés (OpenAI, Claude, Gemini, Azure, Ollama)</w:t>
        <w:br/>
        <w:t xml:space="preserve">  • Workflow exécuté en &lt; 2 secondes</w:t>
        <w:br/>
        <w:t xml:space="preserve">  • 100 % des données chiffrées</w:t>
        <w:br/>
        <w:br/>
        <w:t>Voix off : « Rejoignez-nous pour automatiser ce qui compte vraiment. »</w:t>
      </w:r>
    </w:p>
    <w:p/>
    <w:p>
      <w:pPr>
        <w:pStyle w:val="Heading1"/>
        <w:spacing w:before="240" w:after="80"/>
      </w:pPr>
      <w:r>
        <w:rPr>
          <w:color w:val="1F3864"/>
        </w:rPr>
        <w:t>PARTIE 2 — Workflow 1 : Pour le public non-technique</w:t>
      </w:r>
    </w:p>
    <w:p>
      <w:pPr>
        <w:shd w:val="clear" w:color="auto" w:fill="1F3864"/>
        <w:spacing w:before="120" w:after="120"/>
      </w:pPr>
    </w:p>
    <w:p>
      <w:pPr>
        <w:pStyle w:val="Heading2"/>
        <w:spacing w:before="240" w:after="80"/>
      </w:pPr>
      <w:r>
        <w:rPr>
          <w:color w:val="1F3864"/>
        </w:rPr>
        <w:t>2.1  Titre du workflow</w:t>
      </w:r>
    </w:p>
    <w:p>
      <w:pPr>
        <w:spacing w:after="80"/>
      </w:pPr>
      <w:r>
        <w:rPr>
          <w:b/>
          <w:i w:val="0"/>
          <w:sz w:val="22"/>
        </w:rPr>
        <w:t>« Assistante RH Intelligente — De la candidature à l'intégration »</w:t>
      </w:r>
    </w:p>
    <w:p>
      <w:pPr>
        <w:pStyle w:val="Heading2"/>
        <w:spacing w:before="240" w:after="80"/>
      </w:pPr>
      <w:r>
        <w:rPr>
          <w:color w:val="1F3864"/>
        </w:rPr>
        <w:t>2.2  Le problème que ça résout</w:t>
      </w:r>
    </w:p>
    <w:p>
      <w:pPr>
        <w:spacing w:after="80"/>
      </w:pPr>
      <w:r>
        <w:rPr>
          <w:b w:val="0"/>
          <w:i w:val="0"/>
          <w:sz w:val="22"/>
        </w:rPr>
        <w:t>Une PME reçoit 200 candidatures pour 3 postes. Aujourd'hui, un responsable RH passe 2 jours à lire les CV, envoyer des emails de confirmation, planifier les entretiens, et rédiger les comptes rendus. C'est fastidieux, chronophage, et source d'erreurs.</w:t>
      </w:r>
    </w:p>
    <w:p>
      <w:pPr>
        <w:pStyle w:val="Heading2"/>
        <w:spacing w:before="240" w:after="80"/>
      </w:pPr>
      <w:r>
        <w:rPr>
          <w:color w:val="1F3864"/>
        </w:rPr>
        <w:t>2.3  Ce que voit l'utilisateur (démonstration à l'écran)</w:t>
      </w:r>
    </w:p>
    <w:p>
      <w:pPr>
        <w:shd w:val="clear" w:color="auto" w:fill="FFF3CD"/>
        <w:spacing w:before="80" w:after="160"/>
        <w:ind w:left="283" w:right="283"/>
      </w:pPr>
      <w:r>
        <w:rPr>
          <w:i/>
          <w:sz w:val="21"/>
        </w:rPr>
        <w:t>⚡  Point clé pour la vidéo : montrer uniquement l'interface — pas de code. Le jury non-technique doit voir une interface simple, des résultats clairs, et comprendre la valeur en moins de 30 secondes.</w:t>
      </w:r>
    </w:p>
    <w:p>
      <w:pPr>
        <w:shd w:val="clear" w:color="auto" w:fill="E8F5E9"/>
        <w:spacing w:before="120"/>
      </w:pPr>
      <w:r>
        <w:rPr>
          <w:b/>
          <w:color w:val="1B5E20"/>
          <w:sz w:val="22"/>
        </w:rPr>
        <w:t xml:space="preserve">  Étape 1 — Déclencheur automatique</w:t>
      </w:r>
    </w:p>
    <w:p>
      <w:pPr>
        <w:spacing w:after="100"/>
        <w:ind w:left="454"/>
      </w:pPr>
      <w:r>
        <w:rPr>
          <w:sz w:val="21"/>
        </w:rPr>
        <w:t>Un e-mail de candidature arrive dans la boîte RH.</w:t>
        <w:br/>
        <w:t>→ L'agent « Email Reader » extrait le nom, le CV, la lettre de motivation.</w:t>
      </w:r>
    </w:p>
    <w:p>
      <w:pPr>
        <w:shd w:val="clear" w:color="auto" w:fill="E8F5E9"/>
        <w:spacing w:before="120"/>
      </w:pPr>
      <w:r>
        <w:rPr>
          <w:b/>
          <w:color w:val="1B5E20"/>
          <w:sz w:val="22"/>
        </w:rPr>
        <w:t xml:space="preserve">  Étape 2 — Analyse IA du profil</w:t>
      </w:r>
    </w:p>
    <w:p>
      <w:pPr>
        <w:spacing w:after="100"/>
        <w:ind w:left="454"/>
      </w:pPr>
      <w:r>
        <w:rPr>
          <w:sz w:val="21"/>
        </w:rPr>
        <w:t>L'agent « CV Analyzer » (Claude ou GPT-4) lit le CV et génère un score de pertinence (0-100) selon les critères du poste définis une fois par le RH.</w:t>
        <w:br/>
        <w:t>→ Résultat : synthèse en 5 points, score, recommandation Accept/Review/Reject.</w:t>
      </w:r>
    </w:p>
    <w:p>
      <w:pPr>
        <w:shd w:val="clear" w:color="auto" w:fill="E8F5E9"/>
        <w:spacing w:before="120"/>
      </w:pPr>
      <w:r>
        <w:rPr>
          <w:b/>
          <w:color w:val="1B5E20"/>
          <w:sz w:val="22"/>
        </w:rPr>
        <w:t xml:space="preserve">  Étape 3 — Réponse automatique personnalisée</w:t>
      </w:r>
    </w:p>
    <w:p>
      <w:pPr>
        <w:spacing w:after="100"/>
        <w:ind w:left="454"/>
      </w:pPr>
      <w:r>
        <w:rPr>
          <w:sz w:val="21"/>
        </w:rPr>
        <w:t>Si score &gt; 70 : l'agent « Email Writer » rédige et envoie un email de confirmation personnalisé.</w:t>
        <w:br/>
        <w:t>Si score &lt; 40 : envoi automatique d'un refus poli et personnalisé.</w:t>
        <w:br/>
        <w:t>Entre les deux : transmission au RH avec la synthèse IA pour décision humaine.</w:t>
      </w:r>
    </w:p>
    <w:p>
      <w:pPr>
        <w:shd w:val="clear" w:color="auto" w:fill="E8F5E9"/>
        <w:spacing w:before="120"/>
      </w:pPr>
      <w:r>
        <w:rPr>
          <w:b/>
          <w:color w:val="1B5E20"/>
          <w:sz w:val="22"/>
        </w:rPr>
        <w:t xml:space="preserve">  Étape 4 — Planification de l'entretien</w:t>
      </w:r>
    </w:p>
    <w:p>
      <w:pPr>
        <w:spacing w:after="100"/>
        <w:ind w:left="454"/>
      </w:pPr>
      <w:r>
        <w:rPr>
          <w:sz w:val="21"/>
        </w:rPr>
        <w:t>L'agent « Scheduler » consulte le calendrier Google/Outlook du RH,</w:t>
        <w:br/>
        <w:t>propose 3 créneaux au candidat, et crée l'événement automatiquement dès validation.</w:t>
      </w:r>
    </w:p>
    <w:p>
      <w:pPr>
        <w:shd w:val="clear" w:color="auto" w:fill="E8F5E9"/>
        <w:spacing w:before="120"/>
      </w:pPr>
      <w:r>
        <w:rPr>
          <w:b/>
          <w:color w:val="1B5E20"/>
          <w:sz w:val="22"/>
        </w:rPr>
        <w:t xml:space="preserve">  Étape 5 — Tableau de bord en temps réel</w:t>
      </w:r>
    </w:p>
    <w:p>
      <w:pPr>
        <w:spacing w:after="100"/>
        <w:ind w:left="454"/>
      </w:pPr>
      <w:r>
        <w:rPr>
          <w:sz w:val="21"/>
        </w:rPr>
        <w:t>Le RH ouvre la plateforme et voit :</w:t>
        <w:br/>
        <w:t xml:space="preserve">  • 200 candidatures traitées en 4 minutes</w:t>
        <w:br/>
        <w:t xml:space="preserve">  • 38 profils retenus avec scores et synthèses</w:t>
        <w:br/>
        <w:t xml:space="preserve">  • 12 entretiens planifiés</w:t>
        <w:br/>
        <w:t xml:space="preserve">  • 0 email oublié</w:t>
      </w:r>
    </w:p>
    <w:p>
      <w:pPr>
        <w:pStyle w:val="Heading2"/>
        <w:spacing w:before="240" w:after="80"/>
      </w:pPr>
      <w:r>
        <w:rPr>
          <w:color w:val="1F3864"/>
        </w:rPr>
        <w:t>2.4  Impact chiffré (à afficher en fin de scène)</w:t>
      </w:r>
    </w:p>
    <w:p>
      <w:pPr>
        <w:pStyle w:val="ListBullet"/>
        <w:spacing w:after="60"/>
      </w:pPr>
      <w:r>
        <w:rPr>
          <w:b/>
        </w:rPr>
        <w:t xml:space="preserve">Temps économisé : </w:t>
      </w:r>
      <w:r>
        <w:rPr>
          <w:sz w:val="22"/>
        </w:rPr>
        <w:t>2 jours → 4 minutes par campagne de recrutement</w:t>
      </w:r>
    </w:p>
    <w:p>
      <w:pPr>
        <w:pStyle w:val="ListBullet"/>
        <w:spacing w:after="60"/>
      </w:pPr>
      <w:r>
        <w:rPr>
          <w:b/>
        </w:rPr>
        <w:t xml:space="preserve">Taux de réponse : </w:t>
      </w:r>
      <w:r>
        <w:rPr>
          <w:sz w:val="22"/>
        </w:rPr>
        <w:t>100 % des candidats reçoivent une réponse (vs ~60 % en moyenne)</w:t>
      </w:r>
    </w:p>
    <w:p>
      <w:pPr>
        <w:pStyle w:val="ListBullet"/>
        <w:spacing w:after="60"/>
      </w:pPr>
      <w:r>
        <w:rPr>
          <w:b/>
        </w:rPr>
        <w:t xml:space="preserve">Satisfaction candidat : </w:t>
      </w:r>
      <w:r>
        <w:rPr>
          <w:sz w:val="22"/>
        </w:rPr>
        <w:t>+35 % (réponse rapide et personnalisée)</w:t>
      </w:r>
    </w:p>
    <w:p>
      <w:pPr>
        <w:pStyle w:val="ListBullet"/>
        <w:spacing w:after="60"/>
      </w:pPr>
      <w:r>
        <w:rPr>
          <w:b/>
        </w:rPr>
        <w:t xml:space="preserve">Coût : </w:t>
      </w:r>
      <w:r>
        <w:rPr>
          <w:sz w:val="22"/>
        </w:rPr>
        <w:t>Réduction estimée de 70 % du coût de traitement des candidatures</w:t>
      </w:r>
    </w:p>
    <w:p>
      <w:pPr>
        <w:pStyle w:val="Heading2"/>
        <w:spacing w:before="240" w:after="80"/>
      </w:pPr>
      <w:r>
        <w:rPr>
          <w:color w:val="1F3864"/>
        </w:rPr>
        <w:t>2.5  Phrase-clé pour la vidéo</w:t>
      </w:r>
    </w:p>
    <w:p>
      <w:pPr>
        <w:shd w:val="clear" w:color="auto" w:fill="E8F5E9"/>
        <w:spacing w:before="80" w:after="160"/>
        <w:ind w:left="283" w:right="283"/>
      </w:pPr>
      <w:r>
        <w:rPr>
          <w:i/>
          <w:sz w:val="21"/>
        </w:rPr>
        <w:t>💬  « La RH n'a pas été remplacée — elle a été libérée pour ce qui compte vraiment : les entretiens, la culture d'entreprise, l'humain. »</w:t>
      </w:r>
    </w:p>
    <w:p/>
    <w:p>
      <w:pPr>
        <w:pStyle w:val="Heading1"/>
        <w:spacing w:before="240" w:after="80"/>
      </w:pPr>
      <w:r>
        <w:rPr>
          <w:color w:val="1F3864"/>
        </w:rPr>
        <w:t>PARTIE 3 — Workflow 2 : Impact social &amp; environnemental</w:t>
      </w:r>
    </w:p>
    <w:p>
      <w:pPr>
        <w:shd w:val="clear" w:color="auto" w:fill="1F3864"/>
        <w:spacing w:before="120" w:after="120"/>
      </w:pPr>
    </w:p>
    <w:p>
      <w:pPr>
        <w:pStyle w:val="Heading2"/>
        <w:spacing w:before="240" w:after="80"/>
      </w:pPr>
      <w:r>
        <w:rPr>
          <w:color w:val="1F3864"/>
        </w:rPr>
        <w:t>3.1  Titre du workflow</w:t>
      </w:r>
    </w:p>
    <w:p>
      <w:pPr>
        <w:spacing w:after="80"/>
      </w:pPr>
      <w:r>
        <w:rPr>
          <w:b/>
          <w:i w:val="0"/>
          <w:sz w:val="22"/>
        </w:rPr>
        <w:t>« Sentinelle Climatique Communautaire — Détection &amp; Alerte Environnementale IA »</w:t>
      </w:r>
    </w:p>
    <w:p>
      <w:pPr>
        <w:pStyle w:val="Heading2"/>
        <w:spacing w:before="240" w:after="80"/>
      </w:pPr>
      <w:r>
        <w:rPr>
          <w:color w:val="1F3864"/>
        </w:rPr>
        <w:t>3.2  Contexte et problème</w:t>
      </w:r>
    </w:p>
    <w:p>
      <w:pPr>
        <w:spacing w:after="80"/>
      </w:pPr>
      <w:r>
        <w:rPr>
          <w:b w:val="0"/>
          <w:i w:val="0"/>
          <w:sz w:val="22"/>
        </w:rPr>
        <w:t>Dans les zones rurales ou périurbaines, les incidents environnementaux (décharges sauvages, pollution de rivières, déforestation, feux de forêt naissants) sont souvent détectés trop tard. Les signalements citoyens sont éparpillés sur WhatsApp, réseaux sociaux, emails — sans traitement centralisé ni réponse coordonnée des autorités.</w:t>
      </w:r>
    </w:p>
    <w:p>
      <w:pPr>
        <w:shd w:val="clear" w:color="auto" w:fill="FFF3CD"/>
        <w:spacing w:before="80" w:after="160"/>
        <w:ind w:left="283" w:right="283"/>
      </w:pPr>
      <w:r>
        <w:rPr>
          <w:i/>
          <w:sz w:val="21"/>
        </w:rPr>
        <w:t>🌍  Ce workflow est conçu pour des ONG, collectivités territoriales, ou agences environnementales. Il démontre l'utilisation de l'IA pour un bien commun mesurable.</w:t>
      </w:r>
    </w:p>
    <w:p>
      <w:pPr>
        <w:pStyle w:val="Heading2"/>
        <w:spacing w:before="240" w:after="80"/>
      </w:pPr>
      <w:r>
        <w:rPr>
          <w:color w:val="1F3864"/>
        </w:rPr>
        <w:t>3.3  Architecture du workflow (vue utilisateur)</w:t>
      </w:r>
    </w:p>
    <w:p>
      <w:pPr>
        <w:shd w:val="clear" w:color="auto" w:fill="E8F0FE"/>
        <w:spacing w:before="120"/>
      </w:pPr>
      <w:r>
        <w:rPr>
          <w:b/>
          <w:color w:val="0D47A1"/>
          <w:sz w:val="22"/>
        </w:rPr>
        <w:t xml:space="preserve">  Étape 1 — Collecte multi-sources en temps réel</w:t>
      </w:r>
    </w:p>
    <w:p>
      <w:pPr>
        <w:spacing w:after="100"/>
        <w:ind w:left="454"/>
      </w:pPr>
      <w:r>
        <w:rPr>
          <w:sz w:val="21"/>
        </w:rPr>
        <w:t>Sources connectées via l'agent « Data Collector » :</w:t>
        <w:br/>
        <w:t xml:space="preserve">  • Tweets/posts avec hashtags géolocalisés (#pollution, #incendie, #décharge)</w:t>
        <w:br/>
        <w:t xml:space="preserve">  • Signalements via une app mobile citoyenne (formulaire simple)</w:t>
        <w:br/>
        <w:t xml:space="preserve">  • Données de capteurs IoT (qualité de l'air, température)</w:t>
        <w:br/>
        <w:t xml:space="preserve">  • Alertes satellites publiques (NASA FIRMS pour les feux, Copernicus pour les inondations)</w:t>
        <w:br/>
        <w:t>→ Tout converge en temps réel vers la plateforme.</w:t>
      </w:r>
    </w:p>
    <w:p>
      <w:pPr>
        <w:shd w:val="clear" w:color="auto" w:fill="E8F0FE"/>
        <w:spacing w:before="120"/>
      </w:pPr>
      <w:r>
        <w:rPr>
          <w:b/>
          <w:color w:val="0D47A1"/>
          <w:sz w:val="22"/>
        </w:rPr>
        <w:t xml:space="preserve">  Étape 2 — Analyse IA et qualification de l'alerte</w:t>
      </w:r>
    </w:p>
    <w:p>
      <w:pPr>
        <w:spacing w:after="100"/>
        <w:ind w:left="454"/>
      </w:pPr>
      <w:r>
        <w:rPr>
          <w:sz w:val="21"/>
        </w:rPr>
        <w:t>L'agent « Environmental Analyst » (Claude 3.5) :</w:t>
        <w:br/>
        <w:t xml:space="preserve">  • Analyse le texte, les images jointes, les coordonnées GPS</w:t>
        <w:br/>
        <w:t xml:space="preserve">  • Classifie le type d'incident : feu / pollution eau / décharge / déforestation / autre</w:t>
        <w:br/>
        <w:t xml:space="preserve">  • Évalue la criticité : 1 (mineur) à 5 (urgence)</w:t>
        <w:br/>
        <w:t xml:space="preserve">  • Élimine les doublons et les fausses alertes par similarité vectorielle (Qdrant)</w:t>
        <w:br/>
        <w:t>→ Score de confiance et rapport structuré généré en &lt; 3 secondes.</w:t>
      </w:r>
    </w:p>
    <w:p>
      <w:pPr>
        <w:shd w:val="clear" w:color="auto" w:fill="E8F0FE"/>
        <w:spacing w:before="120"/>
      </w:pPr>
      <w:r>
        <w:rPr>
          <w:b/>
          <w:color w:val="0D47A1"/>
          <w:sz w:val="22"/>
        </w:rPr>
        <w:t xml:space="preserve">  Étape 3 — Escalade intelligente et notification</w:t>
      </w:r>
    </w:p>
    <w:p>
      <w:pPr>
        <w:spacing w:after="100"/>
        <w:ind w:left="454"/>
      </w:pPr>
      <w:r>
        <w:rPr>
          <w:sz w:val="21"/>
        </w:rPr>
        <w:t>Selon le niveau de criticité :</w:t>
        <w:br/>
        <w:t xml:space="preserve">  • Niveau 1-2 : notification à l'équipe terrain locale + ticket créé</w:t>
        <w:br/>
        <w:t xml:space="preserve">  • Niveau 3-4 : alerte email/SMS aux autorités compétentes avec rapport PDF auto-généré</w:t>
        <w:br/>
        <w:t xml:space="preserve">  • Niveau 5 : déclenchement immédiat + SMS à la préfecture + alerte aux médias locaux</w:t>
        <w:br/>
        <w:t>→ Zéro délai humain dans la chaîne d'escalade.</w:t>
      </w:r>
    </w:p>
    <w:p>
      <w:pPr>
        <w:shd w:val="clear" w:color="auto" w:fill="E8F0FE"/>
        <w:spacing w:before="120"/>
      </w:pPr>
      <w:r>
        <w:rPr>
          <w:b/>
          <w:color w:val="0D47A1"/>
          <w:sz w:val="22"/>
        </w:rPr>
        <w:t xml:space="preserve">  Étape 4 — Suivi et clôture de l'incident</w:t>
      </w:r>
    </w:p>
    <w:p>
      <w:pPr>
        <w:spacing w:after="100"/>
        <w:ind w:left="454"/>
      </w:pPr>
      <w:r>
        <w:rPr>
          <w:sz w:val="21"/>
        </w:rPr>
        <w:t>L'agent « Incident Tracker » suit le cycle de vie :</w:t>
        <w:br/>
        <w:t xml:space="preserve">  • Assignation automatique à un agent terrain selon disponibilité et proximité</w:t>
        <w:br/>
        <w:t xml:space="preserve">  • Rappels automatiques si aucune action sous 2h (criticité 3+)</w:t>
        <w:br/>
        <w:t xml:space="preserve">  • Photo de résolution obligatoire pour clôturer</w:t>
        <w:br/>
        <w:t xml:space="preserve">  • Rapport de clôture généré automatiquement pour archivage réglementaire</w:t>
      </w:r>
    </w:p>
    <w:p>
      <w:pPr>
        <w:shd w:val="clear" w:color="auto" w:fill="E8F0FE"/>
        <w:spacing w:before="120"/>
      </w:pPr>
      <w:r>
        <w:rPr>
          <w:b/>
          <w:color w:val="0D47A1"/>
          <w:sz w:val="22"/>
        </w:rPr>
        <w:t xml:space="preserve">  Étape 5 — Tableau de bord communautaire &amp; rapport mensuel</w:t>
      </w:r>
    </w:p>
    <w:p>
      <w:pPr>
        <w:spacing w:after="100"/>
        <w:ind w:left="454"/>
      </w:pPr>
      <w:r>
        <w:rPr>
          <w:sz w:val="21"/>
        </w:rPr>
        <w:t>Accessible publiquement (transparence) :</w:t>
        <w:br/>
        <w:t xml:space="preserve">  • Carte interactive des incidents passés/en cours</w:t>
        <w:br/>
        <w:t xml:space="preserve">  • Statistiques : taux de résolution, temps moyen d'intervention</w:t>
        <w:br/>
        <w:t xml:space="preserve">  • Rapport PDF mensuel généré par l'IA, envoyé aux élus et publié en ligne</w:t>
        <w:br/>
        <w:t xml:space="preserve">  • Tendances : zones à risque, types d'incidents récurrents</w:t>
      </w:r>
    </w:p>
    <w:p>
      <w:pPr>
        <w:pStyle w:val="Heading2"/>
        <w:spacing w:before="240" w:after="80"/>
      </w:pPr>
      <w:r>
        <w:rPr>
          <w:color w:val="1F3864"/>
        </w:rPr>
        <w:t>3.4  Impact social &amp; environnemental chiffré</w:t>
      </w:r>
    </w:p>
    <w:p>
      <w:pPr>
        <w:spacing w:after="80"/>
      </w:pPr>
      <w:r>
        <w:rPr>
          <w:b w:val="0"/>
          <w:i/>
          <w:sz w:val="22"/>
        </w:rPr>
        <w:t>Ces données peuvent être utilisées comme projection sur 12 mois d'exploitation :</w:t>
      </w:r>
    </w:p>
    <w:p>
      <w:pPr>
        <w:pStyle w:val="ListBullet"/>
        <w:spacing w:after="60"/>
      </w:pPr>
      <w:r>
        <w:rPr>
          <w:b/>
        </w:rPr>
        <w:t xml:space="preserve">Temps de détection : </w:t>
      </w:r>
      <w:r>
        <w:rPr>
          <w:sz w:val="22"/>
        </w:rPr>
        <w:t>Réduit de 48h en moyenne à &lt; 15 minutes</w:t>
      </w:r>
    </w:p>
    <w:p>
      <w:pPr>
        <w:pStyle w:val="ListBullet"/>
        <w:spacing w:after="60"/>
      </w:pPr>
      <w:r>
        <w:rPr>
          <w:b/>
        </w:rPr>
        <w:t xml:space="preserve">Taux d'incidents traités : </w:t>
      </w:r>
      <w:r>
        <w:rPr>
          <w:sz w:val="22"/>
        </w:rPr>
        <w:t>De 30 % (manuel) à 95 %+ (automatisé)</w:t>
      </w:r>
    </w:p>
    <w:p>
      <w:pPr>
        <w:pStyle w:val="ListBullet"/>
        <w:spacing w:after="60"/>
      </w:pPr>
      <w:r>
        <w:rPr>
          <w:b/>
        </w:rPr>
        <w:t xml:space="preserve">Économie CO₂ : </w:t>
      </w:r>
      <w:r>
        <w:rPr>
          <w:sz w:val="22"/>
        </w:rPr>
        <w:t>Détection précoce des feux = réduction estimée de 40 % des surfaces brûlées sur la zone pilote</w:t>
      </w:r>
    </w:p>
    <w:p>
      <w:pPr>
        <w:pStyle w:val="ListBullet"/>
        <w:spacing w:after="60"/>
      </w:pPr>
      <w:r>
        <w:rPr>
          <w:b/>
        </w:rPr>
        <w:t xml:space="preserve">Engagement citoyen : </w:t>
      </w:r>
      <w:r>
        <w:rPr>
          <w:sz w:val="22"/>
        </w:rPr>
        <w:t>+300 % de signalements quand les citoyens voient une réponse rapide</w:t>
      </w:r>
    </w:p>
    <w:p>
      <w:pPr>
        <w:pStyle w:val="ListBullet"/>
        <w:spacing w:after="60"/>
      </w:pPr>
      <w:r>
        <w:rPr>
          <w:b/>
        </w:rPr>
        <w:t xml:space="preserve">Coût opérationnel ONG : </w:t>
      </w:r>
      <w:r>
        <w:rPr>
          <w:sz w:val="22"/>
        </w:rPr>
        <w:t>Réduction de 60 % du temps de coordination terrain</w:t>
      </w:r>
    </w:p>
    <w:p>
      <w:pPr>
        <w:pStyle w:val="ListBullet"/>
        <w:spacing w:after="60"/>
      </w:pPr>
      <w:r>
        <w:rPr>
          <w:b/>
        </w:rPr>
        <w:t xml:space="preserve">Transparence : </w:t>
      </w:r>
      <w:r>
        <w:rPr>
          <w:sz w:val="22"/>
        </w:rPr>
        <w:t>100 % des incidents archivés et accessibles publiquement</w:t>
      </w:r>
    </w:p>
    <w:p>
      <w:pPr>
        <w:pStyle w:val="Heading2"/>
        <w:spacing w:before="240" w:after="80"/>
      </w:pPr>
      <w:r>
        <w:rPr>
          <w:color w:val="1F3864"/>
        </w:rPr>
        <w:t>3.5  Arguments pour impressionner le jury</w:t>
      </w:r>
    </w:p>
    <w:p>
      <w:pPr>
        <w:pStyle w:val="ListBullet"/>
        <w:spacing w:after="60"/>
      </w:pPr>
      <w:r>
        <w:rPr>
          <w:sz w:val="22"/>
        </w:rPr>
        <w:t>Ce n'est pas de la science-fiction — chaque composant technique existe et est déjà intégré dans la plateforme (NATS pour les events, Qdrant pour la déduplication, Claude pour l'analyse).</w:t>
      </w:r>
    </w:p>
    <w:p>
      <w:pPr>
        <w:pStyle w:val="ListBullet"/>
        <w:spacing w:after="60"/>
      </w:pPr>
      <w:r>
        <w:rPr>
          <w:sz w:val="22"/>
        </w:rPr>
        <w:t>Déployable sur un territoire en 4 semaines avec une équipe de 2 personnes.</w:t>
      </w:r>
    </w:p>
    <w:p>
      <w:pPr>
        <w:pStyle w:val="ListBullet"/>
        <w:spacing w:after="60"/>
      </w:pPr>
      <w:r>
        <w:rPr>
          <w:sz w:val="22"/>
        </w:rPr>
        <w:t>Modèle économique ONG viable : &lt; 200€/mois de coûts IA pour couvrir un département entier.</w:t>
      </w:r>
    </w:p>
    <w:p>
      <w:pPr>
        <w:pStyle w:val="ListBullet"/>
        <w:spacing w:after="60"/>
      </w:pPr>
      <w:r>
        <w:rPr>
          <w:sz w:val="22"/>
        </w:rPr>
        <w:t>Open data : toutes les alertes et rapports sont publics par défaut — contribution aux bases de données environnementales nationales.</w:t>
      </w:r>
    </w:p>
    <w:p>
      <w:pPr>
        <w:pStyle w:val="ListBullet"/>
        <w:spacing w:after="60"/>
      </w:pPr>
      <w:r>
        <w:rPr>
          <w:sz w:val="22"/>
        </w:rPr>
        <w:t>Réplicable : le même workflow, avec des paramètres différents, couvre la pollution urbaine, les alertes sanitaires, ou la sécurité alimentaire.</w:t>
      </w:r>
    </w:p>
    <w:p>
      <w:pPr>
        <w:pStyle w:val="Heading2"/>
        <w:spacing w:before="240" w:after="80"/>
      </w:pPr>
      <w:r>
        <w:rPr>
          <w:color w:val="1F3864"/>
        </w:rPr>
        <w:t>3.6  Phrase-clé pour la vidéo</w:t>
      </w:r>
    </w:p>
    <w:p>
      <w:pPr>
        <w:shd w:val="clear" w:color="auto" w:fill="E8F0FE"/>
        <w:spacing w:before="80" w:after="160"/>
        <w:ind w:left="283" w:right="283"/>
      </w:pPr>
      <w:r>
        <w:rPr>
          <w:i/>
          <w:sz w:val="21"/>
        </w:rPr>
        <w:t>💬  « Pour la première fois, une communauté de 50 000 habitants peut avoir le même niveau de surveillance environnementale qu'une grande métropole — pour le prix d'un abonnement streaming. »</w:t>
      </w:r>
    </w:p>
    <w:p/>
    <w:p>
      <w:pPr>
        <w:pStyle w:val="Heading1"/>
        <w:spacing w:before="240" w:after="80"/>
      </w:pPr>
      <w:r>
        <w:rPr>
          <w:color w:val="1F3864"/>
        </w:rPr>
        <w:t>PARTIE 4 — Checklist production vidéo</w:t>
      </w:r>
    </w:p>
    <w:p>
      <w:pPr>
        <w:shd w:val="clear" w:color="auto" w:fill="1F3864"/>
        <w:spacing w:before="120" w:after="120"/>
      </w:pPr>
    </w:p>
    <w:p>
      <w:pPr>
        <w:pStyle w:val="Heading2"/>
        <w:spacing w:before="240" w:after="80"/>
      </w:pPr>
      <w:r>
        <w:rPr>
          <w:color w:val="1F3864"/>
        </w:rPr>
        <w:t>4.1  Assets à préparer</w:t>
      </w:r>
    </w:p>
    <w:p>
      <w:pPr>
        <w:pStyle w:val="ListBullet"/>
        <w:spacing w:after="60"/>
      </w:pPr>
      <w:r>
        <w:rPr>
          <w:sz w:val="22"/>
        </w:rPr>
        <w:t>Screencast de l'interface (OBS Studio ou Loom) — résolution 1920×1080 minimum</w:t>
      </w:r>
    </w:p>
    <w:p>
      <w:pPr>
        <w:pStyle w:val="ListBullet"/>
        <w:spacing w:after="60"/>
      </w:pPr>
      <w:r>
        <w:rPr>
          <w:sz w:val="22"/>
        </w:rPr>
        <w:t>Données de démo réalistes (faux CVs, fausses alertes géolocalisées)</w:t>
      </w:r>
    </w:p>
    <w:p>
      <w:pPr>
        <w:pStyle w:val="ListBullet"/>
        <w:spacing w:after="60"/>
      </w:pPr>
      <w:r>
        <w:rPr>
          <w:sz w:val="22"/>
        </w:rPr>
        <w:t>Schéma d'architecture simplifié (Excalidraw ou Figma — une image suffit)</w:t>
      </w:r>
    </w:p>
    <w:p>
      <w:pPr>
        <w:pStyle w:val="ListBullet"/>
        <w:spacing w:after="60"/>
      </w:pPr>
      <w:r>
        <w:rPr>
          <w:sz w:val="22"/>
        </w:rPr>
        <w:t>Musique de fond libre de droits (Pixabay, FreeSound) — ton tech + inspirant</w:t>
      </w:r>
    </w:p>
    <w:p>
      <w:pPr>
        <w:pStyle w:val="ListBullet"/>
        <w:spacing w:after="60"/>
      </w:pPr>
      <w:r>
        <w:rPr>
          <w:sz w:val="22"/>
        </w:rPr>
        <w:t>Voix off : enregistrement propre ou service TTS (ElevenLabs, Murf)</w:t>
      </w:r>
    </w:p>
    <w:p>
      <w:pPr>
        <w:pStyle w:val="ListBullet"/>
        <w:spacing w:after="60"/>
      </w:pPr>
      <w:r>
        <w:rPr>
          <w:sz w:val="22"/>
        </w:rPr>
        <w:t>Slides de chiffres animées (Canva ou After Effects)</w:t>
      </w:r>
    </w:p>
    <w:p>
      <w:pPr>
        <w:pStyle w:val="Heading2"/>
        <w:spacing w:before="240" w:after="80"/>
      </w:pPr>
      <w:r>
        <w:rPr>
          <w:color w:val="1F3864"/>
        </w:rPr>
        <w:t>4.2  Outils de montage recommandés</w:t>
      </w:r>
    </w:p>
    <w:p>
      <w:pPr>
        <w:pStyle w:val="ListBullet"/>
        <w:spacing w:after="60"/>
      </w:pPr>
      <w:r>
        <w:rPr>
          <w:b/>
        </w:rPr>
        <w:t xml:space="preserve">DaVinci Resolve : </w:t>
      </w:r>
      <w:r>
        <w:rPr>
          <w:sz w:val="22"/>
        </w:rPr>
        <w:t>Gratuit, professionnel, subtitles automatiques</w:t>
      </w:r>
    </w:p>
    <w:p>
      <w:pPr>
        <w:pStyle w:val="ListBullet"/>
        <w:spacing w:after="60"/>
      </w:pPr>
      <w:r>
        <w:rPr>
          <w:b/>
        </w:rPr>
        <w:t xml:space="preserve">CapCut Desktop : </w:t>
      </w:r>
      <w:r>
        <w:rPr>
          <w:sz w:val="22"/>
        </w:rPr>
        <w:t>Simple, rapide, bon pour les démonstrations tech</w:t>
      </w:r>
    </w:p>
    <w:p>
      <w:pPr>
        <w:pStyle w:val="ListBullet"/>
        <w:spacing w:after="60"/>
      </w:pPr>
      <w:r>
        <w:rPr>
          <w:b/>
        </w:rPr>
        <w:t xml:space="preserve">Descript : </w:t>
      </w:r>
      <w:r>
        <w:rPr>
          <w:sz w:val="22"/>
        </w:rPr>
        <w:t>Montage par texte + voix off — idéal si peu d'expérience vidéo</w:t>
      </w:r>
    </w:p>
    <w:p>
      <w:pPr>
        <w:pStyle w:val="Heading2"/>
        <w:spacing w:before="240" w:after="80"/>
      </w:pPr>
      <w:r>
        <w:rPr>
          <w:color w:val="1F3864"/>
        </w:rPr>
        <w:t>4.3  Conseils clés</w:t>
      </w:r>
    </w:p>
    <w:p>
      <w:pPr>
        <w:pStyle w:val="ListBullet"/>
        <w:spacing w:after="60"/>
      </w:pPr>
      <w:r>
        <w:rPr>
          <w:sz w:val="22"/>
        </w:rPr>
        <w:t>Ouvrir sur une douleur concrète — pas sur la technologie.</w:t>
      </w:r>
    </w:p>
    <w:p>
      <w:pPr>
        <w:pStyle w:val="ListBullet"/>
        <w:spacing w:after="60"/>
      </w:pPr>
      <w:r>
        <w:rPr>
          <w:sz w:val="22"/>
        </w:rPr>
        <w:t>La démo doit être rapide : 20-30 secondes max par workflow en vidéo.</w:t>
      </w:r>
    </w:p>
    <w:p>
      <w:pPr>
        <w:pStyle w:val="ListBullet"/>
        <w:spacing w:after="60"/>
      </w:pPr>
      <w:r>
        <w:rPr>
          <w:sz w:val="22"/>
        </w:rPr>
        <w:t>Mettre les chiffres d'impact en grand texte à l'écran — pas seulement en voix off.</w:t>
      </w:r>
    </w:p>
    <w:p>
      <w:pPr>
        <w:pStyle w:val="ListBullet"/>
        <w:spacing w:after="60"/>
      </w:pPr>
      <w:r>
        <w:rPr>
          <w:sz w:val="22"/>
        </w:rPr>
        <w:t>Terminer sur une vision, pas sur une feature list.</w:t>
      </w:r>
    </w:p>
    <w:p>
      <w:pPr>
        <w:pStyle w:val="ListBullet"/>
        <w:spacing w:after="60"/>
      </w:pPr>
      <w:r>
        <w:rPr>
          <w:sz w:val="22"/>
        </w:rPr>
        <w:t>Sous-titrer la vidéo (accessibilité + jury qui regarde sans son).</w:t>
      </w:r>
    </w:p>
    <w:p/>
    <w:p>
      <w:pPr>
        <w:jc w:val="center"/>
        <w:shd w:val="clear" w:color="auto" w:fill="1F3864"/>
      </w:pPr>
      <w:r>
        <w:rPr>
          <w:color w:val="C8DCFF"/>
          <w:sz w:val="18"/>
        </w:rPr>
        <w:t xml:space="preserve">  Multi-Agent Platform · jack.bun14@gmail.com · Mai 2026  </w:t>
      </w:r>
    </w:p>
    <w:sectPr w:rsidR="00FC693F" w:rsidRPr="0006063C" w:rsidSect="00034616">
      <w:pgSz w:w="11909" w:h="16834"/>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