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r>
    </w:p>
    <w:p>
      <w:pPr>
        <w:pStyle w:val="Normal"/>
        <w:jc w:val="center"/>
        <w:rPr/>
      </w:pPr>
      <w:r>
        <w:rPr>
          <w:rFonts w:ascii="Calibri" w:hAnsi="Calibri"/>
          <w:b/>
          <w:i w:val="false"/>
          <w:color w:val="1F497D"/>
          <w:sz w:val="64"/>
        </w:rPr>
        <w:t xml:space="preserve">BUSINESS PLAN  —  VERSION </w:t>
      </w:r>
      <w:r>
        <w:rPr>
          <w:rFonts w:ascii="Calibri" w:hAnsi="Calibri"/>
          <w:b/>
          <w:i w:val="false"/>
          <w:color w:val="1F497D"/>
          <w:sz w:val="64"/>
        </w:rPr>
        <w:t>1</w:t>
      </w:r>
    </w:p>
    <w:p>
      <w:pPr>
        <w:pStyle w:val="Normal"/>
        <w:jc w:val="center"/>
        <w:rPr/>
      </w:pPr>
      <w:r>
        <w:rPr>
          <w:rFonts w:ascii="Calibri" w:hAnsi="Calibri"/>
          <w:b/>
          <w:i w:val="false"/>
          <w:color w:val="2E74B5"/>
          <w:sz w:val="40"/>
        </w:rPr>
        <w:t>Plateforme Multi-Agent</w:t>
      </w:r>
    </w:p>
    <w:p>
      <w:pPr>
        <w:pStyle w:val="Normal"/>
        <w:spacing w:before="0" w:after="80"/>
        <w:rPr/>
      </w:pPr>
      <w:r>
        <w:rPr/>
      </w:r>
    </w:p>
    <w:p>
      <w:pPr>
        <w:pStyle w:val="Normal"/>
        <w:pBdr>
          <w:bottom w:val="single" w:sz="12" w:space="1" w:color="2E74B5"/>
        </w:pBdr>
        <w:spacing w:before="40" w:after="40"/>
        <w:rPr/>
      </w:pPr>
      <w:r>
        <w:rPr/>
      </w:r>
    </w:p>
    <w:p>
      <w:pPr>
        <w:pStyle w:val="Normal"/>
        <w:spacing w:before="0" w:after="80"/>
        <w:rPr/>
      </w:pPr>
      <w:r>
        <w:rPr/>
      </w:r>
    </w:p>
    <w:p>
      <w:pPr>
        <w:pStyle w:val="Normal"/>
        <w:jc w:val="center"/>
        <w:rPr/>
      </w:pPr>
      <w:r>
        <w:rPr>
          <w:rFonts w:ascii="Calibri" w:hAnsi="Calibri"/>
          <w:b w:val="false"/>
          <w:i/>
          <w:color w:val="404040"/>
          <w:sz w:val="26"/>
        </w:rPr>
        <w:t>Plan bootstrappé — Budget maîtrisé — Croissance organique</w:t>
      </w:r>
    </w:p>
    <w:p>
      <w:pPr>
        <w:pStyle w:val="Normal"/>
        <w:spacing w:before="0" w:after="80"/>
        <w:rPr/>
      </w:pPr>
      <w:r>
        <w:rPr/>
      </w:r>
    </w:p>
    <w:p>
      <w:pPr>
        <w:pStyle w:val="Normal"/>
        <w:jc w:val="center"/>
        <w:rPr/>
      </w:pPr>
      <w:r>
        <w:rPr>
          <w:rFonts w:ascii="Calibri" w:hAnsi="Calibri"/>
          <w:b/>
          <w:i w:val="false"/>
          <w:color w:val="FFFFFF"/>
          <w:sz w:val="24"/>
        </w:rPr>
        <w:t xml:space="preserve">  💰  </w:t>
      </w:r>
      <w:r>
        <w:rPr>
          <w:rFonts w:ascii="Calibri" w:hAnsi="Calibri"/>
          <w:b/>
          <w:i w:val="false"/>
          <w:color w:val="FFFFFF"/>
          <w:sz w:val="24"/>
        </w:rPr>
        <w:t xml:space="preserve">Financement initial : 5 000 – 15 000 €  </w:t>
      </w:r>
    </w:p>
    <w:tbl>
      <w:tblPr>
        <w:tblW w:w="906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1D6A3E"/>
              <w:left w:val="single" w:sz="4" w:space="0" w:color="1D6A3E"/>
              <w:bottom w:val="single" w:sz="4" w:space="0" w:color="1D6A3E"/>
              <w:right w:val="single" w:sz="4" w:space="0" w:color="1D6A3E"/>
            </w:tcBorders>
            <w:shd w:color="auto" w:fill="1D6A3E" w:val="clear"/>
          </w:tcPr>
          <w:p>
            <w:pPr>
              <w:pStyle w:val="Normal"/>
              <w:widowControl w:val="false"/>
              <w:spacing w:before="100" w:after="100"/>
              <w:jc w:val="center"/>
              <w:rPr/>
            </w:pPr>
            <w:r>
              <w:rPr>
                <w:rFonts w:ascii="Calibri" w:hAnsi="Calibri"/>
                <w:b/>
                <w:i w:val="false"/>
                <w:color w:val="FFFFFF"/>
                <w:sz w:val="24"/>
              </w:rPr>
              <w:t xml:space="preserve">  💰  </w:t>
            </w:r>
            <w:r>
              <w:rPr>
                <w:rFonts w:ascii="Calibri" w:hAnsi="Calibri"/>
                <w:b/>
                <w:i w:val="false"/>
                <w:color w:val="FFFFFF"/>
                <w:sz w:val="24"/>
              </w:rPr>
              <w:t>Financement initial : 5 000 – 15 000 €</w:t>
            </w:r>
          </w:p>
        </w:tc>
      </w:tr>
    </w:tbl>
    <w:p>
      <w:pPr>
        <w:pStyle w:val="Normal"/>
        <w:spacing w:before="0" w:after="500"/>
        <w:rPr/>
      </w:pPr>
      <w:r>
        <w:rPr/>
      </w:r>
    </w:p>
    <w:p>
      <w:pPr>
        <w:pStyle w:val="Normal"/>
        <w:jc w:val="center"/>
        <w:rPr/>
      </w:pPr>
      <w:r>
        <w:rPr>
          <w:rFonts w:ascii="Calibri" w:hAnsi="Calibri"/>
          <w:b/>
          <w:i w:val="false"/>
          <w:color w:val="1F497D"/>
          <w:sz w:val="22"/>
        </w:rPr>
        <w:t xml:space="preserve">Équipe : </w:t>
      </w:r>
      <w:r>
        <w:rPr>
          <w:rFonts w:ascii="Calibri" w:hAnsi="Calibri"/>
          <w:b w:val="false"/>
          <w:i w:val="false"/>
          <w:color w:val="404040"/>
          <w:sz w:val="22"/>
        </w:rPr>
        <w:t>1 Lead · 2 Développeurs · 1 Marketing (4 fondateurs)</w:t>
      </w:r>
    </w:p>
    <w:p>
      <w:pPr>
        <w:pStyle w:val="Normal"/>
        <w:jc w:val="center"/>
        <w:rPr/>
      </w:pPr>
      <w:r>
        <w:rPr>
          <w:rFonts w:ascii="Calibri" w:hAnsi="Calibri"/>
          <w:b/>
          <w:i w:val="false"/>
          <w:color w:val="1F497D"/>
          <w:sz w:val="22"/>
        </w:rPr>
        <w:t xml:space="preserve">Modèle : </w:t>
      </w:r>
      <w:r>
        <w:rPr>
          <w:rFonts w:ascii="Calibri" w:hAnsi="Calibri"/>
          <w:b w:val="false"/>
          <w:i w:val="false"/>
          <w:color w:val="404040"/>
          <w:sz w:val="22"/>
        </w:rPr>
        <w:t>Bootstrap — Croissance organique, 0 dette excessive</w:t>
      </w:r>
    </w:p>
    <w:p>
      <w:pPr>
        <w:pStyle w:val="Normal"/>
        <w:jc w:val="center"/>
        <w:rPr/>
      </w:pPr>
      <w:r>
        <w:rPr>
          <w:rFonts w:ascii="Calibri" w:hAnsi="Calibri"/>
          <w:b/>
          <w:i w:val="false"/>
          <w:color w:val="1F497D"/>
          <w:sz w:val="22"/>
        </w:rPr>
        <w:t xml:space="preserve">Horizon : </w:t>
      </w:r>
      <w:r>
        <w:rPr>
          <w:rFonts w:ascii="Calibri" w:hAnsi="Calibri"/>
          <w:b w:val="false"/>
          <w:i w:val="false"/>
          <w:color w:val="404040"/>
          <w:sz w:val="22"/>
        </w:rPr>
        <w:t>3 ans · 2025 – 2027</w:t>
      </w:r>
    </w:p>
    <w:p>
      <w:pPr>
        <w:pStyle w:val="Normal"/>
        <w:jc w:val="center"/>
        <w:rPr/>
      </w:pPr>
      <w:r>
        <w:rPr>
          <w:rFonts w:ascii="Calibri" w:hAnsi="Calibri"/>
          <w:b/>
          <w:i w:val="false"/>
          <w:color w:val="1F497D"/>
          <w:sz w:val="22"/>
        </w:rPr>
        <w:t xml:space="preserve">Date : </w:t>
      </w:r>
      <w:r>
        <w:rPr>
          <w:rFonts w:ascii="Calibri" w:hAnsi="Calibri"/>
          <w:b w:val="false"/>
          <w:i w:val="false"/>
          <w:color w:val="404040"/>
          <w:sz w:val="22"/>
        </w:rPr>
        <w:t>30 April 2026</w:t>
      </w:r>
    </w:p>
    <w:p>
      <w:pPr>
        <w:pStyle w:val="Normal"/>
        <w:jc w:val="center"/>
        <w:rPr/>
      </w:pPr>
      <w:r>
        <w:rPr>
          <w:rFonts w:ascii="Calibri" w:hAnsi="Calibri"/>
          <w:b/>
          <w:i w:val="false"/>
          <w:color w:val="1F497D"/>
          <w:sz w:val="22"/>
        </w:rPr>
        <w:t xml:space="preserve">Version : </w:t>
      </w:r>
      <w:r>
        <w:rPr>
          <w:rFonts w:ascii="Calibri" w:hAnsi="Calibri"/>
          <w:b w:val="false"/>
          <w:i w:val="false"/>
          <w:color w:val="404040"/>
          <w:sz w:val="22"/>
        </w:rPr>
        <w:t>2.0 — Révisée &amp; Calibrée — Confidentiel</w:t>
      </w:r>
    </w:p>
    <w:p>
      <w:pPr>
        <w:pStyle w:val="Normal"/>
        <w:rPr/>
      </w:pPr>
      <w:r>
        <w:rPr/>
      </w:r>
      <w:r>
        <w:br w:type="page"/>
      </w:r>
    </w:p>
    <w:p>
      <w:pPr>
        <w:pStyle w:val="Normal"/>
        <w:spacing w:before="360" w:after="80"/>
        <w:rPr/>
      </w:pPr>
      <w:r>
        <w:rPr>
          <w:rFonts w:ascii="Calibri" w:hAnsi="Calibri"/>
          <w:b/>
          <w:i w:val="false"/>
          <w:color w:val="1F497D"/>
          <w:sz w:val="38"/>
        </w:rPr>
        <w:t>Table des matières</w:t>
      </w:r>
    </w:p>
    <w:p>
      <w:pPr>
        <w:pStyle w:val="Normal"/>
        <w:pBdr>
          <w:bottom w:val="single" w:sz="8" w:space="1" w:color="2E74B5"/>
        </w:pBdr>
        <w:spacing w:before="40" w:after="40"/>
        <w:rPr/>
      </w:pPr>
      <w:r>
        <w:rPr/>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1.  </w:t>
      </w:r>
      <w:r>
        <w:rPr>
          <w:rFonts w:ascii="Calibri" w:hAnsi="Calibri"/>
          <w:b w:val="false"/>
          <w:i w:val="false"/>
          <w:color w:val="404040"/>
          <w:sz w:val="22"/>
        </w:rPr>
        <w:t>Résumé exécutif — version bootstrap</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2.  </w:t>
      </w:r>
      <w:r>
        <w:rPr>
          <w:rFonts w:ascii="Calibri" w:hAnsi="Calibri"/>
          <w:b w:val="false"/>
          <w:i w:val="false"/>
          <w:color w:val="404040"/>
          <w:sz w:val="22"/>
        </w:rPr>
        <w:t>Présentation &amp; contexte</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3.  </w:t>
      </w:r>
      <w:r>
        <w:rPr>
          <w:rFonts w:ascii="Calibri" w:hAnsi="Calibri"/>
          <w:b w:val="false"/>
          <w:i w:val="false"/>
          <w:color w:val="404040"/>
          <w:sz w:val="22"/>
        </w:rPr>
        <w:t>Vision, mission &amp; valeurs</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4.  </w:t>
      </w:r>
      <w:r>
        <w:rPr>
          <w:rFonts w:ascii="Calibri" w:hAnsi="Calibri"/>
          <w:b w:val="false"/>
          <w:i w:val="false"/>
          <w:color w:val="404040"/>
          <w:sz w:val="22"/>
        </w:rPr>
        <w:t>Équipe fondatrice &amp; gouvernance</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5.  </w:t>
      </w:r>
      <w:r>
        <w:rPr>
          <w:rFonts w:ascii="Calibri" w:hAnsi="Calibri"/>
          <w:b w:val="false"/>
          <w:i w:val="false"/>
          <w:color w:val="404040"/>
          <w:sz w:val="22"/>
        </w:rPr>
        <w:t>Produit &amp; roadmap</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6.  </w:t>
      </w:r>
      <w:r>
        <w:rPr>
          <w:rFonts w:ascii="Calibri" w:hAnsi="Calibri"/>
          <w:b w:val="false"/>
          <w:i w:val="false"/>
          <w:color w:val="404040"/>
          <w:sz w:val="22"/>
        </w:rPr>
        <w:t>Analyse de marché</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7.  </w:t>
      </w:r>
      <w:r>
        <w:rPr>
          <w:rFonts w:ascii="Calibri" w:hAnsi="Calibri"/>
          <w:b w:val="false"/>
          <w:i w:val="false"/>
          <w:color w:val="404040"/>
          <w:sz w:val="22"/>
        </w:rPr>
        <w:t>Analyse concurrentielle &amp; SWOT</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8.  </w:t>
      </w:r>
      <w:r>
        <w:rPr>
          <w:rFonts w:ascii="Calibri" w:hAnsi="Calibri"/>
          <w:b w:val="false"/>
          <w:i w:val="false"/>
          <w:color w:val="404040"/>
          <w:sz w:val="22"/>
        </w:rPr>
        <w:t>Stratégie commerciale &amp; marketing (budget minimal)</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9.  </w:t>
      </w:r>
      <w:r>
        <w:rPr>
          <w:rFonts w:ascii="Calibri" w:hAnsi="Calibri"/>
          <w:b w:val="false"/>
          <w:i w:val="false"/>
          <w:color w:val="404040"/>
          <w:sz w:val="22"/>
        </w:rPr>
        <w:t>Plan opérationnel lean</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10.  </w:t>
      </w:r>
      <w:r>
        <w:rPr>
          <w:rFonts w:ascii="Calibri" w:hAnsi="Calibri"/>
          <w:b w:val="false"/>
          <w:i w:val="false"/>
          <w:color w:val="404040"/>
          <w:sz w:val="22"/>
        </w:rPr>
        <w:t>Plan RH — évolution progressive sur 3 ans</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11.  </w:t>
      </w:r>
      <w:r>
        <w:rPr>
          <w:rFonts w:ascii="Calibri" w:hAnsi="Calibri"/>
          <w:b w:val="false"/>
          <w:i w:val="false"/>
          <w:color w:val="404040"/>
          <w:sz w:val="22"/>
        </w:rPr>
        <w:t>Projections financières — Compte de résultat</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12.  </w:t>
      </w:r>
      <w:r>
        <w:rPr>
          <w:rFonts w:ascii="Calibri" w:hAnsi="Calibri"/>
          <w:b w:val="false"/>
          <w:i w:val="false"/>
          <w:color w:val="404040"/>
          <w:sz w:val="22"/>
        </w:rPr>
        <w:t>Plan de trésorerie</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13.  </w:t>
      </w:r>
      <w:r>
        <w:rPr>
          <w:rFonts w:ascii="Calibri" w:hAnsi="Calibri"/>
          <w:b w:val="false"/>
          <w:i w:val="false"/>
          <w:color w:val="404040"/>
          <w:sz w:val="22"/>
        </w:rPr>
        <w:t>Bilan prévisionnel</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14.  </w:t>
      </w:r>
      <w:r>
        <w:rPr>
          <w:rFonts w:ascii="Calibri" w:hAnsi="Calibri"/>
          <w:b w:val="false"/>
          <w:i w:val="false"/>
          <w:color w:val="404040"/>
          <w:sz w:val="22"/>
        </w:rPr>
        <w:t>Plan de financement 5 000 – 15 000 €</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15.  </w:t>
      </w:r>
      <w:r>
        <w:rPr>
          <w:rFonts w:ascii="Calibri" w:hAnsi="Calibri"/>
          <w:b w:val="false"/>
          <w:i w:val="false"/>
          <w:color w:val="404040"/>
          <w:sz w:val="22"/>
        </w:rPr>
        <w:t>Indicateurs de performance (KPIs)</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16.  </w:t>
      </w:r>
      <w:r>
        <w:rPr>
          <w:rFonts w:ascii="Calibri" w:hAnsi="Calibri"/>
          <w:b w:val="false"/>
          <w:i w:val="false"/>
          <w:color w:val="404040"/>
          <w:sz w:val="22"/>
        </w:rPr>
        <w:t>Risques &amp; plan de contingence</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17.  </w:t>
      </w:r>
      <w:r>
        <w:rPr>
          <w:rFonts w:ascii="Calibri" w:hAnsi="Calibri"/>
          <w:b w:val="false"/>
          <w:i w:val="false"/>
          <w:color w:val="404040"/>
          <w:sz w:val="22"/>
        </w:rPr>
        <w:t>Stratégie de sortie</w:t>
      </w:r>
    </w:p>
    <w:p>
      <w:pPr>
        <w:pStyle w:val="Normal"/>
        <w:spacing w:before="0" w:after="60"/>
        <w:rPr/>
      </w:pPr>
      <w:r>
        <w:rPr>
          <w:rFonts w:ascii="Calibri" w:hAnsi="Calibri"/>
          <w:b/>
          <w:i w:val="false"/>
          <w:color w:val="1F497D"/>
          <w:sz w:val="22"/>
        </w:rPr>
        <w:t xml:space="preserve">  </w:t>
      </w:r>
      <w:r>
        <w:rPr>
          <w:rFonts w:ascii="Calibri" w:hAnsi="Calibri"/>
          <w:b/>
          <w:i w:val="false"/>
          <w:color w:val="1F497D"/>
          <w:sz w:val="22"/>
        </w:rPr>
        <w:t xml:space="preserve">18.  </w:t>
      </w:r>
      <w:r>
        <w:rPr>
          <w:rFonts w:ascii="Calibri" w:hAnsi="Calibri"/>
          <w:b w:val="false"/>
          <w:i w:val="false"/>
          <w:color w:val="404040"/>
          <w:sz w:val="22"/>
        </w:rPr>
        <w:t>Annexes &amp; glossaire</w:t>
      </w:r>
    </w:p>
    <w:p>
      <w:pPr>
        <w:pStyle w:val="Normal"/>
        <w:rPr/>
      </w:pPr>
      <w:r>
        <w:rPr/>
      </w:r>
      <w:r>
        <w:br w:type="page"/>
      </w:r>
    </w:p>
    <w:p>
      <w:pPr>
        <w:pStyle w:val="Normal"/>
        <w:spacing w:before="360" w:after="80"/>
        <w:rPr/>
      </w:pPr>
      <w:r>
        <w:rPr>
          <w:rFonts w:ascii="Calibri" w:hAnsi="Calibri"/>
          <w:b/>
          <w:i w:val="false"/>
          <w:color w:val="1F497D"/>
          <w:sz w:val="38"/>
        </w:rPr>
        <w:t>1. Résumé exécutif — version bootstrap</w:t>
      </w:r>
    </w:p>
    <w:p>
      <w:pPr>
        <w:pStyle w:val="Normal"/>
        <w:pBdr>
          <w:bottom w:val="single" w:sz="8" w:space="1" w:color="2E74B5"/>
        </w:pBdr>
        <w:spacing w:before="40" w:after="4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E74B5"/>
              <w:left w:val="single" w:sz="4" w:space="0" w:color="2E74B5"/>
              <w:bottom w:val="single" w:sz="4" w:space="0" w:color="2E74B5"/>
              <w:right w:val="single" w:sz="4" w:space="0" w:color="2E74B5"/>
            </w:tcBorders>
            <w:shd w:color="auto" w:fill="EBF3FB"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Ce plan v2 est calibré pour une startup qui démarre avec ses propres ressources (5 000 – 15 000 €), sans levier financier externe important. La croissance est organique, maîtrisée, et chaque euro dépensé doit générer un retour mesurable. Les fondateurs ne se rémunèrent pas en an 1.</w:t>
            </w:r>
          </w:p>
        </w:tc>
      </w:tr>
    </w:tbl>
    <w:p>
      <w:pPr>
        <w:pStyle w:val="Normal"/>
        <w:spacing w:before="0" w:after="80"/>
        <w:rPr/>
      </w:pPr>
      <w:r>
        <w:rPr/>
      </w:r>
    </w:p>
    <w:p>
      <w:pPr>
        <w:pStyle w:val="Normal"/>
        <w:spacing w:before="0" w:after="120"/>
        <w:rPr/>
      </w:pPr>
      <w:r>
        <w:rPr>
          <w:rFonts w:ascii="Calibri" w:hAnsi="Calibri"/>
          <w:b w:val="false"/>
          <w:i w:val="false"/>
          <w:sz w:val="22"/>
        </w:rPr>
        <w:t xml:space="preserve">La </w:t>
      </w:r>
      <w:r>
        <w:rPr>
          <w:rFonts w:ascii="Calibri" w:hAnsi="Calibri"/>
          <w:b/>
          <w:i w:val="false"/>
          <w:sz w:val="22"/>
        </w:rPr>
        <w:t>Plateforme Multi-Agent</w:t>
      </w:r>
      <w:r>
        <w:rPr>
          <w:rFonts w:ascii="Calibri" w:hAnsi="Calibri"/>
          <w:b w:val="false"/>
          <w:i w:val="false"/>
          <w:sz w:val="22"/>
        </w:rPr>
        <w:t xml:space="preserve"> est un outil SaaS d'orchestration d'agents IA, déjà développé et opérationnel. Le plan de monétisation repose sur trois piliers séquencés : des </w:t>
      </w:r>
      <w:r>
        <w:rPr>
          <w:rFonts w:ascii="Calibri" w:hAnsi="Calibri"/>
          <w:b/>
          <w:i w:val="false"/>
          <w:sz w:val="22"/>
        </w:rPr>
        <w:t>missions de service</w:t>
      </w:r>
      <w:r>
        <w:rPr>
          <w:rFonts w:ascii="Calibri" w:hAnsi="Calibri"/>
          <w:b w:val="false"/>
          <w:i w:val="false"/>
          <w:sz w:val="22"/>
        </w:rPr>
        <w:t xml:space="preserve"> qui génèrent du cash immédiat, l'acquisition de </w:t>
      </w:r>
      <w:r>
        <w:rPr>
          <w:rFonts w:ascii="Calibri" w:hAnsi="Calibri"/>
          <w:b/>
          <w:i w:val="false"/>
          <w:sz w:val="22"/>
        </w:rPr>
        <w:t>premiers abonnés SaaS</w:t>
      </w:r>
      <w:r>
        <w:rPr>
          <w:rFonts w:ascii="Calibri" w:hAnsi="Calibri"/>
          <w:b w:val="false"/>
          <w:i w:val="false"/>
          <w:sz w:val="22"/>
        </w:rPr>
        <w:t xml:space="preserve">, et la montée en puissance progressive des </w:t>
      </w:r>
      <w:r>
        <w:rPr>
          <w:rFonts w:ascii="Calibri" w:hAnsi="Calibri"/>
          <w:b/>
          <w:i w:val="false"/>
          <w:sz w:val="22"/>
        </w:rPr>
        <w:t>revenus récurrents</w:t>
      </w:r>
      <w:r>
        <w:rPr>
          <w:rFonts w:ascii="Calibri" w:hAnsi="Calibri"/>
          <w:b w:val="false"/>
          <w:i w:val="false"/>
          <w:sz w:val="22"/>
        </w:rPr>
        <w:t>.</w:t>
      </w:r>
    </w:p>
    <w:p>
      <w:pPr>
        <w:pStyle w:val="Normal"/>
        <w:spacing w:before="240" w:after="60"/>
        <w:rPr/>
      </w:pPr>
      <w:r>
        <w:rPr>
          <w:rFonts w:ascii="Calibri" w:hAnsi="Calibri"/>
          <w:b/>
          <w:i w:val="false"/>
          <w:color w:val="2E74B5"/>
          <w:sz w:val="28"/>
        </w:rPr>
        <w:t>Chiffres clés recalibrés</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Indicateur</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1 (2025)</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2 (2026)</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3 (2027)</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Chiffre d'affaires total</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22 800 €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71 400 €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191 000 €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dont SaaS récurrent</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7 800 €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39 600 €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138 000 €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dont Services pro</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15 000 €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28 800 €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36 000 €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dont Marketplace / OEM</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17 000 €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MRR fin d'année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5 600 €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16 500 €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Clients payants (fin d'année)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24</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90</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260</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Résultat net (avant rémun. fondateurs)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14 500 €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46 700 €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116 000 €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Rémunération fondateurs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24 000 €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80 000 €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Résultat net après rémun.</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14 500 €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22 700 €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36 000 €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Effectif (ETP)</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(fondateurs)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+ 1 part.</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+ 1 hire</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Financement externe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10 000 €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Trésorerie fin d'année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17 000 €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39 700 €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75 700 €</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7AE60"/>
              <w:left w:val="single" w:sz="4" w:space="0" w:color="27AE60"/>
              <w:bottom w:val="single" w:sz="4" w:space="0" w:color="27AE60"/>
              <w:right w:val="single" w:sz="4" w:space="0" w:color="27AE60"/>
            </w:tcBorders>
            <w:shd w:color="auto" w:fill="EAFAF1"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Avec 10 000 € de financement initial, l'entreprise atteint l'équilibre opérationnel au mois 8 (hors rémunération fondateurs) et génère une trésorerie positive et croissante dès l'an 1.</w:t>
            </w:r>
          </w:p>
        </w:tc>
      </w:tr>
    </w:tbl>
    <w:p>
      <w:pPr>
        <w:pStyle w:val="Normal"/>
        <w:spacing w:before="0" w:after="80"/>
        <w:rPr/>
      </w:pPr>
      <w:r>
        <w:rPr/>
      </w:r>
    </w:p>
    <w:p>
      <w:pPr>
        <w:pStyle w:val="Normal"/>
        <w:rPr/>
      </w:pPr>
      <w:r>
        <w:rPr/>
      </w:r>
      <w:r>
        <w:br w:type="page"/>
      </w:r>
    </w:p>
    <w:p>
      <w:pPr>
        <w:pStyle w:val="Normal"/>
        <w:spacing w:before="360" w:after="80"/>
        <w:rPr/>
      </w:pPr>
      <w:r>
        <w:rPr>
          <w:rFonts w:ascii="Calibri" w:hAnsi="Calibri"/>
          <w:b/>
          <w:i w:val="false"/>
          <w:color w:val="1F497D"/>
          <w:sz w:val="38"/>
        </w:rPr>
        <w:t>2. Présentation &amp; contexte</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2.1 Identité de la société</w:t>
      </w:r>
    </w:p>
    <w:tbl>
      <w:tblPr>
        <w:tblStyle w:val="TableGrid"/>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3"/>
        <w:gridCol w:w="4532"/>
      </w:tblGrid>
      <w:tr>
        <w:trPr/>
        <w:tc>
          <w:tcPr>
            <w:tcW w:w="4533" w:type="dxa"/>
            <w:tcBorders/>
            <w:shd w:color="auto" w:fill="2E74B5"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Champ</w:t>
            </w:r>
          </w:p>
        </w:tc>
        <w:tc>
          <w:tcPr>
            <w:tcW w:w="4532" w:type="dxa"/>
            <w:tcBorders/>
            <w:shd w:color="auto" w:fill="2E74B5"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Information</w:t>
            </w:r>
          </w:p>
        </w:tc>
      </w:tr>
      <w:tr>
        <w:trPr/>
        <w:tc>
          <w:tcPr>
            <w:tcW w:w="453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Dénomination</w:t>
            </w:r>
          </w:p>
        </w:tc>
        <w:tc>
          <w:tcPr>
            <w:tcW w:w="453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Multi-Agent SAS</w:t>
            </w:r>
          </w:p>
        </w:tc>
      </w:tr>
      <w:tr>
        <w:trPr/>
        <w:tc>
          <w:tcPr>
            <w:tcW w:w="453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Forme juridique</w:t>
            </w:r>
          </w:p>
        </w:tc>
        <w:tc>
          <w:tcPr>
            <w:tcW w:w="453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SAS — Société par Actions Simplifiée</w:t>
            </w:r>
          </w:p>
        </w:tc>
      </w:tr>
      <w:tr>
        <w:trPr/>
        <w:tc>
          <w:tcPr>
            <w:tcW w:w="453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Capital social</w:t>
            </w:r>
          </w:p>
        </w:tc>
        <w:tc>
          <w:tcPr>
            <w:tcW w:w="453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1 000 € (minimum recommandé pour démarrer lean)</w:t>
            </w:r>
          </w:p>
        </w:tc>
      </w:tr>
      <w:tr>
        <w:trPr/>
        <w:tc>
          <w:tcPr>
            <w:tcW w:w="453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Secteur</w:t>
            </w:r>
          </w:p>
        </w:tc>
        <w:tc>
          <w:tcPr>
            <w:tcW w:w="453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Édition logicielle SaaS — Intelligence Artificielle (NAF 5829C)</w:t>
            </w:r>
          </w:p>
        </w:tc>
      </w:tr>
      <w:tr>
        <w:trPr/>
        <w:tc>
          <w:tcPr>
            <w:tcW w:w="453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Statut fiscal cible</w:t>
            </w:r>
          </w:p>
        </w:tc>
        <w:tc>
          <w:tcPr>
            <w:tcW w:w="453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JEI (Jeune Entreprise Innovante) + CIR dès l'an 1</w:t>
            </w:r>
          </w:p>
        </w:tc>
      </w:tr>
      <w:tr>
        <w:trPr/>
        <w:tc>
          <w:tcPr>
            <w:tcW w:w="453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Mode de financement</w:t>
            </w:r>
          </w:p>
        </w:tc>
        <w:tc>
          <w:tcPr>
            <w:tcW w:w="453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Bootstrap — apports fondateurs + prêt d'honneur BPI</w:t>
            </w:r>
          </w:p>
        </w:tc>
      </w:tr>
      <w:tr>
        <w:trPr/>
        <w:tc>
          <w:tcPr>
            <w:tcW w:w="453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Régime TVA</w:t>
            </w:r>
          </w:p>
        </w:tc>
        <w:tc>
          <w:tcPr>
            <w:tcW w:w="453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Réel normal (franchise TVA &lt; 36 800 € CA an 1 possible)</w:t>
            </w:r>
          </w:p>
        </w:tc>
      </w:tr>
    </w:tbl>
    <w:p>
      <w:pPr>
        <w:pStyle w:val="Normal"/>
        <w:spacing w:before="0" w:after="120"/>
        <w:rPr/>
      </w:pPr>
      <w:r>
        <w:rPr/>
      </w:r>
    </w:p>
    <w:p>
      <w:pPr>
        <w:pStyle w:val="Normal"/>
        <w:spacing w:before="240" w:after="60"/>
        <w:rPr/>
      </w:pPr>
      <w:r>
        <w:rPr>
          <w:rFonts w:ascii="Calibri" w:hAnsi="Calibri"/>
          <w:b/>
          <w:i w:val="false"/>
          <w:color w:val="2E74B5"/>
          <w:sz w:val="28"/>
        </w:rPr>
        <w:t>2.2 Principe du bootstrap — pourquoi ce modèle ?</w:t>
      </w:r>
    </w:p>
    <w:p>
      <w:pPr>
        <w:pStyle w:val="Normal"/>
        <w:spacing w:before="0" w:after="120"/>
        <w:rPr/>
      </w:pPr>
      <w:r>
        <w:rPr>
          <w:rFonts w:ascii="Calibri" w:hAnsi="Calibri"/>
          <w:b w:val="false"/>
          <w:i w:val="false"/>
          <w:sz w:val="22"/>
        </w:rPr>
        <w:t>Le bootstrap (auto-financement) est le modèle le plus courant pour les startups SaaS techniques. Il présente des avantages concrets :</w:t>
      </w:r>
    </w:p>
    <w:p>
      <w:pPr>
        <w:pStyle w:val="ListBullet"/>
        <w:numPr>
          <w:ilvl w:val="0"/>
          <w:numId w:val="1"/>
        </w:numPr>
        <w:spacing w:before="0" w:after="60"/>
        <w:ind w:left="432" w:hanging="360"/>
        <w:contextualSpacing/>
        <w:rPr/>
      </w:pPr>
      <w:r>
        <w:rPr>
          <w:rFonts w:ascii="Calibri" w:hAnsi="Calibri"/>
          <w:b/>
          <w:i w:val="false"/>
          <w:sz w:val="22"/>
        </w:rPr>
        <w:t>Pas de dilution</w:t>
      </w:r>
      <w:r>
        <w:rPr>
          <w:rFonts w:ascii="Calibri" w:hAnsi="Calibri"/>
          <w:b w:val="false"/>
          <w:i w:val="false"/>
          <w:sz w:val="22"/>
        </w:rPr>
        <w:t xml:space="preserve"> — les fondateurs gardent 100 % du capital jusqu'à une éventuelle levée</w:t>
      </w:r>
    </w:p>
    <w:p>
      <w:pPr>
        <w:pStyle w:val="ListBullet"/>
        <w:numPr>
          <w:ilvl w:val="0"/>
          <w:numId w:val="1"/>
        </w:numPr>
        <w:spacing w:before="0" w:after="60"/>
        <w:ind w:left="432" w:hanging="360"/>
        <w:contextualSpacing/>
        <w:rPr/>
      </w:pPr>
      <w:r>
        <w:rPr>
          <w:rFonts w:ascii="Calibri" w:hAnsi="Calibri"/>
          <w:b/>
          <w:i w:val="false"/>
          <w:sz w:val="22"/>
        </w:rPr>
        <w:t>Discipline financière</w:t>
      </w:r>
      <w:r>
        <w:rPr>
          <w:rFonts w:ascii="Calibri" w:hAnsi="Calibri"/>
          <w:b w:val="false"/>
          <w:i w:val="false"/>
          <w:sz w:val="22"/>
        </w:rPr>
        <w:t xml:space="preserve"> — chaque dépense est justifiée par un retour attendu</w:t>
      </w:r>
    </w:p>
    <w:p>
      <w:pPr>
        <w:pStyle w:val="ListBullet"/>
        <w:numPr>
          <w:ilvl w:val="0"/>
          <w:numId w:val="1"/>
        </w:numPr>
        <w:spacing w:before="0" w:after="60"/>
        <w:ind w:left="432" w:hanging="360"/>
        <w:contextualSpacing/>
        <w:rPr/>
      </w:pPr>
      <w:r>
        <w:rPr>
          <w:rFonts w:ascii="Calibri" w:hAnsi="Calibri"/>
          <w:b/>
          <w:i w:val="false"/>
          <w:sz w:val="22"/>
        </w:rPr>
        <w:t>Vitesse de décision</w:t>
      </w:r>
      <w:r>
        <w:rPr>
          <w:rFonts w:ascii="Calibri" w:hAnsi="Calibri"/>
          <w:b w:val="false"/>
          <w:i w:val="false"/>
          <w:sz w:val="22"/>
        </w:rPr>
        <w:t xml:space="preserve"> — pas d'investisseur à consulter pour chaque arbitrage</w:t>
      </w:r>
    </w:p>
    <w:p>
      <w:pPr>
        <w:pStyle w:val="ListBullet"/>
        <w:numPr>
          <w:ilvl w:val="0"/>
          <w:numId w:val="1"/>
        </w:numPr>
        <w:spacing w:before="0" w:after="60"/>
        <w:ind w:left="432" w:hanging="360"/>
        <w:contextualSpacing/>
        <w:rPr/>
      </w:pPr>
      <w:r>
        <w:rPr>
          <w:rFonts w:ascii="Calibri" w:hAnsi="Calibri"/>
          <w:b/>
          <w:i w:val="false"/>
          <w:sz w:val="22"/>
        </w:rPr>
        <w:t>Crédibilité</w:t>
      </w:r>
      <w:r>
        <w:rPr>
          <w:rFonts w:ascii="Calibri" w:hAnsi="Calibri"/>
          <w:b w:val="false"/>
          <w:i w:val="false"/>
          <w:sz w:val="22"/>
        </w:rPr>
        <w:t xml:space="preserve"> — un SaaS rentable sans levée est beaucoup plus attractif pour un futur investisseur</w:t>
      </w:r>
    </w:p>
    <w:p>
      <w:pPr>
        <w:pStyle w:val="ListBullet"/>
        <w:numPr>
          <w:ilvl w:val="0"/>
          <w:numId w:val="1"/>
        </w:numPr>
        <w:spacing w:before="0" w:after="60"/>
        <w:ind w:left="432" w:hanging="360"/>
        <w:contextualSpacing/>
        <w:rPr/>
      </w:pPr>
      <w:r>
        <w:rPr>
          <w:rFonts w:ascii="Calibri" w:hAnsi="Calibri"/>
          <w:b/>
          <w:i w:val="false"/>
          <w:sz w:val="22"/>
        </w:rPr>
        <w:t>Applicable ici</w:t>
      </w:r>
      <w:r>
        <w:rPr>
          <w:rFonts w:ascii="Calibri" w:hAnsi="Calibri"/>
          <w:b w:val="false"/>
          <w:i w:val="false"/>
          <w:sz w:val="22"/>
        </w:rPr>
        <w:t xml:space="preserve"> — le produit est déjà développé, l'investissement initial est donc principalement en temps, pas en argent</w:t>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E67E22"/>
              <w:left w:val="single" w:sz="4" w:space="0" w:color="E67E22"/>
              <w:bottom w:val="single" w:sz="4" w:space="0" w:color="E67E22"/>
              <w:right w:val="single" w:sz="4" w:space="0" w:color="E67E22"/>
            </w:tcBorders>
            <w:shd w:color="auto" w:fill="FEF9E7"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En contrepartie : les fondateurs ne se rémunèrent pas en an 1. Chacun doit disposer de suffisamment d'économies personnelles (ou d'une activité parallèle) pour couvrir 12 mois de vie. Ce point est non-négociable pour la viabilité du plan.</w:t>
            </w:r>
          </w:p>
        </w:tc>
      </w:tr>
    </w:tbl>
    <w:p>
      <w:pPr>
        <w:pStyle w:val="Normal"/>
        <w:spacing w:before="0" w:after="80"/>
        <w:rPr/>
      </w:pPr>
      <w:r>
        <w:rPr/>
      </w:r>
    </w:p>
    <w:p>
      <w:pPr>
        <w:pStyle w:val="Normal"/>
        <w:spacing w:before="240" w:after="60"/>
        <w:rPr/>
      </w:pPr>
      <w:r>
        <w:rPr>
          <w:rFonts w:ascii="Calibri" w:hAnsi="Calibri"/>
          <w:b/>
          <w:i w:val="false"/>
          <w:color w:val="2E74B5"/>
          <w:sz w:val="28"/>
        </w:rPr>
        <w:t>2.3 Atout majeur : le produit existe déjà</w:t>
      </w:r>
    </w:p>
    <w:p>
      <w:pPr>
        <w:pStyle w:val="Normal"/>
        <w:spacing w:before="0" w:after="120"/>
        <w:rPr/>
      </w:pPr>
      <w:r>
        <w:rPr>
          <w:rFonts w:ascii="Calibri" w:hAnsi="Calibri"/>
          <w:b w:val="false"/>
          <w:i w:val="false"/>
          <w:sz w:val="22"/>
        </w:rPr>
        <w:t xml:space="preserve">Contrairement à une création classique qui dépense 80 % du budget initial en développement, la plateforme est </w:t>
      </w:r>
      <w:r>
        <w:rPr>
          <w:rFonts w:ascii="Calibri" w:hAnsi="Calibri"/>
          <w:b/>
          <w:i w:val="false"/>
          <w:sz w:val="22"/>
        </w:rPr>
        <w:t>déjà opérationnelle</w:t>
      </w:r>
      <w:r>
        <w:rPr>
          <w:rFonts w:ascii="Calibri" w:hAnsi="Calibri"/>
          <w:b w:val="false"/>
          <w:i w:val="false"/>
          <w:sz w:val="22"/>
        </w:rPr>
        <w:t xml:space="preserve"> :</w:t>
      </w:r>
    </w:p>
    <w:p>
      <w:pPr>
        <w:pStyle w:val="ListBullet"/>
        <w:numPr>
          <w:ilvl w:val="0"/>
          <w:numId w:val="1"/>
        </w:numPr>
        <w:spacing w:before="0" w:after="60"/>
        <w:ind w:left="432" w:hanging="360"/>
        <w:contextualSpacing/>
        <w:rPr/>
      </w:pPr>
      <w:r>
        <w:rPr>
          <w:rFonts w:ascii="Calibri" w:hAnsi="Calibri"/>
          <w:b w:val="false"/>
          <w:i w:val="false"/>
          <w:sz w:val="22"/>
        </w:rPr>
        <w:t>12 microservices en production (NestJS, Go, Rust)</w:t>
      </w:r>
    </w:p>
    <w:p>
      <w:pPr>
        <w:pStyle w:val="ListBullet"/>
        <w:numPr>
          <w:ilvl w:val="0"/>
          <w:numId w:val="1"/>
        </w:numPr>
        <w:spacing w:before="0" w:after="60"/>
        <w:ind w:left="432" w:hanging="360"/>
        <w:contextualSpacing/>
        <w:rPr/>
      </w:pPr>
      <w:r>
        <w:rPr>
          <w:rFonts w:ascii="Calibri" w:hAnsi="Calibri"/>
          <w:b w:val="false"/>
          <w:i w:val="false"/>
          <w:sz w:val="22"/>
        </w:rPr>
        <w:t>Interface web fonctionnelle (Next.js, workflow DAG visuel)</w:t>
      </w:r>
    </w:p>
    <w:p>
      <w:pPr>
        <w:pStyle w:val="ListBullet"/>
        <w:numPr>
          <w:ilvl w:val="0"/>
          <w:numId w:val="1"/>
        </w:numPr>
        <w:spacing w:before="0" w:after="60"/>
        <w:ind w:left="432" w:hanging="360"/>
        <w:contextualSpacing/>
        <w:rPr/>
      </w:pPr>
      <w:r>
        <w:rPr>
          <w:rFonts w:ascii="Calibri" w:hAnsi="Calibri"/>
          <w:b w:val="false"/>
          <w:i w:val="false"/>
          <w:sz w:val="22"/>
        </w:rPr>
        <w:t>Support multi-LLM, sandbox sécurisé, monitoring temps réel</w:t>
      </w:r>
    </w:p>
    <w:p>
      <w:pPr>
        <w:pStyle w:val="ListBullet"/>
        <w:numPr>
          <w:ilvl w:val="0"/>
          <w:numId w:val="1"/>
        </w:numPr>
        <w:spacing w:before="0" w:after="60"/>
        <w:ind w:left="432" w:hanging="360"/>
        <w:contextualSpacing/>
        <w:rPr/>
      </w:pPr>
      <w:r>
        <w:rPr>
          <w:rFonts w:ascii="Calibri" w:hAnsi="Calibri"/>
          <w:b w:val="false"/>
          <w:i w:val="false"/>
          <w:sz w:val="22"/>
        </w:rPr>
        <w:t>L'investissement des fondateurs en temps représente la vraie valeur immobilisée</w:t>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E74B5"/>
              <w:left w:val="single" w:sz="4" w:space="0" w:color="2E74B5"/>
              <w:bottom w:val="single" w:sz="4" w:space="0" w:color="2E74B5"/>
              <w:right w:val="single" w:sz="4" w:space="0" w:color="2E74B5"/>
            </w:tcBorders>
            <w:shd w:color="auto" w:fill="EBF3FB"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Le produit étant développé, chaque euro du financement va à l'exploitation (infrastructure, outils, démarches légales) — pas au développement. C'est un avantage structurel majeur par rapport à une création ex-nihilo.</w:t>
            </w:r>
          </w:p>
        </w:tc>
      </w:tr>
    </w:tbl>
    <w:p>
      <w:pPr>
        <w:pStyle w:val="Normal"/>
        <w:spacing w:before="0" w:after="80"/>
        <w:rPr/>
      </w:pPr>
      <w:r>
        <w:rPr/>
      </w:r>
    </w:p>
    <w:p>
      <w:pPr>
        <w:pStyle w:val="Normal"/>
        <w:rPr/>
      </w:pPr>
      <w:r>
        <w:rPr/>
      </w:r>
      <w:r>
        <w:br w:type="page"/>
      </w:r>
    </w:p>
    <w:p>
      <w:pPr>
        <w:pStyle w:val="Normal"/>
        <w:spacing w:before="360" w:after="80"/>
        <w:rPr/>
      </w:pPr>
      <w:r>
        <w:rPr>
          <w:rFonts w:ascii="Calibri" w:hAnsi="Calibri"/>
          <w:b/>
          <w:i w:val="false"/>
          <w:color w:val="1F497D"/>
          <w:sz w:val="38"/>
        </w:rPr>
        <w:t>3. Vision, mission &amp; valeurs</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3.1 Vision</w:t>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E74B5"/>
              <w:left w:val="single" w:sz="4" w:space="0" w:color="2E74B5"/>
              <w:bottom w:val="single" w:sz="4" w:space="0" w:color="2E74B5"/>
              <w:right w:val="single" w:sz="4" w:space="0" w:color="2E74B5"/>
            </w:tcBorders>
            <w:shd w:color="auto" w:fill="EBF3FB"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Être la plateforme d'orchestration d'agents IA de référence pour les PME et ETI européennes qui veulent automatiser sans sacrifier la maîtrise de leurs données ni leur budget.</w:t>
            </w:r>
          </w:p>
        </w:tc>
      </w:tr>
    </w:tbl>
    <w:p>
      <w:pPr>
        <w:pStyle w:val="Normal"/>
        <w:spacing w:before="0" w:after="80"/>
        <w:rPr/>
      </w:pPr>
      <w:r>
        <w:rPr/>
      </w:r>
    </w:p>
    <w:p>
      <w:pPr>
        <w:pStyle w:val="Normal"/>
        <w:spacing w:before="240" w:after="60"/>
        <w:rPr/>
      </w:pPr>
      <w:r>
        <w:rPr>
          <w:rFonts w:ascii="Calibri" w:hAnsi="Calibri"/>
          <w:b/>
          <w:i w:val="false"/>
          <w:color w:val="2E74B5"/>
          <w:sz w:val="28"/>
        </w:rPr>
        <w:t>3.2 Mission</w:t>
      </w:r>
    </w:p>
    <w:p>
      <w:pPr>
        <w:pStyle w:val="Normal"/>
        <w:spacing w:before="0" w:after="120"/>
        <w:rPr/>
      </w:pPr>
      <w:r>
        <w:rPr>
          <w:rFonts w:ascii="Calibri" w:hAnsi="Calibri"/>
          <w:b w:val="false"/>
          <w:i w:val="false"/>
          <w:sz w:val="22"/>
        </w:rPr>
        <w:t>Rendre l'automatisation IA enterprise accessible aux équipes qui n'ont pas un budget Silicon Valley — avec un niveau de sécurité et de fiabilité identique aux grands acteurs.</w:t>
      </w:r>
    </w:p>
    <w:p>
      <w:pPr>
        <w:pStyle w:val="Normal"/>
        <w:spacing w:before="240" w:after="60"/>
        <w:rPr/>
      </w:pPr>
      <w:r>
        <w:rPr>
          <w:rFonts w:ascii="Calibri" w:hAnsi="Calibri"/>
          <w:b/>
          <w:i w:val="false"/>
          <w:color w:val="2E74B5"/>
          <w:sz w:val="28"/>
        </w:rPr>
        <w:t>3.3 Proposition de valeur en une phrase</w:t>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E74B5"/>
              <w:left w:val="single" w:sz="4" w:space="0" w:color="2E74B5"/>
              <w:bottom w:val="single" w:sz="4" w:space="0" w:color="2E74B5"/>
              <w:right w:val="single" w:sz="4" w:space="0" w:color="2E74B5"/>
            </w:tcBorders>
            <w:shd w:color="auto" w:fill="EBF3FB"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 La seule plateforme multi-LLM déployable dans votre infrastructure, à moins de 50 €/mois, avec un niveau de sécurité bancaire. »</w:t>
            </w:r>
          </w:p>
        </w:tc>
      </w:tr>
    </w:tbl>
    <w:p>
      <w:pPr>
        <w:pStyle w:val="Normal"/>
        <w:spacing w:before="0" w:after="80"/>
        <w:rPr/>
      </w:pPr>
      <w:r>
        <w:rPr/>
      </w:r>
    </w:p>
    <w:p>
      <w:pPr>
        <w:pStyle w:val="Normal"/>
        <w:spacing w:before="240" w:after="60"/>
        <w:rPr/>
      </w:pPr>
      <w:r>
        <w:rPr>
          <w:rFonts w:ascii="Calibri" w:hAnsi="Calibri"/>
          <w:b/>
          <w:i w:val="false"/>
          <w:color w:val="2E74B5"/>
          <w:sz w:val="28"/>
        </w:rPr>
        <w:t>3.4 Valeurs &amp; principes bootstrap</w:t>
      </w:r>
    </w:p>
    <w:p>
      <w:pPr>
        <w:pStyle w:val="ListBullet"/>
        <w:numPr>
          <w:ilvl w:val="0"/>
          <w:numId w:val="1"/>
        </w:numPr>
        <w:spacing w:before="0" w:after="60"/>
        <w:ind w:left="432" w:hanging="360"/>
        <w:contextualSpacing/>
        <w:rPr/>
      </w:pPr>
      <w:r>
        <w:rPr>
          <w:rFonts w:ascii="Calibri" w:hAnsi="Calibri"/>
          <w:b/>
          <w:i w:val="false"/>
          <w:sz w:val="22"/>
        </w:rPr>
        <w:t>Frugalité par conviction</w:t>
      </w:r>
      <w:r>
        <w:rPr>
          <w:rFonts w:ascii="Calibri" w:hAnsi="Calibri"/>
          <w:b w:val="false"/>
          <w:i w:val="false"/>
          <w:sz w:val="22"/>
        </w:rPr>
        <w:t xml:space="preserve"> : dépenser moins que ce qu'on gagne, réinvestir l'excédent</w:t>
      </w:r>
    </w:p>
    <w:p>
      <w:pPr>
        <w:pStyle w:val="ListBullet"/>
        <w:numPr>
          <w:ilvl w:val="0"/>
          <w:numId w:val="1"/>
        </w:numPr>
        <w:spacing w:before="0" w:after="60"/>
        <w:ind w:left="432" w:hanging="360"/>
        <w:contextualSpacing/>
        <w:rPr/>
      </w:pPr>
      <w:r>
        <w:rPr>
          <w:rFonts w:ascii="Calibri" w:hAnsi="Calibri"/>
          <w:b/>
          <w:i w:val="false"/>
          <w:sz w:val="22"/>
        </w:rPr>
        <w:t>Valeur d'abord</w:t>
      </w:r>
      <w:r>
        <w:rPr>
          <w:rFonts w:ascii="Calibri" w:hAnsi="Calibri"/>
          <w:b w:val="false"/>
          <w:i w:val="false"/>
          <w:sz w:val="22"/>
        </w:rPr>
        <w:t xml:space="preserve"> : pas de fonctionnalité sans client demandeur identifié</w:t>
      </w:r>
    </w:p>
    <w:p>
      <w:pPr>
        <w:pStyle w:val="ListBullet"/>
        <w:numPr>
          <w:ilvl w:val="0"/>
          <w:numId w:val="1"/>
        </w:numPr>
        <w:spacing w:before="0" w:after="60"/>
        <w:ind w:left="432" w:hanging="360"/>
        <w:contextualSpacing/>
        <w:rPr/>
      </w:pPr>
      <w:r>
        <w:rPr>
          <w:rFonts w:ascii="Calibri" w:hAnsi="Calibri"/>
          <w:b/>
          <w:i w:val="false"/>
          <w:sz w:val="22"/>
        </w:rPr>
        <w:t>Transparence radicale</w:t>
      </w:r>
      <w:r>
        <w:rPr>
          <w:rFonts w:ascii="Calibri" w:hAnsi="Calibri"/>
          <w:b w:val="false"/>
          <w:i w:val="false"/>
          <w:sz w:val="22"/>
        </w:rPr>
        <w:t xml:space="preserve"> : pricing public, pas de frais cachés, changelog public</w:t>
      </w:r>
    </w:p>
    <w:p>
      <w:pPr>
        <w:pStyle w:val="ListBullet"/>
        <w:numPr>
          <w:ilvl w:val="0"/>
          <w:numId w:val="1"/>
        </w:numPr>
        <w:spacing w:before="0" w:after="60"/>
        <w:ind w:left="432" w:hanging="360"/>
        <w:contextualSpacing/>
        <w:rPr/>
      </w:pPr>
      <w:r>
        <w:rPr>
          <w:rFonts w:ascii="Calibri" w:hAnsi="Calibri"/>
          <w:b/>
          <w:i w:val="false"/>
          <w:sz w:val="22"/>
        </w:rPr>
        <w:t>Souveraineté</w:t>
      </w:r>
      <w:r>
        <w:rPr>
          <w:rFonts w:ascii="Calibri" w:hAnsi="Calibri"/>
          <w:b w:val="false"/>
          <w:i w:val="false"/>
          <w:sz w:val="22"/>
        </w:rPr>
        <w:t xml:space="preserve"> : le client garde ses données, peut partir à tout moment</w:t>
      </w:r>
    </w:p>
    <w:p>
      <w:pPr>
        <w:pStyle w:val="ListBullet"/>
        <w:numPr>
          <w:ilvl w:val="0"/>
          <w:numId w:val="1"/>
        </w:numPr>
        <w:spacing w:before="0" w:after="60"/>
        <w:ind w:left="432" w:hanging="360"/>
        <w:contextualSpacing/>
        <w:rPr/>
      </w:pPr>
      <w:r>
        <w:rPr>
          <w:rFonts w:ascii="Calibri" w:hAnsi="Calibri"/>
          <w:b/>
          <w:i w:val="false"/>
          <w:sz w:val="22"/>
        </w:rPr>
        <w:t>Équipe d'abord</w:t>
      </w:r>
      <w:r>
        <w:rPr>
          <w:rFonts w:ascii="Calibri" w:hAnsi="Calibri"/>
          <w:b w:val="false"/>
          <w:i w:val="false"/>
          <w:sz w:val="22"/>
        </w:rPr>
        <w:t xml:space="preserve"> : les fondateurs construisent quelque chose qu'ils seraient fiers d'utiliser</w:t>
      </w:r>
    </w:p>
    <w:p>
      <w:pPr>
        <w:pStyle w:val="Normal"/>
        <w:rPr/>
      </w:pPr>
      <w:r>
        <w:rPr/>
      </w:r>
      <w:r>
        <w:br w:type="page"/>
      </w:r>
    </w:p>
    <w:p>
      <w:pPr>
        <w:pStyle w:val="Normal"/>
        <w:spacing w:before="360" w:after="80"/>
        <w:rPr/>
      </w:pPr>
      <w:r>
        <w:rPr>
          <w:rFonts w:ascii="Calibri" w:hAnsi="Calibri"/>
          <w:b/>
          <w:i w:val="false"/>
          <w:color w:val="1F497D"/>
          <w:sz w:val="38"/>
        </w:rPr>
        <w:t>4. Équipe fondatrice &amp; gouvernance</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4.1 Les 4 fondateurs</w:t>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shd w:color="auto" w:fill="1F497D" w:val="clear"/>
          </w:tcPr>
          <w:p>
            <w:pPr>
              <w:pStyle w:val="Normal"/>
              <w:widowControl w:val="false"/>
              <w:spacing w:before="100" w:after="40"/>
              <w:ind w:left="144" w:hanging="0"/>
              <w:rPr/>
            </w:pPr>
            <w:r>
              <w:rPr>
                <w:rFonts w:ascii="Calibri" w:hAnsi="Calibri"/>
                <w:b/>
                <w:i w:val="false"/>
                <w:color w:val="FFFFFF"/>
                <w:sz w:val="22"/>
              </w:rPr>
              <w:t xml:space="preserve">  👤 </w:t>
            </w:r>
            <w:r>
              <w:rPr>
                <w:rFonts w:ascii="Calibri" w:hAnsi="Calibri"/>
                <w:b/>
                <w:i w:val="false"/>
                <w:color w:val="FFFFFF"/>
                <w:sz w:val="22"/>
              </w:rPr>
              <w:t>Lead / CEO  —  35 % du capital</w:t>
            </w:r>
          </w:p>
        </w:tc>
      </w:tr>
    </w:tbl>
    <w:p>
      <w:pPr>
        <w:pStyle w:val="Normal"/>
        <w:spacing w:before="0" w:after="120"/>
        <w:rPr>
          <w:rFonts w:ascii="Calibri" w:hAnsi="Calibri"/>
          <w:b/>
          <w:b/>
          <w:i w:val="false"/>
          <w:i w:val="false"/>
          <w:sz w:val="22"/>
        </w:rPr>
      </w:pPr>
      <w:r>
        <w:rPr/>
      </w:r>
    </w:p>
    <w:p>
      <w:pPr>
        <w:pStyle w:val="Normal"/>
        <w:spacing w:before="0" w:after="120"/>
        <w:rPr/>
      </w:pPr>
      <w:r>
        <w:rPr>
          <w:rFonts w:ascii="Calibri" w:hAnsi="Calibri"/>
          <w:b/>
          <w:i w:val="false"/>
          <w:sz w:val="22"/>
        </w:rPr>
        <w:t>ANDRIAMANDROSO Tokiarivelo Anjaniaina Rinaldi</w:t>
      </w:r>
    </w:p>
    <w:p>
      <w:pPr>
        <w:pStyle w:val="Normal"/>
        <w:spacing w:before="0" w:after="120"/>
        <w:rPr/>
      </w:pPr>
      <w:r>
        <w:rPr>
          <w:rFonts w:ascii="Calibri" w:hAnsi="Calibri"/>
          <w:b/>
          <w:i w:val="false"/>
          <w:sz w:val="22"/>
        </w:rPr>
        <w:t>Responsabilités</w:t>
      </w:r>
      <w:r>
        <w:rPr>
          <w:rFonts w:ascii="Calibri" w:hAnsi="Calibri"/>
          <w:b w:val="false"/>
          <w:i w:val="false"/>
          <w:sz w:val="22"/>
        </w:rPr>
        <w:t xml:space="preserve"> : Direction, vision produit, relations clients grand compte, pilotage financier.</w:t>
      </w:r>
    </w:p>
    <w:p>
      <w:pPr>
        <w:pStyle w:val="Normal"/>
        <w:spacing w:before="0" w:after="120"/>
        <w:rPr/>
      </w:pPr>
      <w:r>
        <w:rPr>
          <w:rFonts w:ascii="Calibri" w:hAnsi="Calibri"/>
          <w:b/>
          <w:i w:val="false"/>
          <w:sz w:val="22"/>
        </w:rPr>
        <w:t>Rôle clé</w:t>
      </w:r>
      <w:r>
        <w:rPr>
          <w:rFonts w:ascii="Calibri" w:hAnsi="Calibri"/>
          <w:b w:val="false"/>
          <w:i w:val="false"/>
          <w:sz w:val="22"/>
        </w:rPr>
        <w:t xml:space="preserve"> : En charge des décisions stratégiques, des devis services pro, et du recrutement futur.</w:t>
      </w:r>
    </w:p>
    <w:p>
      <w:pPr>
        <w:pStyle w:val="Normal"/>
        <w:spacing w:before="0" w:after="8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shd w:color="auto" w:fill="2E74B5" w:val="clear"/>
          </w:tcPr>
          <w:p>
            <w:pPr>
              <w:pStyle w:val="Normal"/>
              <w:widowControl w:val="false"/>
              <w:spacing w:before="100" w:after="40"/>
              <w:ind w:left="144" w:hanging="0"/>
              <w:rPr/>
            </w:pPr>
            <w:r>
              <w:rPr>
                <w:rFonts w:ascii="Calibri" w:hAnsi="Calibri"/>
                <w:b/>
                <w:i w:val="false"/>
                <w:color w:val="FFFFFF"/>
                <w:sz w:val="22"/>
              </w:rPr>
              <w:t xml:space="preserve">  💻 </w:t>
            </w:r>
            <w:r>
              <w:rPr>
                <w:rFonts w:ascii="Calibri" w:hAnsi="Calibri"/>
                <w:b/>
                <w:i w:val="false"/>
                <w:color w:val="FFFFFF"/>
                <w:sz w:val="22"/>
              </w:rPr>
              <w:t>Développeur Senior — Backend &amp; Architecture  —  30 % du capital</w:t>
            </w:r>
          </w:p>
        </w:tc>
      </w:tr>
    </w:tbl>
    <w:p>
      <w:pPr>
        <w:pStyle w:val="Normal"/>
        <w:spacing w:before="0" w:after="40"/>
        <w:rPr/>
      </w:pPr>
      <w:r>
        <w:rPr/>
      </w:r>
    </w:p>
    <w:p>
      <w:pPr>
        <w:pStyle w:val="Normal"/>
        <w:spacing w:before="0" w:after="120"/>
        <w:rPr/>
      </w:pPr>
      <w:r>
        <w:rPr>
          <w:rFonts w:ascii="Calibri" w:hAnsi="Calibri"/>
          <w:b/>
          <w:i w:val="false"/>
          <w:sz w:val="22"/>
        </w:rPr>
        <w:t>RANDRINDRAHONANDO Juliette Fy-Tia Jessy</w:t>
      </w:r>
    </w:p>
    <w:p>
      <w:pPr>
        <w:pStyle w:val="Normal"/>
        <w:spacing w:before="0" w:after="120"/>
        <w:rPr/>
      </w:pPr>
      <w:r>
        <w:rPr>
          <w:rFonts w:ascii="Calibri" w:hAnsi="Calibri"/>
          <w:b/>
          <w:i w:val="false"/>
          <w:sz w:val="22"/>
        </w:rPr>
        <w:t>Responsabilités</w:t>
      </w:r>
      <w:r>
        <w:rPr>
          <w:rFonts w:ascii="Calibri" w:hAnsi="Calibri"/>
          <w:b w:val="false"/>
          <w:i w:val="false"/>
          <w:sz w:val="22"/>
        </w:rPr>
        <w:t xml:space="preserve"> : Architecture microservices, infrastructure K8s, sécurité applicative, sandbox Rust.</w:t>
      </w:r>
    </w:p>
    <w:p>
      <w:pPr>
        <w:pStyle w:val="Normal"/>
        <w:spacing w:before="0" w:after="120"/>
        <w:rPr/>
      </w:pPr>
      <w:r>
        <w:rPr>
          <w:rFonts w:ascii="Calibri" w:hAnsi="Calibri"/>
          <w:b/>
          <w:i w:val="false"/>
          <w:sz w:val="22"/>
        </w:rPr>
        <w:t>Rôle clé</w:t>
      </w:r>
      <w:r>
        <w:rPr>
          <w:rFonts w:ascii="Calibri" w:hAnsi="Calibri"/>
          <w:b w:val="false"/>
          <w:i w:val="false"/>
          <w:sz w:val="22"/>
        </w:rPr>
        <w:t xml:space="preserve"> : Garant de la stabilité technique. Référent pour les audits de sécurité clients enterprise.</w:t>
      </w:r>
    </w:p>
    <w:p>
      <w:pPr>
        <w:pStyle w:val="Normal"/>
        <w:spacing w:before="0" w:after="8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shd w:color="auto" w:fill="007A78" w:val="clear"/>
          </w:tcPr>
          <w:p>
            <w:pPr>
              <w:pStyle w:val="Normal"/>
              <w:widowControl w:val="false"/>
              <w:spacing w:before="100" w:after="40"/>
              <w:ind w:left="144" w:hanging="0"/>
              <w:rPr/>
            </w:pPr>
            <w:r>
              <w:rPr>
                <w:rFonts w:ascii="Calibri" w:hAnsi="Calibri"/>
                <w:b/>
                <w:i w:val="false"/>
                <w:color w:val="FFFFFF"/>
                <w:sz w:val="22"/>
              </w:rPr>
              <w:t xml:space="preserve">  🎨 </w:t>
            </w:r>
            <w:r>
              <w:rPr>
                <w:rFonts w:ascii="Calibri" w:hAnsi="Calibri"/>
                <w:b/>
                <w:i w:val="false"/>
                <w:color w:val="FFFFFF"/>
                <w:sz w:val="22"/>
              </w:rPr>
              <w:t>Développeur — Frontend &amp; Intégrations  —  20 % du capital</w:t>
            </w:r>
          </w:p>
        </w:tc>
      </w:tr>
    </w:tbl>
    <w:p>
      <w:pPr>
        <w:pStyle w:val="Normal"/>
        <w:spacing w:before="0" w:after="40"/>
        <w:rPr/>
      </w:pPr>
      <w:r>
        <w:rPr/>
      </w:r>
    </w:p>
    <w:p>
      <w:pPr>
        <w:pStyle w:val="Normal"/>
        <w:spacing w:before="0" w:after="40"/>
        <w:rPr>
          <w:rFonts w:ascii="Calibri" w:hAnsi="Calibri"/>
          <w:b/>
          <w:b/>
          <w:bCs/>
        </w:rPr>
      </w:pPr>
      <w:r>
        <w:rPr>
          <w:rFonts w:ascii="Calibri" w:hAnsi="Calibri"/>
          <w:b/>
          <w:bCs/>
        </w:rPr>
        <w:t>RAPARISON NY Hasina Fanonerantsoa</w:t>
      </w:r>
    </w:p>
    <w:p>
      <w:pPr>
        <w:pStyle w:val="Normal"/>
        <w:spacing w:before="0" w:after="40"/>
        <w:rPr>
          <w:rFonts w:ascii="Calibri" w:hAnsi="Calibri"/>
          <w:b/>
          <w:b/>
          <w:bCs/>
        </w:rPr>
      </w:pPr>
      <w:r>
        <w:rPr>
          <w:rFonts w:ascii="Calibri" w:hAnsi="Calibri"/>
          <w:b/>
          <w:bCs/>
        </w:rPr>
      </w:r>
    </w:p>
    <w:p>
      <w:pPr>
        <w:pStyle w:val="Normal"/>
        <w:spacing w:before="0" w:after="120"/>
        <w:rPr/>
      </w:pPr>
      <w:r>
        <w:rPr>
          <w:rFonts w:ascii="Calibri" w:hAnsi="Calibri"/>
          <w:b/>
          <w:i w:val="false"/>
          <w:sz w:val="22"/>
        </w:rPr>
        <w:t>Responsabilités</w:t>
      </w:r>
      <w:r>
        <w:rPr>
          <w:rFonts w:ascii="Calibri" w:hAnsi="Calibri"/>
          <w:b w:val="false"/>
          <w:i w:val="false"/>
          <w:sz w:val="22"/>
        </w:rPr>
        <w:t xml:space="preserve"> : Interface Next.js, connecteurs tiers, SDK développeurs, documentation technique.</w:t>
      </w:r>
    </w:p>
    <w:p>
      <w:pPr>
        <w:pStyle w:val="Normal"/>
        <w:spacing w:before="0" w:after="120"/>
        <w:rPr/>
      </w:pPr>
      <w:r>
        <w:rPr>
          <w:rFonts w:ascii="Calibri" w:hAnsi="Calibri"/>
          <w:b/>
          <w:i w:val="false"/>
          <w:sz w:val="22"/>
        </w:rPr>
        <w:t>Rôle clé</w:t>
      </w:r>
      <w:r>
        <w:rPr>
          <w:rFonts w:ascii="Calibri" w:hAnsi="Calibri"/>
          <w:b w:val="false"/>
          <w:i w:val="false"/>
          <w:sz w:val="22"/>
        </w:rPr>
        <w:t xml:space="preserve"> : Pilote l'adoption par les développeurs et la qualité de l'expérience utilisateur.</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0" w:after="8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shd w:color="auto" w:fill="6A0DAD" w:val="clear"/>
          </w:tcPr>
          <w:p>
            <w:pPr>
              <w:pStyle w:val="Normal"/>
              <w:widowControl w:val="false"/>
              <w:spacing w:before="100" w:after="40"/>
              <w:ind w:left="144" w:hanging="0"/>
              <w:rPr/>
            </w:pPr>
            <w:r>
              <w:rPr>
                <w:rFonts w:ascii="Calibri" w:hAnsi="Calibri"/>
                <w:b/>
                <w:i w:val="false"/>
                <w:color w:val="FFFFFF"/>
                <w:sz w:val="22"/>
              </w:rPr>
              <w:t xml:space="preserve">  📣 </w:t>
            </w:r>
            <w:r>
              <w:rPr>
                <w:rFonts w:ascii="Calibri" w:hAnsi="Calibri"/>
                <w:b/>
                <w:i w:val="false"/>
                <w:color w:val="FFFFFF"/>
                <w:sz w:val="22"/>
              </w:rPr>
              <w:t>Marketing &amp; Growth  —  15 % du capital</w:t>
            </w:r>
          </w:p>
        </w:tc>
      </w:tr>
    </w:tbl>
    <w:p>
      <w:pPr>
        <w:pStyle w:val="Normal"/>
        <w:spacing w:before="0" w:after="40"/>
        <w:rPr/>
      </w:pPr>
      <w:r>
        <w:rPr/>
      </w:r>
    </w:p>
    <w:p>
      <w:pPr>
        <w:pStyle w:val="Normal"/>
        <w:spacing w:before="0" w:after="40"/>
        <w:rPr>
          <w:rFonts w:ascii="Calibri" w:hAnsi="Calibri"/>
          <w:b/>
          <w:b/>
          <w:bCs/>
        </w:rPr>
      </w:pPr>
      <w:r>
        <w:rPr>
          <w:rFonts w:ascii="Calibri" w:hAnsi="Calibri"/>
          <w:b/>
          <w:bCs/>
        </w:rPr>
        <w:t>RAKOTOARIMANANA AMYGDALA JARA</w:t>
      </w:r>
    </w:p>
    <w:p>
      <w:pPr>
        <w:pStyle w:val="Normal"/>
        <w:spacing w:before="0" w:after="120"/>
        <w:rPr/>
      </w:pPr>
      <w:r>
        <w:rPr>
          <w:rFonts w:ascii="Calibri" w:hAnsi="Calibri"/>
          <w:b/>
          <w:i w:val="false"/>
          <w:sz w:val="22"/>
        </w:rPr>
        <w:t>Responsabilités</w:t>
      </w:r>
      <w:r>
        <w:rPr>
          <w:rFonts w:ascii="Calibri" w:hAnsi="Calibri"/>
          <w:b w:val="false"/>
          <w:i w:val="false"/>
          <w:sz w:val="22"/>
        </w:rPr>
        <w:t xml:space="preserve"> : Contenu SEO, réseaux sociaux, analytics, supports commerciaux, communauté.</w:t>
      </w:r>
    </w:p>
    <w:p>
      <w:pPr>
        <w:pStyle w:val="Normal"/>
        <w:spacing w:before="0" w:after="120"/>
        <w:rPr/>
      </w:pPr>
      <w:r>
        <w:rPr>
          <w:rFonts w:ascii="Calibri" w:hAnsi="Calibri"/>
          <w:b/>
          <w:i w:val="false"/>
          <w:sz w:val="22"/>
        </w:rPr>
        <w:t>Rôle clé</w:t>
      </w:r>
      <w:r>
        <w:rPr>
          <w:rFonts w:ascii="Calibri" w:hAnsi="Calibri"/>
          <w:b w:val="false"/>
          <w:i w:val="false"/>
          <w:sz w:val="22"/>
        </w:rPr>
        <w:t xml:space="preserve"> : Construit la présence de marque et mesure chaque canal d'acquisition au centime.</w:t>
      </w:r>
    </w:p>
    <w:p>
      <w:pPr>
        <w:pStyle w:val="Normal"/>
        <w:spacing w:before="0" w:after="80"/>
        <w:rPr/>
      </w:pPr>
      <w:r>
        <w:rPr/>
      </w:r>
    </w:p>
    <w:p>
      <w:pPr>
        <w:pStyle w:val="Normal"/>
        <w:spacing w:before="240" w:after="60"/>
        <w:rPr/>
      </w:pPr>
      <w:r>
        <w:rPr>
          <w:rFonts w:ascii="Calibri" w:hAnsi="Calibri"/>
          <w:b/>
          <w:i w:val="false"/>
          <w:color w:val="2E74B5"/>
          <w:sz w:val="28"/>
        </w:rPr>
        <w:t>4.2 Répartition du capital &amp; pacte d'associés</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Associé</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Parts</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Type</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Vesting</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Lead / CEO</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35 %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Actions ordinaires</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ans, cliff 12 mois</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Développeur Senior</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Actions ordinaires</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ans, cliff 12 mois</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Développeur Frontend</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Actions ordinaires</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ans, cliff 12 mois</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Marketing &amp; Growth</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Actions ordinaires</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ans, cliff 12 mois</w:t>
            </w:r>
          </w:p>
        </w:tc>
      </w:tr>
    </w:tbl>
    <w:p>
      <w:pPr>
        <w:pStyle w:val="Normal"/>
        <w:spacing w:before="0" w:after="120"/>
        <w:rPr/>
      </w:pPr>
      <w:r>
        <w:rPr/>
      </w:r>
    </w:p>
    <w:p>
      <w:pPr>
        <w:pStyle w:val="Normal"/>
        <w:spacing w:before="0" w:after="120"/>
        <w:rPr/>
      </w:pPr>
      <w:r>
        <w:rPr>
          <w:rFonts w:ascii="Calibri" w:hAnsi="Calibri"/>
          <w:b/>
          <w:i w:val="false"/>
          <w:sz w:val="22"/>
        </w:rPr>
        <w:t>Dispositions clés du pacte d'associés</w:t>
      </w:r>
      <w:r>
        <w:rPr>
          <w:rFonts w:ascii="Calibri" w:hAnsi="Calibri"/>
          <w:b w:val="false"/>
          <w:i w:val="false"/>
          <w:sz w:val="22"/>
        </w:rPr>
        <w:t xml:space="preserve"> :</w:t>
      </w:r>
    </w:p>
    <w:p>
      <w:pPr>
        <w:pStyle w:val="ListBullet"/>
        <w:numPr>
          <w:ilvl w:val="0"/>
          <w:numId w:val="1"/>
        </w:numPr>
        <w:spacing w:before="0" w:after="60"/>
        <w:ind w:left="432" w:hanging="360"/>
        <w:contextualSpacing/>
        <w:rPr/>
      </w:pPr>
      <w:r>
        <w:rPr>
          <w:rFonts w:ascii="Calibri" w:hAnsi="Calibri"/>
          <w:b w:val="false"/>
          <w:i w:val="false"/>
          <w:sz w:val="22"/>
        </w:rPr>
        <w:t xml:space="preserve">Clause de </w:t>
      </w:r>
      <w:r>
        <w:rPr>
          <w:rFonts w:ascii="Calibri" w:hAnsi="Calibri"/>
          <w:b/>
          <w:i w:val="false"/>
          <w:sz w:val="22"/>
        </w:rPr>
        <w:t>bad leaver</w:t>
      </w:r>
      <w:r>
        <w:rPr>
          <w:rFonts w:ascii="Calibri" w:hAnsi="Calibri"/>
          <w:b w:val="false"/>
          <w:i w:val="false"/>
          <w:sz w:val="22"/>
        </w:rPr>
        <w:t xml:space="preserve"> : fondateur qui part avant le cliff renonce à ses parts</w:t>
      </w:r>
    </w:p>
    <w:p>
      <w:pPr>
        <w:pStyle w:val="ListBullet"/>
        <w:numPr>
          <w:ilvl w:val="0"/>
          <w:numId w:val="1"/>
        </w:numPr>
        <w:spacing w:before="0" w:after="60"/>
        <w:ind w:left="432" w:hanging="360"/>
        <w:contextualSpacing/>
        <w:rPr/>
      </w:pPr>
      <w:r>
        <w:rPr>
          <w:rFonts w:ascii="Calibri" w:hAnsi="Calibri"/>
          <w:b/>
          <w:i w:val="false"/>
          <w:sz w:val="22"/>
        </w:rPr>
        <w:t>Décisions unanimes</w:t>
      </w:r>
      <w:r>
        <w:rPr>
          <w:rFonts w:ascii="Calibri" w:hAnsi="Calibri"/>
          <w:b w:val="false"/>
          <w:i w:val="false"/>
          <w:sz w:val="22"/>
        </w:rPr>
        <w:t xml:space="preserve"> : levée de fonds, cession, modification capital</w:t>
      </w:r>
    </w:p>
    <w:p>
      <w:pPr>
        <w:pStyle w:val="ListBullet"/>
        <w:numPr>
          <w:ilvl w:val="0"/>
          <w:numId w:val="1"/>
        </w:numPr>
        <w:spacing w:before="0" w:after="60"/>
        <w:ind w:left="432" w:hanging="360"/>
        <w:contextualSpacing/>
        <w:rPr/>
      </w:pPr>
      <w:r>
        <w:rPr>
          <w:rFonts w:ascii="Calibri" w:hAnsi="Calibri"/>
          <w:b/>
          <w:i w:val="false"/>
          <w:sz w:val="22"/>
        </w:rPr>
        <w:t>Décisions à majorité 2/3</w:t>
      </w:r>
      <w:r>
        <w:rPr>
          <w:rFonts w:ascii="Calibri" w:hAnsi="Calibri"/>
          <w:b w:val="false"/>
          <w:i w:val="false"/>
          <w:sz w:val="22"/>
        </w:rPr>
        <w:t xml:space="preserve"> : recrutements, salaires, investissements &gt; 2 000 €</w:t>
      </w:r>
    </w:p>
    <w:p>
      <w:pPr>
        <w:pStyle w:val="ListBullet"/>
        <w:numPr>
          <w:ilvl w:val="0"/>
          <w:numId w:val="1"/>
        </w:numPr>
        <w:spacing w:before="0" w:after="60"/>
        <w:ind w:left="432" w:hanging="360"/>
        <w:contextualSpacing/>
        <w:rPr/>
      </w:pPr>
      <w:r>
        <w:rPr>
          <w:rFonts w:ascii="Calibri" w:hAnsi="Calibri"/>
          <w:b/>
          <w:i w:val="false"/>
          <w:sz w:val="22"/>
        </w:rPr>
        <w:t>Non-concurrence</w:t>
      </w:r>
      <w:r>
        <w:rPr>
          <w:rFonts w:ascii="Calibri" w:hAnsi="Calibri"/>
          <w:b w:val="false"/>
          <w:i w:val="false"/>
          <w:sz w:val="22"/>
        </w:rPr>
        <w:t xml:space="preserve"> : 2 ans post-départ dans le secteur de l'orchestration IA</w:t>
      </w:r>
    </w:p>
    <w:p>
      <w:pPr>
        <w:pStyle w:val="Normal"/>
        <w:rPr/>
      </w:pPr>
      <w:r>
        <w:rPr/>
      </w:r>
      <w:r>
        <w:br w:type="page"/>
      </w:r>
    </w:p>
    <w:p>
      <w:pPr>
        <w:pStyle w:val="Normal"/>
        <w:spacing w:before="360" w:after="80"/>
        <w:rPr/>
      </w:pPr>
      <w:r>
        <w:rPr>
          <w:rFonts w:ascii="Calibri" w:hAnsi="Calibri"/>
          <w:b/>
          <w:i w:val="false"/>
          <w:color w:val="1F497D"/>
          <w:sz w:val="38"/>
        </w:rPr>
        <w:t>5. Produit &amp; roadmap</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5.1 Fonctionnalités disponibles aujourd'hui</w:t>
      </w:r>
    </w:p>
    <w:tbl>
      <w:tblPr>
        <w:tblStyle w:val="TableGrid"/>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22"/>
        <w:gridCol w:w="3022"/>
        <w:gridCol w:w="3022"/>
      </w:tblGrid>
      <w:tr>
        <w:trPr/>
        <w:tc>
          <w:tcPr>
            <w:tcW w:w="3022"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Module</w:t>
            </w:r>
          </w:p>
        </w:tc>
        <w:tc>
          <w:tcPr>
            <w:tcW w:w="3022"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Fonctionnalité</w:t>
            </w:r>
          </w:p>
        </w:tc>
        <w:tc>
          <w:tcPr>
            <w:tcW w:w="3022"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Statut</w:t>
            </w:r>
          </w:p>
        </w:tc>
      </w:tr>
      <w:tr>
        <w:trPr/>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Agents IA</w:t>
            </w:r>
          </w:p>
        </w:tc>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Création, config, supervision d'agents multi-LLM</w:t>
            </w:r>
          </w:p>
        </w:tc>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xml:space="preserve">✅ </w:t>
            </w:r>
            <w:r>
              <w:rPr>
                <w:rFonts w:eastAsia="ＭＳ 明朝" w:cs="" w:ascii="Calibri" w:hAnsi="Calibri"/>
                <w:b w:val="false"/>
                <w:i w:val="false"/>
                <w:kern w:val="0"/>
                <w:sz w:val="20"/>
                <w:szCs w:val="22"/>
                <w:lang w:val="en-US" w:eastAsia="en-US" w:bidi="ar-SA"/>
              </w:rPr>
              <w:t>Opérationnel</w:t>
            </w:r>
          </w:p>
        </w:tc>
      </w:tr>
      <w:tr>
        <w:trPr/>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Workflow DAG</w:t>
            </w:r>
          </w:p>
        </w:tc>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Éditeur visuel glisser-déposer, branchements conditionnels</w:t>
            </w:r>
          </w:p>
        </w:tc>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xml:space="preserve">✅ </w:t>
            </w:r>
            <w:r>
              <w:rPr>
                <w:rFonts w:eastAsia="ＭＳ 明朝" w:cs="" w:ascii="Calibri" w:hAnsi="Calibri"/>
                <w:b w:val="false"/>
                <w:i w:val="false"/>
                <w:kern w:val="0"/>
                <w:sz w:val="20"/>
                <w:szCs w:val="22"/>
                <w:lang w:val="en-US" w:eastAsia="en-US" w:bidi="ar-SA"/>
              </w:rPr>
              <w:t>Opérationnel</w:t>
            </w:r>
          </w:p>
        </w:tc>
      </w:tr>
      <w:tr>
        <w:trPr/>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Multi-LLM</w:t>
            </w:r>
          </w:p>
        </w:tc>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OpenAI, Anthropic, Google Gemini, Azure, Ollama local</w:t>
            </w:r>
          </w:p>
        </w:tc>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xml:space="preserve">✅ </w:t>
            </w:r>
            <w:r>
              <w:rPr>
                <w:rFonts w:eastAsia="ＭＳ 明朝" w:cs="" w:ascii="Calibri" w:hAnsi="Calibri"/>
                <w:b w:val="false"/>
                <w:i w:val="false"/>
                <w:kern w:val="0"/>
                <w:sz w:val="20"/>
                <w:szCs w:val="22"/>
                <w:lang w:val="en-US" w:eastAsia="en-US" w:bidi="ar-SA"/>
              </w:rPr>
              <w:t>Opérationnel</w:t>
            </w:r>
          </w:p>
        </w:tc>
      </w:tr>
      <w:tr>
        <w:trPr/>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Outils</w:t>
            </w:r>
          </w:p>
        </w:tc>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GitHub, Trello, lecture PDF, recherche vectorielle</w:t>
            </w:r>
          </w:p>
        </w:tc>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xml:space="preserve">✅ </w:t>
            </w:r>
            <w:r>
              <w:rPr>
                <w:rFonts w:eastAsia="ＭＳ 明朝" w:cs="" w:ascii="Calibri" w:hAnsi="Calibri"/>
                <w:b w:val="false"/>
                <w:i w:val="false"/>
                <w:kern w:val="0"/>
                <w:sz w:val="20"/>
                <w:szCs w:val="22"/>
                <w:lang w:val="en-US" w:eastAsia="en-US" w:bidi="ar-SA"/>
              </w:rPr>
              <w:t>Opérationnel</w:t>
            </w:r>
          </w:p>
        </w:tc>
      </w:tr>
      <w:tr>
        <w:trPr/>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Sandbox</w:t>
            </w:r>
          </w:p>
        </w:tc>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Exécution sécurisée via Rust isolated-vm</w:t>
            </w:r>
          </w:p>
        </w:tc>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xml:space="preserve">✅ </w:t>
            </w:r>
            <w:r>
              <w:rPr>
                <w:rFonts w:eastAsia="ＭＳ 明朝" w:cs="" w:ascii="Calibri" w:hAnsi="Calibri"/>
                <w:b w:val="false"/>
                <w:i w:val="false"/>
                <w:kern w:val="0"/>
                <w:sz w:val="20"/>
                <w:szCs w:val="22"/>
                <w:lang w:val="en-US" w:eastAsia="en-US" w:bidi="ar-SA"/>
              </w:rPr>
              <w:t>Opérationnel</w:t>
            </w:r>
          </w:p>
        </w:tc>
      </w:tr>
      <w:tr>
        <w:trPr/>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Monitoring</w:t>
            </w:r>
          </w:p>
        </w:tc>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Tableau de bord temps réel, logs, métriques</w:t>
            </w:r>
          </w:p>
        </w:tc>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xml:space="preserve">✅ </w:t>
            </w:r>
            <w:r>
              <w:rPr>
                <w:rFonts w:eastAsia="ＭＳ 明朝" w:cs="" w:ascii="Calibri" w:hAnsi="Calibri"/>
                <w:b w:val="false"/>
                <w:i w:val="false"/>
                <w:kern w:val="0"/>
                <w:sz w:val="20"/>
                <w:szCs w:val="22"/>
                <w:lang w:val="en-US" w:eastAsia="en-US" w:bidi="ar-SA"/>
              </w:rPr>
              <w:t>Opérationnel</w:t>
            </w:r>
          </w:p>
        </w:tc>
      </w:tr>
      <w:tr>
        <w:trPr/>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Sécurité</w:t>
            </w:r>
          </w:p>
        </w:tc>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AES-256-GCM par utilisateur, RBAC 3 niveaux</w:t>
            </w:r>
          </w:p>
        </w:tc>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xml:space="preserve">✅ </w:t>
            </w:r>
            <w:r>
              <w:rPr>
                <w:rFonts w:eastAsia="ＭＳ 明朝" w:cs="" w:ascii="Calibri" w:hAnsi="Calibri"/>
                <w:b w:val="false"/>
                <w:i w:val="false"/>
                <w:kern w:val="0"/>
                <w:sz w:val="20"/>
                <w:szCs w:val="22"/>
                <w:lang w:val="en-US" w:eastAsia="en-US" w:bidi="ar-SA"/>
              </w:rPr>
              <w:t>Opérationnel</w:t>
            </w:r>
          </w:p>
        </w:tc>
      </w:tr>
      <w:tr>
        <w:trPr/>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i18n</w:t>
            </w:r>
          </w:p>
        </w:tc>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Interface en français et anglais</w:t>
            </w:r>
          </w:p>
        </w:tc>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xml:space="preserve">✅ </w:t>
            </w:r>
            <w:r>
              <w:rPr>
                <w:rFonts w:eastAsia="ＭＳ 明朝" w:cs="" w:ascii="Calibri" w:hAnsi="Calibri"/>
                <w:b w:val="false"/>
                <w:i w:val="false"/>
                <w:kern w:val="0"/>
                <w:sz w:val="20"/>
                <w:szCs w:val="22"/>
                <w:lang w:val="en-US" w:eastAsia="en-US" w:bidi="ar-SA"/>
              </w:rPr>
              <w:t>Opérationnel</w:t>
            </w:r>
          </w:p>
        </w:tc>
      </w:tr>
      <w:tr>
        <w:trPr/>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Marketplace</w:t>
            </w:r>
          </w:p>
        </w:tc>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Bibliothèque d'agents &amp; templates</w:t>
            </w:r>
          </w:p>
        </w:tc>
        <w:tc>
          <w:tcPr>
            <w:tcW w:w="302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xml:space="preserve">🔧 </w:t>
            </w:r>
            <w:r>
              <w:rPr>
                <w:rFonts w:eastAsia="ＭＳ 明朝" w:cs="" w:ascii="Calibri" w:hAnsi="Calibri"/>
                <w:b w:val="false"/>
                <w:i w:val="false"/>
                <w:kern w:val="0"/>
                <w:sz w:val="20"/>
                <w:szCs w:val="22"/>
                <w:lang w:val="en-US" w:eastAsia="en-US" w:bidi="ar-SA"/>
              </w:rPr>
              <w:t>En cours</w:t>
            </w:r>
          </w:p>
        </w:tc>
      </w:tr>
      <w:tr>
        <w:trPr/>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SSO / SAML</w:t>
            </w:r>
          </w:p>
        </w:tc>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Authentification entreprise</w:t>
            </w:r>
          </w:p>
        </w:tc>
        <w:tc>
          <w:tcPr>
            <w:tcW w:w="302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xml:space="preserve">📅 </w:t>
            </w:r>
            <w:r>
              <w:rPr>
                <w:rFonts w:eastAsia="ＭＳ 明朝" w:cs="" w:ascii="Calibri" w:hAnsi="Calibri"/>
                <w:b w:val="false"/>
                <w:i w:val="false"/>
                <w:kern w:val="0"/>
                <w:sz w:val="20"/>
                <w:szCs w:val="22"/>
                <w:lang w:val="en-US" w:eastAsia="en-US" w:bidi="ar-SA"/>
              </w:rPr>
              <w:t>Q3 2025</w:t>
            </w:r>
          </w:p>
        </w:tc>
      </w:tr>
    </w:tbl>
    <w:p>
      <w:pPr>
        <w:pStyle w:val="Normal"/>
        <w:spacing w:before="0" w:after="120"/>
        <w:rPr/>
      </w:pPr>
      <w:r>
        <w:rPr/>
      </w:r>
    </w:p>
    <w:p>
      <w:pPr>
        <w:pStyle w:val="Normal"/>
        <w:spacing w:before="240" w:after="60"/>
        <w:rPr/>
      </w:pPr>
      <w:r>
        <w:rPr>
          <w:rFonts w:ascii="Calibri" w:hAnsi="Calibri"/>
          <w:b/>
          <w:i w:val="false"/>
          <w:color w:val="2E74B5"/>
          <w:sz w:val="28"/>
        </w:rPr>
        <w:t>5.2 Roadmap produit — horizon 3 ans (budget minimal)</w:t>
      </w:r>
    </w:p>
    <w:p>
      <w:pPr>
        <w:pStyle w:val="Normal"/>
        <w:spacing w:before="0" w:after="120"/>
        <w:rPr/>
      </w:pPr>
      <w:r>
        <w:rPr>
          <w:rFonts w:ascii="Calibri" w:hAnsi="Calibri"/>
          <w:b w:val="false"/>
          <w:i w:val="false"/>
          <w:sz w:val="22"/>
        </w:rPr>
        <w:t xml:space="preserve">Les développements sont priorisés selon le principe : </w:t>
      </w:r>
      <w:r>
        <w:rPr>
          <w:rFonts w:ascii="Calibri" w:hAnsi="Calibri"/>
          <w:b/>
          <w:i w:val="false"/>
          <w:sz w:val="22"/>
        </w:rPr>
        <w:t>fonctionnalité qui débloque un client payant &gt; tout le reste</w:t>
      </w:r>
      <w:r>
        <w:rPr>
          <w:rFonts w:ascii="Calibri" w:hAnsi="Calibri"/>
          <w:b w:val="false"/>
          <w:i w:val="false"/>
          <w:sz w:val="22"/>
        </w:rPr>
        <w:t>.</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Période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Développement</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Condition de lancement</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Effort</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Q2 2025</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Marketplace bêta (20 templates internes)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Produit différenciant pour acquisition</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semaines</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Q3 2025</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Planification temporelle (cron workflows)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Demandé par 3+ clients Pro</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semaine</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Q3 2025</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Notifications email &amp; webhook sortant</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Bloquant pour Business</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semaine</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Q4 2025</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SSO SAML / OIDC</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Débloque contrats Enterprise</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semaines</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Q4 2025</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Audit logs RGPD &amp; export</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Exigé par clients finance/santé</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semaine</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Q1 2026</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SDK client public (npm/pip)</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Adoption développeurs</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semaines</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Q2 2026</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Connecteurs CRM (HubSpot, Pipedrive)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Vertical commercial demandé</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semaines</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Q3 2026</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Mémoire long terme agents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Rétention &amp; différenciation</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semaines</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Q4 2026</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Application mobile (PWA d'abord)</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Expansion usage</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semaines</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2027</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IA multi-modale, fine-tuning</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Différenciation long terme</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Variable</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E67E22"/>
              <w:left w:val="single" w:sz="4" w:space="0" w:color="E67E22"/>
              <w:bottom w:val="single" w:sz="4" w:space="0" w:color="E67E22"/>
              <w:right w:val="single" w:sz="4" w:space="0" w:color="E67E22"/>
            </w:tcBorders>
            <w:shd w:color="auto" w:fill="FEF9E7"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Règle d'or bootstrap : ne développer une fonctionnalité que si au moins 3 clients potentiels identifiés la demandent explicitement. Pas de développement spéculatif.</w:t>
            </w:r>
          </w:p>
        </w:tc>
      </w:tr>
    </w:tbl>
    <w:p>
      <w:pPr>
        <w:pStyle w:val="Normal"/>
        <w:spacing w:before="0" w:after="80"/>
        <w:rPr/>
      </w:pPr>
      <w:r>
        <w:rPr/>
      </w:r>
    </w:p>
    <w:p>
      <w:pPr>
        <w:pStyle w:val="Normal"/>
        <w:rPr/>
      </w:pPr>
      <w:r>
        <w:rPr/>
      </w:r>
      <w:r>
        <w:br w:type="page"/>
      </w:r>
    </w:p>
    <w:p>
      <w:pPr>
        <w:pStyle w:val="Normal"/>
        <w:spacing w:before="360" w:after="80"/>
        <w:rPr/>
      </w:pPr>
      <w:r>
        <w:rPr>
          <w:rFonts w:ascii="Calibri" w:hAnsi="Calibri"/>
          <w:b/>
          <w:i w:val="false"/>
          <w:color w:val="1F497D"/>
          <w:sz w:val="38"/>
        </w:rPr>
        <w:t>6. Analyse de marché</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6.1 Marché adressable initial (focus France)</w:t>
      </w:r>
    </w:p>
    <w:p>
      <w:pPr>
        <w:pStyle w:val="Normal"/>
        <w:spacing w:before="0" w:after="120"/>
        <w:rPr/>
      </w:pPr>
      <w:r>
        <w:rPr>
          <w:rFonts w:ascii="Calibri" w:hAnsi="Calibri"/>
          <w:b w:val="false"/>
          <w:i w:val="false"/>
          <w:sz w:val="22"/>
        </w:rPr>
        <w:t>Avec un budget minimal, on cible d'abord le marché français, puis on s'étend.</w:t>
      </w:r>
    </w:p>
    <w:tbl>
      <w:tblPr>
        <w:tblStyle w:val="TableGrid"/>
        <w:tblW w:w="9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813"/>
        <w:gridCol w:w="1813"/>
        <w:gridCol w:w="1813"/>
        <w:gridCol w:w="1813"/>
      </w:tblGrid>
      <w:tr>
        <w:trPr/>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Segment</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Nb entreprises France</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 addressable réaliste</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Clients potentiels</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CA potentiel (Pro 49€)</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Startups tech (1–50 ETP)</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~18 000</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900</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529 200 €/an</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PME services (50–250 ETP)</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~12 000</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360</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211 680 €/an</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Agences marketing / conseil</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~8 000</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320</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188 160 €/an</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Cabinets juridiques &amp; RH</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~5 000</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100</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58 800 €/an</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F497D"/>
                <w:kern w:val="0"/>
                <w:sz w:val="20"/>
                <w:szCs w:val="22"/>
                <w:lang w:val="en-US" w:eastAsia="en-US" w:bidi="ar-SA"/>
              </w:rPr>
              <w:t>SAM France total</w:t>
            </w:r>
          </w:p>
        </w:tc>
        <w:tc>
          <w:tcPr>
            <w:tcW w:w="1813"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13"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1 680 clients potentiels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987 840 €/an</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E74B5"/>
              <w:left w:val="single" w:sz="4" w:space="0" w:color="2E74B5"/>
              <w:bottom w:val="single" w:sz="4" w:space="0" w:color="2E74B5"/>
              <w:right w:val="single" w:sz="4" w:space="0" w:color="2E74B5"/>
            </w:tcBorders>
            <w:shd w:color="auto" w:fill="EBF3FB"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Capturer 0,5 % de ce SAM France = 8 clients = 4 700 €/mois de MRR. Capturer 1,5 % = 25 clients = 14 000 €/mois. L'objectif an 3 (260 clients) représente 15,5 % du SAM — tout à fait atteignable.</w:t>
            </w:r>
          </w:p>
        </w:tc>
      </w:tr>
    </w:tbl>
    <w:p>
      <w:pPr>
        <w:pStyle w:val="Normal"/>
        <w:spacing w:before="0" w:after="80"/>
        <w:rPr/>
      </w:pPr>
      <w:r>
        <w:rPr/>
      </w:r>
    </w:p>
    <w:p>
      <w:pPr>
        <w:pStyle w:val="Normal"/>
        <w:spacing w:before="240" w:after="60"/>
        <w:rPr/>
      </w:pPr>
      <w:r>
        <w:rPr>
          <w:rFonts w:ascii="Calibri" w:hAnsi="Calibri"/>
          <w:b/>
          <w:i w:val="false"/>
          <w:color w:val="2E74B5"/>
          <w:sz w:val="28"/>
        </w:rPr>
        <w:t>6.2 Tendances favorables</w:t>
      </w:r>
    </w:p>
    <w:p>
      <w:pPr>
        <w:pStyle w:val="ListBullet"/>
        <w:numPr>
          <w:ilvl w:val="0"/>
          <w:numId w:val="1"/>
        </w:numPr>
        <w:spacing w:before="0" w:after="60"/>
        <w:ind w:left="432" w:hanging="360"/>
        <w:contextualSpacing/>
        <w:rPr/>
      </w:pPr>
      <w:r>
        <w:rPr>
          <w:rFonts w:ascii="Calibri" w:hAnsi="Calibri"/>
          <w:b/>
          <w:i w:val="false"/>
          <w:sz w:val="22"/>
        </w:rPr>
        <w:t>Explosion du marché IA B2B</w:t>
      </w:r>
      <w:r>
        <w:rPr>
          <w:rFonts w:ascii="Calibri" w:hAnsi="Calibri"/>
          <w:b w:val="false"/>
          <w:i w:val="false"/>
          <w:sz w:val="22"/>
        </w:rPr>
        <w:t xml:space="preserve"> : +34 %/an — chaque mois, de nouveaux clients cherchent des solutions</w:t>
      </w:r>
    </w:p>
    <w:p>
      <w:pPr>
        <w:pStyle w:val="ListBullet"/>
        <w:numPr>
          <w:ilvl w:val="0"/>
          <w:numId w:val="1"/>
        </w:numPr>
        <w:spacing w:before="0" w:after="60"/>
        <w:ind w:left="432" w:hanging="360"/>
        <w:contextualSpacing/>
        <w:rPr/>
      </w:pPr>
      <w:r>
        <w:rPr>
          <w:rFonts w:ascii="Calibri" w:hAnsi="Calibri"/>
          <w:b/>
          <w:i w:val="false"/>
          <w:sz w:val="22"/>
        </w:rPr>
        <w:t>Insatisfaction Zapier/Make</w:t>
      </w:r>
      <w:r>
        <w:rPr>
          <w:rFonts w:ascii="Calibri" w:hAnsi="Calibri"/>
          <w:b w:val="false"/>
          <w:i w:val="false"/>
          <w:sz w:val="22"/>
        </w:rPr>
        <w:t xml:space="preserve"> : pricing opaque à la tâche, pas de multi-LLM, pas d'on-premise</w:t>
      </w:r>
    </w:p>
    <w:p>
      <w:pPr>
        <w:pStyle w:val="ListBullet"/>
        <w:numPr>
          <w:ilvl w:val="0"/>
          <w:numId w:val="1"/>
        </w:numPr>
        <w:spacing w:before="0" w:after="60"/>
        <w:ind w:left="432" w:hanging="360"/>
        <w:contextualSpacing/>
        <w:rPr/>
      </w:pPr>
      <w:r>
        <w:rPr>
          <w:rFonts w:ascii="Calibri" w:hAnsi="Calibri"/>
          <w:b/>
          <w:i w:val="false"/>
          <w:sz w:val="22"/>
        </w:rPr>
        <w:t>EU AI Act</w:t>
      </w:r>
      <w:r>
        <w:rPr>
          <w:rFonts w:ascii="Calibri" w:hAnsi="Calibri"/>
          <w:b w:val="false"/>
          <w:i w:val="false"/>
          <w:sz w:val="22"/>
        </w:rPr>
        <w:t xml:space="preserve"> : crée une demande pour des outils auditables et hébergés en UE</w:t>
      </w:r>
    </w:p>
    <w:p>
      <w:pPr>
        <w:pStyle w:val="ListBullet"/>
        <w:numPr>
          <w:ilvl w:val="0"/>
          <w:numId w:val="1"/>
        </w:numPr>
        <w:spacing w:before="0" w:after="60"/>
        <w:ind w:left="432" w:hanging="360"/>
        <w:contextualSpacing/>
        <w:rPr/>
      </w:pPr>
      <w:r>
        <w:rPr>
          <w:rFonts w:ascii="Calibri" w:hAnsi="Calibri"/>
          <w:b/>
          <w:i w:val="false"/>
          <w:sz w:val="22"/>
        </w:rPr>
        <w:t>Pénurie de développeurs IA</w:t>
      </w:r>
      <w:r>
        <w:rPr>
          <w:rFonts w:ascii="Calibri" w:hAnsi="Calibri"/>
          <w:b w:val="false"/>
          <w:i w:val="false"/>
          <w:sz w:val="22"/>
        </w:rPr>
        <w:t xml:space="preserve"> : les équipes veulent des outils no-code pour rester autonomes</w:t>
      </w:r>
    </w:p>
    <w:p>
      <w:pPr>
        <w:pStyle w:val="ListBullet"/>
        <w:numPr>
          <w:ilvl w:val="0"/>
          <w:numId w:val="1"/>
        </w:numPr>
        <w:spacing w:before="0" w:after="60"/>
        <w:ind w:left="432" w:hanging="360"/>
        <w:contextualSpacing/>
        <w:rPr/>
      </w:pPr>
      <w:r>
        <w:rPr>
          <w:rFonts w:ascii="Calibri" w:hAnsi="Calibri"/>
          <w:b/>
          <w:i w:val="false"/>
          <w:sz w:val="22"/>
        </w:rPr>
        <w:t>Ollama / modèles open-source</w:t>
      </w:r>
      <w:r>
        <w:rPr>
          <w:rFonts w:ascii="Calibri" w:hAnsi="Calibri"/>
          <w:b w:val="false"/>
          <w:i w:val="false"/>
          <w:sz w:val="22"/>
        </w:rPr>
        <w:t xml:space="preserve"> : les PME veulent l'IA sans envoyer leurs données à OpenAI</w:t>
      </w:r>
    </w:p>
    <w:p>
      <w:pPr>
        <w:pStyle w:val="Normal"/>
        <w:spacing w:before="240" w:after="60"/>
        <w:rPr/>
      </w:pPr>
      <w:r>
        <w:rPr>
          <w:rFonts w:ascii="Calibri" w:hAnsi="Calibri"/>
          <w:b/>
          <w:i w:val="false"/>
          <w:color w:val="2E74B5"/>
          <w:sz w:val="28"/>
        </w:rPr>
        <w:t>6.3 Clients cibles prioritaires — focus budget limité</w:t>
      </w:r>
    </w:p>
    <w:p>
      <w:pPr>
        <w:pStyle w:val="Normal"/>
        <w:spacing w:before="0" w:after="120"/>
        <w:rPr/>
      </w:pPr>
      <w:r>
        <w:rPr>
          <w:rFonts w:ascii="Calibri" w:hAnsi="Calibri"/>
          <w:b w:val="false"/>
          <w:i w:val="false"/>
          <w:sz w:val="22"/>
        </w:rPr>
        <w:t xml:space="preserve">Avec un budget marketing quasi nul, on cible les clients qui ont un </w:t>
      </w:r>
      <w:r>
        <w:rPr>
          <w:rFonts w:ascii="Calibri" w:hAnsi="Calibri"/>
          <w:b/>
          <w:i w:val="false"/>
          <w:sz w:val="22"/>
        </w:rPr>
        <w:t>cycle de décision court</w:t>
      </w:r>
      <w:r>
        <w:rPr>
          <w:rFonts w:ascii="Calibri" w:hAnsi="Calibri"/>
          <w:b w:val="false"/>
          <w:i w:val="false"/>
          <w:sz w:val="22"/>
        </w:rPr>
        <w:t xml:space="preserve"> et un </w:t>
      </w:r>
      <w:r>
        <w:rPr>
          <w:rFonts w:ascii="Calibri" w:hAnsi="Calibri"/>
          <w:b/>
          <w:i w:val="false"/>
          <w:sz w:val="22"/>
        </w:rPr>
        <w:t>fort besoin immédiat</w:t>
      </w:r>
      <w:r>
        <w:rPr>
          <w:rFonts w:ascii="Calibri" w:hAnsi="Calibri"/>
          <w:b w:val="false"/>
          <w:i w:val="false"/>
          <w:sz w:val="22"/>
        </w:rPr>
        <w:t xml:space="preserve"> :</w:t>
      </w:r>
    </w:p>
    <w:tbl>
      <w:tblPr>
        <w:tblStyle w:val="TableGrid"/>
        <w:tblW w:w="9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813"/>
        <w:gridCol w:w="1813"/>
        <w:gridCol w:w="1813"/>
        <w:gridCol w:w="1813"/>
      </w:tblGrid>
      <w:tr>
        <w:trPr/>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Profil client</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Douleur</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Ticket moyen</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Cycle décision</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Canal d'acquisition</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Freelance / Consultant IA</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Outils de démo pour clients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Pro 49 €/mois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24h–1 sem</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LinkedIn, communautés</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Startup SaaS en hypercroissance</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Automatiser le support &amp; ops</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Pro/Business</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semaine</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Product Hunt, Slack</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Agence web/marketing</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Produire du contenu + rapports auto</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Pro 49 €/mois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semaines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LinkedIn, bouche-à-oreille</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PME B2B (industrie, services)</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Reporting auto, traitement docs</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Business 199 €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3–4 semaines</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Événements, réseau perso</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Cabinet de conseil</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POC IA pour leurs clients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Services 2–5k€</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2–6 semaines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Réseau fondateurs</w:t>
            </w:r>
          </w:p>
        </w:tc>
      </w:tr>
    </w:tbl>
    <w:p>
      <w:pPr>
        <w:pStyle w:val="Normal"/>
        <w:spacing w:before="0" w:after="120"/>
        <w:rPr/>
      </w:pPr>
      <w:r>
        <w:rPr/>
      </w:r>
    </w:p>
    <w:p>
      <w:pPr>
        <w:pStyle w:val="Normal"/>
        <w:rPr/>
      </w:pPr>
      <w:r>
        <w:rPr/>
      </w:r>
      <w:r>
        <w:br w:type="page"/>
      </w:r>
    </w:p>
    <w:p>
      <w:pPr>
        <w:pStyle w:val="Normal"/>
        <w:spacing w:before="360" w:after="80"/>
        <w:rPr/>
      </w:pPr>
      <w:r>
        <w:rPr>
          <w:rFonts w:ascii="Calibri" w:hAnsi="Calibri"/>
          <w:b/>
          <w:i w:val="false"/>
          <w:color w:val="1F497D"/>
          <w:sz w:val="38"/>
        </w:rPr>
        <w:t>7. Analyse concurrentielle &amp; SWOT</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7.1 Positionnement vs concurrents</w:t>
      </w:r>
    </w:p>
    <w:tbl>
      <w:tblPr>
        <w:tblStyle w:val="TableGrid"/>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1"/>
        <w:gridCol w:w="1510"/>
        <w:gridCol w:w="1512"/>
        <w:gridCol w:w="1511"/>
        <w:gridCol w:w="1510"/>
        <w:gridCol w:w="1511"/>
      </w:tblGrid>
      <w:tr>
        <w:trPr/>
        <w:tc>
          <w:tcPr>
            <w:tcW w:w="1511"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Critère</w:t>
            </w:r>
          </w:p>
        </w:tc>
        <w:tc>
          <w:tcPr>
            <w:tcW w:w="1510"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Notre plateforme</w:t>
            </w:r>
          </w:p>
        </w:tc>
        <w:tc>
          <w:tcPr>
            <w:tcW w:w="1512"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n8n Cloud</w:t>
            </w:r>
          </w:p>
        </w:tc>
        <w:tc>
          <w:tcPr>
            <w:tcW w:w="1511"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Zapier</w:t>
            </w:r>
          </w:p>
        </w:tc>
        <w:tc>
          <w:tcPr>
            <w:tcW w:w="1510"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Make</w:t>
            </w:r>
          </w:p>
        </w:tc>
        <w:tc>
          <w:tcPr>
            <w:tcW w:w="1511"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Flowise</w:t>
            </w:r>
          </w:p>
        </w:tc>
      </w:tr>
      <w:tr>
        <w:trPr/>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Multi-LLM natif (5+)</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 xml:space="preserve">✅ </w:t>
            </w:r>
            <w:r>
              <w:rPr>
                <w:rFonts w:eastAsia="ＭＳ 明朝" w:cs="" w:ascii="Calibri" w:hAnsi="Calibri"/>
                <w:b/>
                <w:i w:val="false"/>
                <w:color w:val="1D6A3E"/>
                <w:kern w:val="0"/>
                <w:sz w:val="20"/>
                <w:szCs w:val="22"/>
                <w:lang w:val="en-US" w:eastAsia="en-US" w:bidi="ar-SA"/>
              </w:rPr>
              <w:t>Oui</w:t>
            </w:r>
          </w:p>
        </w:tc>
        <w:tc>
          <w:tcPr>
            <w:tcW w:w="151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0392B"/>
                <w:kern w:val="0"/>
                <w:sz w:val="20"/>
                <w:szCs w:val="22"/>
                <w:lang w:val="en-US" w:eastAsia="en-US" w:bidi="ar-SA"/>
              </w:rPr>
              <w:t>❌</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0392B"/>
                <w:kern w:val="0"/>
                <w:sz w:val="20"/>
                <w:szCs w:val="22"/>
                <w:lang w:val="en-US" w:eastAsia="en-US" w:bidi="ar-SA"/>
              </w:rPr>
              <w:t>❌</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0392B"/>
                <w:kern w:val="0"/>
                <w:sz w:val="20"/>
                <w:szCs w:val="22"/>
                <w:lang w:val="en-US" w:eastAsia="en-US" w:bidi="ar-SA"/>
              </w:rPr>
              <w:t>❌</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 xml:space="preserve">✅ </w:t>
            </w:r>
            <w:r>
              <w:rPr>
                <w:rFonts w:eastAsia="ＭＳ 明朝" w:cs="" w:ascii="Calibri" w:hAnsi="Calibri"/>
                <w:b/>
                <w:i w:val="false"/>
                <w:color w:val="1D6A3E"/>
                <w:kern w:val="0"/>
                <w:sz w:val="20"/>
                <w:szCs w:val="22"/>
                <w:lang w:val="en-US" w:eastAsia="en-US" w:bidi="ar-SA"/>
              </w:rPr>
              <w:t>Oui</w:t>
            </w:r>
          </w:p>
        </w:tc>
      </w:tr>
      <w:tr>
        <w:trPr/>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On-premise / air-gap</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 xml:space="preserve">✅ </w:t>
            </w:r>
            <w:r>
              <w:rPr>
                <w:rFonts w:eastAsia="ＭＳ 明朝" w:cs="" w:ascii="Calibri" w:hAnsi="Calibri"/>
                <w:b/>
                <w:i w:val="false"/>
                <w:color w:val="1D6A3E"/>
                <w:kern w:val="0"/>
                <w:sz w:val="20"/>
                <w:szCs w:val="22"/>
                <w:lang w:val="en-US" w:eastAsia="en-US" w:bidi="ar-SA"/>
              </w:rPr>
              <w:t>Natif</w:t>
            </w:r>
          </w:p>
        </w:tc>
        <w:tc>
          <w:tcPr>
            <w:tcW w:w="151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1D6A3E"/>
                <w:kern w:val="0"/>
                <w:sz w:val="20"/>
                <w:szCs w:val="22"/>
                <w:lang w:val="en-US" w:eastAsia="en-US" w:bidi="ar-SA"/>
              </w:rPr>
              <w:t xml:space="preserve">✅ </w:t>
            </w:r>
            <w:r>
              <w:rPr>
                <w:rFonts w:eastAsia="ＭＳ 明朝" w:cs="" w:ascii="Calibri" w:hAnsi="Calibri"/>
                <w:b w:val="false"/>
                <w:i w:val="false"/>
                <w:color w:val="1D6A3E"/>
                <w:kern w:val="0"/>
                <w:sz w:val="20"/>
                <w:szCs w:val="22"/>
                <w:lang w:val="en-US" w:eastAsia="en-US" w:bidi="ar-SA"/>
              </w:rPr>
              <w:t>Self-host</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0392B"/>
                <w:kern w:val="0"/>
                <w:sz w:val="20"/>
                <w:szCs w:val="22"/>
                <w:lang w:val="en-US" w:eastAsia="en-US" w:bidi="ar-SA"/>
              </w:rPr>
              <w:t>❌</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0392B"/>
                <w:kern w:val="0"/>
                <w:sz w:val="20"/>
                <w:szCs w:val="22"/>
                <w:lang w:val="en-US" w:eastAsia="en-US" w:bidi="ar-SA"/>
              </w:rPr>
              <w:t>❌</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1D6A3E"/>
                <w:kern w:val="0"/>
                <w:sz w:val="20"/>
                <w:szCs w:val="22"/>
                <w:lang w:val="en-US" w:eastAsia="en-US" w:bidi="ar-SA"/>
              </w:rPr>
              <w:t xml:space="preserve">✅ </w:t>
            </w:r>
            <w:r>
              <w:rPr>
                <w:rFonts w:eastAsia="ＭＳ 明朝" w:cs="" w:ascii="Calibri" w:hAnsi="Calibri"/>
                <w:b w:val="false"/>
                <w:i w:val="false"/>
                <w:color w:val="1D6A3E"/>
                <w:kern w:val="0"/>
                <w:sz w:val="20"/>
                <w:szCs w:val="22"/>
                <w:lang w:val="en-US" w:eastAsia="en-US" w:bidi="ar-SA"/>
              </w:rPr>
              <w:t>Self-host</w:t>
            </w:r>
          </w:p>
        </w:tc>
      </w:tr>
      <w:tr>
        <w:trPr/>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Sandbox sécurisé</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 xml:space="preserve">✅ </w:t>
            </w:r>
            <w:r>
              <w:rPr>
                <w:rFonts w:eastAsia="ＭＳ 明朝" w:cs="" w:ascii="Calibri" w:hAnsi="Calibri"/>
                <w:b/>
                <w:i w:val="false"/>
                <w:color w:val="1D6A3E"/>
                <w:kern w:val="0"/>
                <w:sz w:val="20"/>
                <w:szCs w:val="22"/>
                <w:lang w:val="en-US" w:eastAsia="en-US" w:bidi="ar-SA"/>
              </w:rPr>
              <w:t>Rust</w:t>
            </w:r>
          </w:p>
        </w:tc>
        <w:tc>
          <w:tcPr>
            <w:tcW w:w="151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0392B"/>
                <w:kern w:val="0"/>
                <w:sz w:val="20"/>
                <w:szCs w:val="22"/>
                <w:lang w:val="en-US" w:eastAsia="en-US" w:bidi="ar-SA"/>
              </w:rPr>
              <w:t>❌</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404040"/>
                <w:kern w:val="0"/>
                <w:sz w:val="20"/>
                <w:szCs w:val="22"/>
                <w:lang w:val="en-US" w:eastAsia="en-US" w:bidi="ar-SA"/>
              </w:rPr>
              <w:t>N/A</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404040"/>
                <w:kern w:val="0"/>
                <w:sz w:val="20"/>
                <w:szCs w:val="22"/>
                <w:lang w:val="en-US" w:eastAsia="en-US" w:bidi="ar-SA"/>
              </w:rPr>
              <w:t>N/A</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0392B"/>
                <w:kern w:val="0"/>
                <w:sz w:val="20"/>
                <w:szCs w:val="22"/>
                <w:lang w:val="en-US" w:eastAsia="en-US" w:bidi="ar-SA"/>
              </w:rPr>
              <w:t>❌</w:t>
            </w:r>
          </w:p>
        </w:tc>
      </w:tr>
      <w:tr>
        <w:trPr/>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Interface visuelle DAG</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1D6A3E"/>
                <w:kern w:val="0"/>
                <w:sz w:val="20"/>
                <w:szCs w:val="22"/>
                <w:lang w:val="en-US" w:eastAsia="en-US" w:bidi="ar-SA"/>
              </w:rPr>
              <w:t>✅</w:t>
            </w:r>
          </w:p>
        </w:tc>
        <w:tc>
          <w:tcPr>
            <w:tcW w:w="151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1D6A3E"/>
                <w:kern w:val="0"/>
                <w:sz w:val="20"/>
                <w:szCs w:val="22"/>
                <w:lang w:val="en-US" w:eastAsia="en-US" w:bidi="ar-SA"/>
              </w:rPr>
              <w:t>✅</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55A11"/>
                <w:kern w:val="0"/>
                <w:sz w:val="20"/>
                <w:szCs w:val="22"/>
                <w:lang w:val="en-US" w:eastAsia="en-US" w:bidi="ar-SA"/>
              </w:rPr>
              <w:t>Limité</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1D6A3E"/>
                <w:kern w:val="0"/>
                <w:sz w:val="20"/>
                <w:szCs w:val="22"/>
                <w:lang w:val="en-US" w:eastAsia="en-US" w:bidi="ar-SA"/>
              </w:rPr>
              <w:t>✅</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1D6A3E"/>
                <w:kern w:val="0"/>
                <w:sz w:val="20"/>
                <w:szCs w:val="22"/>
                <w:lang w:val="en-US" w:eastAsia="en-US" w:bidi="ar-SA"/>
              </w:rPr>
              <w:t>✅</w:t>
            </w:r>
          </w:p>
        </w:tc>
      </w:tr>
      <w:tr>
        <w:trPr/>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Prix plan entrée</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49 €/mois</w:t>
            </w:r>
          </w:p>
        </w:tc>
        <w:tc>
          <w:tcPr>
            <w:tcW w:w="151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20 €/mois</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69 $/mois</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9 €/1000 ops</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Gratuit</w:t>
            </w:r>
          </w:p>
        </w:tc>
      </w:tr>
      <w:tr>
        <w:trPr/>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Cible PME / enterprise</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 xml:space="preserve">✅ </w:t>
            </w:r>
            <w:r>
              <w:rPr>
                <w:rFonts w:eastAsia="ＭＳ 明朝" w:cs="" w:ascii="Calibri" w:hAnsi="Calibri"/>
                <w:b/>
                <w:i w:val="false"/>
                <w:color w:val="1D6A3E"/>
                <w:kern w:val="0"/>
                <w:sz w:val="20"/>
                <w:szCs w:val="22"/>
                <w:lang w:val="en-US" w:eastAsia="en-US" w:bidi="ar-SA"/>
              </w:rPr>
              <w:t>Fort</w:t>
            </w:r>
          </w:p>
        </w:tc>
        <w:tc>
          <w:tcPr>
            <w:tcW w:w="151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1D6A3E"/>
                <w:kern w:val="0"/>
                <w:sz w:val="20"/>
                <w:szCs w:val="22"/>
                <w:lang w:val="en-US" w:eastAsia="en-US" w:bidi="ar-SA"/>
              </w:rPr>
              <w:t>✅</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55A11"/>
                <w:kern w:val="0"/>
                <w:sz w:val="20"/>
                <w:szCs w:val="22"/>
                <w:lang w:val="en-US" w:eastAsia="en-US" w:bidi="ar-SA"/>
              </w:rPr>
              <w:t>Partiel</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55A11"/>
                <w:kern w:val="0"/>
                <w:sz w:val="20"/>
                <w:szCs w:val="22"/>
                <w:lang w:val="en-US" w:eastAsia="en-US" w:bidi="ar-SA"/>
              </w:rPr>
              <w:t>Partiel</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0392B"/>
                <w:kern w:val="0"/>
                <w:sz w:val="20"/>
                <w:szCs w:val="22"/>
                <w:lang w:val="en-US" w:eastAsia="en-US" w:bidi="ar-SA"/>
              </w:rPr>
              <w:t xml:space="preserve">❌ </w:t>
            </w:r>
            <w:r>
              <w:rPr>
                <w:rFonts w:eastAsia="ＭＳ 明朝" w:cs="" w:ascii="Calibri" w:hAnsi="Calibri"/>
                <w:b w:val="false"/>
                <w:i w:val="false"/>
                <w:color w:val="C0392B"/>
                <w:kern w:val="0"/>
                <w:sz w:val="20"/>
                <w:szCs w:val="22"/>
                <w:lang w:val="en-US" w:eastAsia="en-US" w:bidi="ar-SA"/>
              </w:rPr>
              <w:t>Dev only</w:t>
            </w:r>
          </w:p>
        </w:tc>
      </w:tr>
      <w:tr>
        <w:trPr/>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Support français</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c>
          <w:tcPr>
            <w:tcW w:w="151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r>
    </w:tbl>
    <w:p>
      <w:pPr>
        <w:pStyle w:val="Normal"/>
        <w:spacing w:before="0" w:after="120"/>
        <w:rPr/>
      </w:pPr>
      <w:r>
        <w:rPr/>
      </w:r>
    </w:p>
    <w:p>
      <w:pPr>
        <w:pStyle w:val="Normal"/>
        <w:spacing w:before="240" w:after="60"/>
        <w:rPr/>
      </w:pPr>
      <w:r>
        <w:rPr>
          <w:rFonts w:ascii="Calibri" w:hAnsi="Calibri"/>
          <w:b/>
          <w:i w:val="false"/>
          <w:color w:val="2E74B5"/>
          <w:sz w:val="28"/>
        </w:rPr>
        <w:t>7.2 SWOT</w:t>
      </w:r>
    </w:p>
    <w:tbl>
      <w:tblPr>
        <w:tblStyle w:val="TableGrid"/>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3"/>
        <w:gridCol w:w="4532"/>
      </w:tblGrid>
      <w:tr>
        <w:trPr/>
        <w:tc>
          <w:tcPr>
            <w:tcW w:w="4533" w:type="dxa"/>
            <w:tcBorders/>
            <w:shd w:color="auto" w:fill="1D6A3E" w:val="clear"/>
          </w:tcPr>
          <w:p>
            <w:pPr>
              <w:pStyle w:val="Normal"/>
              <w:widowControl/>
              <w:spacing w:lineRule="auto" w:line="240" w:before="80" w:after="0"/>
              <w:ind w:left="144" w:hanging="0"/>
              <w:jc w:val="left"/>
              <w:rPr>
                <w:rFonts w:eastAsia="ＭＳ 明朝" w:cs=""/>
                <w:kern w:val="0"/>
                <w:szCs w:val="22"/>
                <w:lang w:val="en-US" w:eastAsia="en-US" w:bidi="ar-SA"/>
              </w:rPr>
            </w:pPr>
            <w:r>
              <w:rPr>
                <w:rFonts w:eastAsia="ＭＳ 明朝" w:cs="" w:ascii="Calibri" w:hAnsi="Calibri"/>
                <w:b/>
                <w:i w:val="false"/>
                <w:color w:val="FFFFFF"/>
                <w:kern w:val="0"/>
                <w:sz w:val="22"/>
                <w:szCs w:val="22"/>
                <w:lang w:val="en-US" w:eastAsia="en-US" w:bidi="ar-SA"/>
              </w:rPr>
              <w:t xml:space="preserve">  ✅ </w:t>
            </w:r>
            <w:r>
              <w:rPr>
                <w:rFonts w:eastAsia="ＭＳ 明朝" w:cs="" w:ascii="Calibri" w:hAnsi="Calibri"/>
                <w:b/>
                <w:i w:val="false"/>
                <w:color w:val="FFFFFF"/>
                <w:kern w:val="0"/>
                <w:sz w:val="22"/>
                <w:szCs w:val="22"/>
                <w:lang w:val="en-US" w:eastAsia="en-US" w:bidi="ar-SA"/>
              </w:rPr>
              <w:t>FORCES</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Produit production-ready déjà développé</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Multi-LLM + on-premise = différenciation rare</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Sandbox Rust — sécurité non trouvable chez les concurrents</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Équipe technique complète &amp; autonome</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Interface française — avantage sur marché FR</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Pas de dette de développement</w:t>
            </w:r>
          </w:p>
          <w:p>
            <w:pPr>
              <w:pStyle w:val="Normal"/>
              <w:widowControl/>
              <w:spacing w:lineRule="auto" w:line="240" w:before="0" w:after="8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4532" w:type="dxa"/>
            <w:tcBorders/>
            <w:shd w:color="auto" w:fill="C0392B" w:val="clear"/>
          </w:tcPr>
          <w:p>
            <w:pPr>
              <w:pStyle w:val="Normal"/>
              <w:widowControl/>
              <w:spacing w:lineRule="auto" w:line="240" w:before="80" w:after="0"/>
              <w:ind w:left="144" w:hanging="0"/>
              <w:jc w:val="left"/>
              <w:rPr>
                <w:rFonts w:eastAsia="ＭＳ 明朝" w:cs=""/>
                <w:kern w:val="0"/>
                <w:szCs w:val="22"/>
                <w:lang w:val="en-US" w:eastAsia="en-US" w:bidi="ar-SA"/>
              </w:rPr>
            </w:pPr>
            <w:r>
              <w:rPr>
                <w:rFonts w:eastAsia="ＭＳ 明朝" w:cs="" w:ascii="Calibri" w:hAnsi="Calibri"/>
                <w:b/>
                <w:i w:val="false"/>
                <w:color w:val="FFFFFF"/>
                <w:kern w:val="0"/>
                <w:sz w:val="22"/>
                <w:szCs w:val="22"/>
                <w:lang w:val="en-US" w:eastAsia="en-US" w:bidi="ar-SA"/>
              </w:rPr>
              <w:t xml:space="preserve">  ⚠️ </w:t>
            </w:r>
            <w:r>
              <w:rPr>
                <w:rFonts w:eastAsia="ＭＳ 明朝" w:cs="" w:ascii="Calibri" w:hAnsi="Calibri"/>
                <w:b/>
                <w:i w:val="false"/>
                <w:color w:val="FFFFFF"/>
                <w:kern w:val="0"/>
                <w:sz w:val="22"/>
                <w:szCs w:val="22"/>
                <w:lang w:val="en-US" w:eastAsia="en-US" w:bidi="ar-SA"/>
              </w:rPr>
              <w:t>FAIBLESSES</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Notoriété zéro au lancement</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Pas de certifications (SOC2, ISO27001) an 1</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0 commercial dédié — fondateurs polyvalents</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Budget marketing très limité</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Marketplace vide — bootstrapping nécessaire</w:t>
            </w:r>
          </w:p>
          <w:p>
            <w:pPr>
              <w:pStyle w:val="Normal"/>
              <w:widowControl/>
              <w:spacing w:lineRule="auto" w:line="240" w:before="0" w:after="8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4533" w:type="dxa"/>
            <w:tcBorders/>
            <w:shd w:color="auto" w:fill="2E74B5" w:val="clear"/>
          </w:tcPr>
          <w:p>
            <w:pPr>
              <w:pStyle w:val="Normal"/>
              <w:widowControl/>
              <w:spacing w:lineRule="auto" w:line="240" w:before="80" w:after="0"/>
              <w:ind w:left="144" w:hanging="0"/>
              <w:jc w:val="left"/>
              <w:rPr>
                <w:rFonts w:eastAsia="ＭＳ 明朝" w:cs=""/>
                <w:kern w:val="0"/>
                <w:szCs w:val="22"/>
                <w:lang w:val="en-US" w:eastAsia="en-US" w:bidi="ar-SA"/>
              </w:rPr>
            </w:pPr>
            <w:r>
              <w:rPr>
                <w:rFonts w:eastAsia="ＭＳ 明朝" w:cs="" w:ascii="Calibri" w:hAnsi="Calibri"/>
                <w:b/>
                <w:i w:val="false"/>
                <w:color w:val="FFFFFF"/>
                <w:kern w:val="0"/>
                <w:sz w:val="22"/>
                <w:szCs w:val="22"/>
                <w:lang w:val="en-US" w:eastAsia="en-US" w:bidi="ar-SA"/>
              </w:rPr>
              <w:t xml:space="preserve">  🚀 </w:t>
            </w:r>
            <w:r>
              <w:rPr>
                <w:rFonts w:eastAsia="ＭＳ 明朝" w:cs="" w:ascii="Calibri" w:hAnsi="Calibri"/>
                <w:b/>
                <w:i w:val="false"/>
                <w:color w:val="FFFFFF"/>
                <w:kern w:val="0"/>
                <w:sz w:val="22"/>
                <w:szCs w:val="22"/>
                <w:lang w:val="en-US" w:eastAsia="en-US" w:bidi="ar-SA"/>
              </w:rPr>
              <w:t>OPPORTUNITÉS</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Marché IA B2B +34 %/an</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Insatisfaction clients Zapier/n8n (pricing, features)</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EU AI Act → besoin de plateformes EU auditables</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Ollama popularise l'IA on-premise</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Communautés IA très actives — acquisition organique</w:t>
            </w:r>
          </w:p>
          <w:p>
            <w:pPr>
              <w:pStyle w:val="Normal"/>
              <w:widowControl/>
              <w:spacing w:lineRule="auto" w:line="240" w:before="0" w:after="8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4532" w:type="dxa"/>
            <w:tcBorders/>
            <w:shd w:color="auto" w:fill="C55A11" w:val="clear"/>
          </w:tcPr>
          <w:p>
            <w:pPr>
              <w:pStyle w:val="Normal"/>
              <w:widowControl/>
              <w:spacing w:lineRule="auto" w:line="240" w:before="80" w:after="0"/>
              <w:ind w:left="144" w:hanging="0"/>
              <w:jc w:val="left"/>
              <w:rPr>
                <w:rFonts w:eastAsia="ＭＳ 明朝" w:cs=""/>
                <w:kern w:val="0"/>
                <w:szCs w:val="22"/>
                <w:lang w:val="en-US" w:eastAsia="en-US" w:bidi="ar-SA"/>
              </w:rPr>
            </w:pPr>
            <w:r>
              <w:rPr>
                <w:rFonts w:eastAsia="ＭＳ 明朝" w:cs="" w:ascii="Calibri" w:hAnsi="Calibri"/>
                <w:b/>
                <w:i w:val="false"/>
                <w:color w:val="FFFFFF"/>
                <w:kern w:val="0"/>
                <w:sz w:val="22"/>
                <w:szCs w:val="22"/>
                <w:lang w:val="en-US" w:eastAsia="en-US" w:bidi="ar-SA"/>
              </w:rPr>
              <w:t xml:space="preserve">  🔴 </w:t>
            </w:r>
            <w:r>
              <w:rPr>
                <w:rFonts w:eastAsia="ＭＳ 明朝" w:cs="" w:ascii="Calibri" w:hAnsi="Calibri"/>
                <w:b/>
                <w:i w:val="false"/>
                <w:color w:val="FFFFFF"/>
                <w:kern w:val="0"/>
                <w:sz w:val="22"/>
                <w:szCs w:val="22"/>
                <w:lang w:val="en-US" w:eastAsia="en-US" w:bidi="ar-SA"/>
              </w:rPr>
              <w:t>MENACES</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Trésorerie fragile en an 1 si services lents</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n8n lève des fonds et monte en gamme</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OpenAI/Microsoft lancent des outils similaires</w:t>
            </w:r>
          </w:p>
          <w:p>
            <w:pPr>
              <w:pStyle w:val="Normal"/>
              <w:widowControl/>
              <w:spacing w:lineRule="auto" w:line="240" w:before="0" w:after="40"/>
              <w:ind w:left="216" w:hanging="0"/>
              <w:jc w:val="left"/>
              <w:rPr>
                <w:rFonts w:eastAsia="ＭＳ 明朝" w:cs=""/>
                <w:kern w:val="0"/>
                <w:szCs w:val="22"/>
                <w:lang w:val="en-US" w:eastAsia="en-US" w:bidi="ar-SA"/>
              </w:rPr>
            </w:pPr>
            <w:r>
              <w:rPr>
                <w:rFonts w:eastAsia="ＭＳ 明朝" w:cs="" w:ascii="Calibri" w:hAnsi="Calibri"/>
                <w:b w:val="false"/>
                <w:i w:val="false"/>
                <w:color w:val="FFFFFF"/>
                <w:kern w:val="0"/>
                <w:sz w:val="18"/>
                <w:szCs w:val="22"/>
                <w:lang w:val="en-US" w:eastAsia="en-US" w:bidi="ar-SA"/>
              </w:rPr>
              <w:t xml:space="preserve">• </w:t>
            </w:r>
            <w:r>
              <w:rPr>
                <w:rFonts w:eastAsia="ＭＳ 明朝" w:cs="" w:ascii="Calibri" w:hAnsi="Calibri"/>
                <w:b w:val="false"/>
                <w:i w:val="false"/>
                <w:color w:val="FFFFFF"/>
                <w:kern w:val="0"/>
                <w:sz w:val="18"/>
                <w:szCs w:val="22"/>
                <w:lang w:val="en-US" w:eastAsia="en-US" w:bidi="ar-SA"/>
              </w:rPr>
              <w:t>Churn élevé si onboarding insuffisant</w:t>
            </w:r>
          </w:p>
          <w:p>
            <w:pPr>
              <w:pStyle w:val="Normal"/>
              <w:widowControl/>
              <w:spacing w:lineRule="auto" w:line="240" w:before="0" w:after="8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Normal"/>
        <w:spacing w:before="0" w:after="160"/>
        <w:rPr/>
      </w:pPr>
      <w:r>
        <w:rPr/>
      </w:r>
    </w:p>
    <w:p>
      <w:pPr>
        <w:pStyle w:val="Normal"/>
        <w:rPr/>
      </w:pPr>
      <w:r>
        <w:rPr/>
      </w:r>
      <w:r>
        <w:br w:type="page"/>
      </w:r>
    </w:p>
    <w:p>
      <w:pPr>
        <w:pStyle w:val="Normal"/>
        <w:spacing w:before="360" w:after="80"/>
        <w:rPr/>
      </w:pPr>
      <w:r>
        <w:rPr>
          <w:rFonts w:ascii="Calibri" w:hAnsi="Calibri"/>
          <w:b/>
          <w:i w:val="false"/>
          <w:color w:val="1F497D"/>
          <w:sz w:val="38"/>
        </w:rPr>
        <w:t>8. Stratégie commerciale &amp; marketing (budget minimal)</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8.1 Tarification</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Palier</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Prix</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Inclus</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Cible</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Free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0 €/mois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agents, 100 exec/mois, 1 user</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Test &amp; adoption</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Pro</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49 €/mois</w:t>
              <w:br/>
              <w:t>ou 39 €/mois annuel</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 agents, 5 000 exec, 3 users, tous les LLMs</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Freelances, startups</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Business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199 €/mois</w:t>
              <w:br/>
              <w:t>ou 159 €/mois annuel</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Agents illimités, 50 000 exec, 20 users, SSO, analytics</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PME, équipes</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Enterprise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Devis (min 500 €/mois)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Illimité, on-premise, SLA, support dédié</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ETI, secteurs réglementés</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Services ponctuels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800 – 4 000 € / mission</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Onboarding, workflow sur mesure, formation</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Tous segments</w:t>
            </w:r>
          </w:p>
        </w:tc>
      </w:tr>
    </w:tbl>
    <w:p>
      <w:pPr>
        <w:pStyle w:val="Normal"/>
        <w:spacing w:before="0" w:after="120"/>
        <w:rPr/>
      </w:pPr>
      <w:r>
        <w:rPr/>
      </w:r>
    </w:p>
    <w:p>
      <w:pPr>
        <w:pStyle w:val="Normal"/>
        <w:spacing w:before="240" w:after="60"/>
        <w:rPr/>
      </w:pPr>
      <w:r>
        <w:rPr>
          <w:rFonts w:ascii="Calibri" w:hAnsi="Calibri"/>
          <w:b/>
          <w:i w:val="false"/>
          <w:color w:val="2E74B5"/>
          <w:sz w:val="28"/>
        </w:rPr>
        <w:t>8.2 Budget marketing mensuel — réalité bootstrap</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Canal</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Budget mensuel</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Actions</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KPI attendu</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SEO &amp; blog</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articles/semaine rédigés par l'équipe</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300 visites organiques/mois d'ici M6</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LinkedIn organique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post/jour (Lead) + 3×/sem équipe</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500 abonnés page M6, leads entrants</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Discord / communautés IA</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Répondre aux questions, partager des ressources</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Réputation &amp; trafic référent</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Product Hunt</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launch préparé 4 semaines, viser Top 5</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300–800 signups en 48h</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Email (Loops ou Brevo free)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Newsletter bimensuelle, séquences onboarding</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Taux ouverture &gt; 40 %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YouTube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tutoriel / 2 semaines (10 min)</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200 abonnés, trafic SEO vidéo</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Hébergement &amp; domaine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DNS, certificat SSL, domaine .io</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Présence en ligne</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Outils analytics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PostHog self-hosted, Plausible free</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Suivi complet sans coût</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TOTAL MARKETING</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15 €/mois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E74B5"/>
              <w:left w:val="single" w:sz="4" w:space="0" w:color="2E74B5"/>
              <w:bottom w:val="single" w:sz="4" w:space="0" w:color="2E74B5"/>
              <w:right w:val="single" w:sz="4" w:space="0" w:color="2E74B5"/>
            </w:tcBorders>
            <w:shd w:color="auto" w:fill="EBF3FB"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Le marketing bootstrap repose sur la qualité du contenu et la présence personnelle des fondateurs. 1h/jour par fondateur sur LinkedIn génère plus de leads qualifiés qu'un budget Google Ads de 500 €/mois pour une marque inconnue. La règle : créer de la valeur avant de vendre.</w:t>
            </w:r>
          </w:p>
        </w:tc>
      </w:tr>
    </w:tbl>
    <w:p>
      <w:pPr>
        <w:pStyle w:val="Normal"/>
        <w:spacing w:before="0" w:after="80"/>
        <w:rPr/>
      </w:pPr>
      <w:r>
        <w:rPr/>
      </w:r>
    </w:p>
    <w:p>
      <w:pPr>
        <w:pStyle w:val="Normal"/>
        <w:spacing w:before="240" w:after="60"/>
        <w:rPr/>
      </w:pPr>
      <w:r>
        <w:rPr>
          <w:rFonts w:ascii="Calibri" w:hAnsi="Calibri"/>
          <w:b/>
          <w:i w:val="false"/>
          <w:color w:val="2E74B5"/>
          <w:sz w:val="28"/>
        </w:rPr>
        <w:t>8.3 Séquence de vente par palier</w:t>
      </w:r>
    </w:p>
    <w:p>
      <w:pPr>
        <w:pStyle w:val="ListBullet"/>
        <w:numPr>
          <w:ilvl w:val="0"/>
          <w:numId w:val="1"/>
        </w:numPr>
        <w:spacing w:before="0" w:after="60"/>
        <w:ind w:left="432" w:hanging="360"/>
        <w:contextualSpacing/>
        <w:rPr/>
      </w:pPr>
      <w:r>
        <w:rPr>
          <w:rFonts w:ascii="Calibri" w:hAnsi="Calibri"/>
          <w:b/>
          <w:i w:val="false"/>
          <w:sz w:val="22"/>
        </w:rPr>
        <w:t>Free → Pro</w:t>
      </w:r>
      <w:r>
        <w:rPr>
          <w:rFonts w:ascii="Calibri" w:hAnsi="Calibri"/>
          <w:b w:val="false"/>
          <w:i w:val="false"/>
          <w:sz w:val="22"/>
        </w:rPr>
        <w:t xml:space="preserve"> : entièrement automatisé — email J+7 avec étude de cas, J+14 avec offre de migration, alerte à 80 % du quota</w:t>
      </w:r>
    </w:p>
    <w:p>
      <w:pPr>
        <w:pStyle w:val="ListBullet"/>
        <w:numPr>
          <w:ilvl w:val="0"/>
          <w:numId w:val="1"/>
        </w:numPr>
        <w:spacing w:before="0" w:after="60"/>
        <w:ind w:left="432" w:hanging="360"/>
        <w:contextualSpacing/>
        <w:rPr/>
      </w:pPr>
      <w:r>
        <w:rPr>
          <w:rFonts w:ascii="Calibri" w:hAnsi="Calibri"/>
          <w:b/>
          <w:i w:val="false"/>
          <w:sz w:val="22"/>
        </w:rPr>
        <w:t>Pro → Business</w:t>
      </w:r>
      <w:r>
        <w:rPr>
          <w:rFonts w:ascii="Calibri" w:hAnsi="Calibri"/>
          <w:b w:val="false"/>
          <w:i w:val="false"/>
          <w:sz w:val="22"/>
        </w:rPr>
        <w:t xml:space="preserve"> : email personnalisé quand le 3ᵉ utilisateur est invité ou à 4 000 exec/mois — appel de 20 min</w:t>
      </w:r>
    </w:p>
    <w:p>
      <w:pPr>
        <w:pStyle w:val="ListBullet"/>
        <w:numPr>
          <w:ilvl w:val="0"/>
          <w:numId w:val="1"/>
        </w:numPr>
        <w:spacing w:before="0" w:after="60"/>
        <w:ind w:left="432" w:hanging="360"/>
        <w:contextualSpacing/>
        <w:rPr/>
      </w:pPr>
      <w:r>
        <w:rPr>
          <w:rFonts w:ascii="Calibri" w:hAnsi="Calibri"/>
          <w:b/>
          <w:i w:val="false"/>
          <w:sz w:val="22"/>
        </w:rPr>
        <w:t>Services pro</w:t>
      </w:r>
      <w:r>
        <w:rPr>
          <w:rFonts w:ascii="Calibri" w:hAnsi="Calibri"/>
          <w:b w:val="false"/>
          <w:i w:val="false"/>
          <w:sz w:val="22"/>
        </w:rPr>
        <w:t xml:space="preserve"> : prospection directe via LinkedIn ou réseau perso — devis en 48h, acompte 30 % à la signature</w:t>
      </w:r>
    </w:p>
    <w:p>
      <w:pPr>
        <w:pStyle w:val="ListBullet"/>
        <w:numPr>
          <w:ilvl w:val="0"/>
          <w:numId w:val="1"/>
        </w:numPr>
        <w:spacing w:before="0" w:after="60"/>
        <w:ind w:left="432" w:hanging="360"/>
        <w:contextualSpacing/>
        <w:rPr/>
      </w:pPr>
      <w:r>
        <w:rPr>
          <w:rFonts w:ascii="Calibri" w:hAnsi="Calibri"/>
          <w:b/>
          <w:i w:val="false"/>
          <w:sz w:val="22"/>
        </w:rPr>
        <w:t>Enterprise</w:t>
      </w:r>
      <w:r>
        <w:rPr>
          <w:rFonts w:ascii="Calibri" w:hAnsi="Calibri"/>
          <w:b w:val="false"/>
          <w:i w:val="false"/>
          <w:sz w:val="22"/>
        </w:rPr>
        <w:t xml:space="preserve"> : POC gratuit 15 jours après signature d'un NDA — négociation sur devis</w:t>
      </w:r>
    </w:p>
    <w:p>
      <w:pPr>
        <w:pStyle w:val="Normal"/>
        <w:spacing w:before="240" w:after="60"/>
        <w:rPr/>
      </w:pPr>
      <w:r>
        <w:rPr>
          <w:rFonts w:ascii="Calibri" w:hAnsi="Calibri"/>
          <w:b/>
          <w:i w:val="false"/>
          <w:color w:val="2E74B5"/>
          <w:sz w:val="28"/>
        </w:rPr>
        <w:t>8.4 Objectifs d'acquisition mois par mois — An 1</w:t>
      </w:r>
    </w:p>
    <w:tbl>
      <w:tblPr>
        <w:tblStyle w:val="TableGrid"/>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1"/>
        <w:gridCol w:w="1510"/>
        <w:gridCol w:w="1512"/>
        <w:gridCol w:w="1511"/>
        <w:gridCol w:w="1510"/>
        <w:gridCol w:w="1511"/>
      </w:tblGrid>
      <w:tr>
        <w:trPr/>
        <w:tc>
          <w:tcPr>
            <w:tcW w:w="1511"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Mois</w:t>
            </w:r>
          </w:p>
        </w:tc>
        <w:tc>
          <w:tcPr>
            <w:tcW w:w="1510"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Signups Free</w:t>
            </w:r>
          </w:p>
        </w:tc>
        <w:tc>
          <w:tcPr>
            <w:tcW w:w="1512"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Clients Pro</w:t>
            </w:r>
          </w:p>
        </w:tc>
        <w:tc>
          <w:tcPr>
            <w:tcW w:w="1511"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Clients Business</w:t>
            </w:r>
          </w:p>
        </w:tc>
        <w:tc>
          <w:tcPr>
            <w:tcW w:w="1510"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Missions services</w:t>
            </w:r>
          </w:p>
        </w:tc>
        <w:tc>
          <w:tcPr>
            <w:tcW w:w="1511"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MRR cumulé</w:t>
            </w:r>
          </w:p>
        </w:tc>
      </w:tr>
      <w:tr>
        <w:trPr/>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  — Lancement</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w:t>
            </w:r>
          </w:p>
        </w:tc>
        <w:tc>
          <w:tcPr>
            <w:tcW w:w="151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 1 500 €</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r>
      <w:tr>
        <w:trPr/>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M2</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25</w:t>
            </w:r>
          </w:p>
        </w:tc>
        <w:tc>
          <w:tcPr>
            <w:tcW w:w="151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 1 500 €</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98 €</w:t>
            </w:r>
          </w:p>
        </w:tc>
      </w:tr>
      <w:tr>
        <w:trPr/>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M3</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50</w:t>
            </w:r>
          </w:p>
        </w:tc>
        <w:tc>
          <w:tcPr>
            <w:tcW w:w="151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 2 000 €</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395 €</w:t>
            </w:r>
          </w:p>
        </w:tc>
      </w:tr>
      <w:tr>
        <w:trPr/>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M4</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80</w:t>
            </w:r>
          </w:p>
        </w:tc>
        <w:tc>
          <w:tcPr>
            <w:tcW w:w="151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691 €</w:t>
            </w:r>
          </w:p>
        </w:tc>
      </w:tr>
      <w:tr>
        <w:trPr/>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M5</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120</w:t>
            </w:r>
          </w:p>
        </w:tc>
        <w:tc>
          <w:tcPr>
            <w:tcW w:w="151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 1 500 €</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1 040 €</w:t>
            </w:r>
          </w:p>
        </w:tc>
      </w:tr>
      <w:tr>
        <w:trPr/>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M6</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170</w:t>
            </w:r>
          </w:p>
        </w:tc>
        <w:tc>
          <w:tcPr>
            <w:tcW w:w="151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12</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 2 000 €</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1 185 €</w:t>
            </w:r>
          </w:p>
        </w:tc>
      </w:tr>
      <w:tr>
        <w:trPr/>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M7</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230</w:t>
            </w:r>
          </w:p>
        </w:tc>
        <w:tc>
          <w:tcPr>
            <w:tcW w:w="151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14</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 1 500 €</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1 283 €</w:t>
            </w:r>
          </w:p>
        </w:tc>
      </w:tr>
      <w:tr>
        <w:trPr/>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M8</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300</w:t>
            </w:r>
          </w:p>
        </w:tc>
        <w:tc>
          <w:tcPr>
            <w:tcW w:w="151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16</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1 580 €</w:t>
            </w:r>
          </w:p>
        </w:tc>
      </w:tr>
      <w:tr>
        <w:trPr/>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M9</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380</w:t>
            </w:r>
          </w:p>
        </w:tc>
        <w:tc>
          <w:tcPr>
            <w:tcW w:w="151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 2 000 €</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1 678 €</w:t>
            </w:r>
          </w:p>
        </w:tc>
      </w:tr>
      <w:tr>
        <w:trPr/>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M10</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460</w:t>
            </w:r>
          </w:p>
        </w:tc>
        <w:tc>
          <w:tcPr>
            <w:tcW w:w="151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20</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1 775 €</w:t>
            </w:r>
          </w:p>
        </w:tc>
      </w:tr>
      <w:tr>
        <w:trPr/>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M11</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540</w:t>
            </w:r>
          </w:p>
        </w:tc>
        <w:tc>
          <w:tcPr>
            <w:tcW w:w="151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21</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w:t>
            </w:r>
          </w:p>
        </w:tc>
        <w:tc>
          <w:tcPr>
            <w:tcW w:w="1510"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 1 000 €</w:t>
            </w:r>
          </w:p>
        </w:tc>
        <w:tc>
          <w:tcPr>
            <w:tcW w:w="1511"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1 824 €</w:t>
            </w:r>
          </w:p>
        </w:tc>
      </w:tr>
      <w:tr>
        <w:trPr/>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M12</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620</w:t>
            </w:r>
          </w:p>
        </w:tc>
        <w:tc>
          <w:tcPr>
            <w:tcW w:w="151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22</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w:t>
            </w:r>
          </w:p>
        </w:tc>
        <w:tc>
          <w:tcPr>
            <w:tcW w:w="1510"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 1 000 €</w:t>
            </w:r>
          </w:p>
        </w:tc>
        <w:tc>
          <w:tcPr>
            <w:tcW w:w="1511"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1 873 €</w:t>
            </w:r>
          </w:p>
        </w:tc>
      </w:tr>
    </w:tbl>
    <w:p>
      <w:pPr>
        <w:pStyle w:val="Normal"/>
        <w:spacing w:before="0" w:after="120"/>
        <w:rPr/>
      </w:pPr>
      <w:r>
        <w:rPr/>
      </w:r>
    </w:p>
    <w:p>
      <w:pPr>
        <w:pStyle w:val="Normal"/>
        <w:rPr/>
      </w:pPr>
      <w:r>
        <w:rPr/>
      </w:r>
      <w:r>
        <w:br w:type="page"/>
      </w:r>
    </w:p>
    <w:p>
      <w:pPr>
        <w:pStyle w:val="Normal"/>
        <w:spacing w:before="360" w:after="80"/>
        <w:rPr/>
      </w:pPr>
      <w:r>
        <w:rPr>
          <w:rFonts w:ascii="Calibri" w:hAnsi="Calibri"/>
          <w:b/>
          <w:i w:val="false"/>
          <w:color w:val="1F497D"/>
          <w:sz w:val="38"/>
        </w:rPr>
        <w:t>9. Plan opérationnel lean</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9.1 Infrastructure — coût minimal</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Service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Fournisseur</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Coût mensuel</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Justification</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Serveur VPS (K8s léger)</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Hetzner CX32 (4 vCPU, 8 Go)</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14 €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Suffisant pour &lt; 200 clients actifs</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Base de données PostgreSQL</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Hetzner DB (shared)</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Backup auto quotidien inclus</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Stockage objet (fichiers clients)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Hetzner Object Storage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500 Go — suffisant an 1</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Qdrant (vecteurs)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Self-hosted sur le VPS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Inclus dans le serveur</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CDN &amp; protection DDoS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Cloudflare Free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Plan gratuit suffisant pour le démarrage</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Emails transactionnels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Resend (3 000 emails/mois gratuit)</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Plan gratuit jusqu'à 3 000 emails/mois</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Domaine .io</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Namecheap / Gandi</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15 € / an</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~1,25 €/mois</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SSL / certificat</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Let's Encrypt</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Gratuit, renouvelable automatiquement</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Monitoring (Uptime Robot)</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Uptime Robot Free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Alertes si site down</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TOTAL INFRA</w:t>
            </w:r>
          </w:p>
        </w:tc>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~28 €/mois</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Soit ~336 €/an</w:t>
            </w:r>
          </w:p>
        </w:tc>
      </w:tr>
    </w:tbl>
    <w:p>
      <w:pPr>
        <w:pStyle w:val="Normal"/>
        <w:spacing w:before="0" w:after="120"/>
        <w:rPr/>
      </w:pPr>
      <w:r>
        <w:rPr/>
      </w:r>
    </w:p>
    <w:p>
      <w:pPr>
        <w:pStyle w:val="Normal"/>
        <w:spacing w:before="240" w:after="60"/>
        <w:rPr/>
      </w:pPr>
      <w:r>
        <w:rPr>
          <w:rFonts w:ascii="Calibri" w:hAnsi="Calibri"/>
          <w:b/>
          <w:i w:val="false"/>
          <w:color w:val="2E74B5"/>
          <w:sz w:val="28"/>
        </w:rPr>
        <w:t>9.2 Outils opérationnels gratuits / freemium</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Outil</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Usage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Plan utilisé</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Coût</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Stripe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Paiements, abonnements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Pay-per-use 1,5 % + 0,25 €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Variable (prélevé sur CA)</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PostHog</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Analytics produit</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Self-hosted</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Brevo (ex-Sendinblue)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Emails marketing &amp; automation</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Free (300 emails/jour)</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Linear</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Gestion de projet &amp; roadmap</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Free (équipe &lt; 12)</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Notion</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Documentation interne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Free</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GitHub</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Code, CI/CD Actions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Free (public + actions limitées)</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Canva</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Visuels marketing, présentations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Free</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Google Meet / Discord</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Réunions équipe &amp; support</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Free</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Legalstart</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CGV, mentions légales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~300 € one-shot</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One-time</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TOTAL OUTILS</w:t>
            </w:r>
          </w:p>
        </w:tc>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~0 €/mois + frais Stripe</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7AE60"/>
              <w:left w:val="single" w:sz="4" w:space="0" w:color="27AE60"/>
              <w:bottom w:val="single" w:sz="4" w:space="0" w:color="27AE60"/>
              <w:right w:val="single" w:sz="4" w:space="0" w:color="27AE60"/>
            </w:tcBorders>
            <w:shd w:color="auto" w:fill="EAFAF1"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Coût fixe mensuel total (infra + outils) : ~28 – 35 €/mois. Avec 10 000 € de financement, cela représente plus de 24 ans de runway sur les seuls coûts fixes. Le vrai enjeu est la rémunération des fondateurs, pas les coûts opérationnels.</w:t>
            </w:r>
          </w:p>
        </w:tc>
      </w:tr>
    </w:tbl>
    <w:p>
      <w:pPr>
        <w:pStyle w:val="Normal"/>
        <w:spacing w:before="0" w:after="80"/>
        <w:rPr/>
      </w:pPr>
      <w:r>
        <w:rPr/>
      </w:r>
    </w:p>
    <w:p>
      <w:pPr>
        <w:pStyle w:val="Normal"/>
        <w:spacing w:before="240" w:after="60"/>
        <w:rPr/>
      </w:pPr>
      <w:r>
        <w:rPr>
          <w:rFonts w:ascii="Calibri" w:hAnsi="Calibri"/>
          <w:b/>
          <w:i w:val="false"/>
          <w:color w:val="2E74B5"/>
          <w:sz w:val="28"/>
        </w:rPr>
        <w:t>9.3 Organisation du travail lean</w:t>
      </w:r>
    </w:p>
    <w:p>
      <w:pPr>
        <w:pStyle w:val="ListBullet"/>
        <w:numPr>
          <w:ilvl w:val="0"/>
          <w:numId w:val="1"/>
        </w:numPr>
        <w:spacing w:before="0" w:after="60"/>
        <w:ind w:left="432" w:hanging="360"/>
        <w:contextualSpacing/>
        <w:rPr/>
      </w:pPr>
      <w:r>
        <w:rPr>
          <w:rFonts w:ascii="Calibri" w:hAnsi="Calibri"/>
          <w:b/>
          <w:i w:val="false"/>
          <w:sz w:val="22"/>
        </w:rPr>
        <w:t>Standup asynchrone</w:t>
      </w:r>
      <w:r>
        <w:rPr>
          <w:rFonts w:ascii="Calibri" w:hAnsi="Calibri"/>
          <w:b w:val="false"/>
          <w:i w:val="false"/>
          <w:sz w:val="22"/>
        </w:rPr>
        <w:t xml:space="preserve"> quotidien via Discord (écrit, 2 min/personne) — pas de réunion quotidienne</w:t>
      </w:r>
    </w:p>
    <w:p>
      <w:pPr>
        <w:pStyle w:val="ListBullet"/>
        <w:numPr>
          <w:ilvl w:val="0"/>
          <w:numId w:val="1"/>
        </w:numPr>
        <w:spacing w:before="0" w:after="60"/>
        <w:ind w:left="432" w:hanging="360"/>
        <w:contextualSpacing/>
        <w:rPr/>
      </w:pPr>
      <w:r>
        <w:rPr>
          <w:rFonts w:ascii="Calibri" w:hAnsi="Calibri"/>
          <w:b/>
          <w:i w:val="false"/>
          <w:sz w:val="22"/>
        </w:rPr>
        <w:t>Weekly de 1h</w:t>
      </w:r>
      <w:r>
        <w:rPr>
          <w:rFonts w:ascii="Calibri" w:hAnsi="Calibri"/>
          <w:b w:val="false"/>
          <w:i w:val="false"/>
          <w:sz w:val="22"/>
        </w:rPr>
        <w:t xml:space="preserve"> chaque lundi : métriques de la semaine, priorités, blocages</w:t>
      </w:r>
    </w:p>
    <w:p>
      <w:pPr>
        <w:pStyle w:val="ListBullet"/>
        <w:numPr>
          <w:ilvl w:val="0"/>
          <w:numId w:val="1"/>
        </w:numPr>
        <w:spacing w:before="0" w:after="60"/>
        <w:ind w:left="432" w:hanging="360"/>
        <w:contextualSpacing/>
        <w:rPr/>
      </w:pPr>
      <w:r>
        <w:rPr>
          <w:rFonts w:ascii="Calibri" w:hAnsi="Calibri"/>
          <w:b/>
          <w:i w:val="false"/>
          <w:sz w:val="22"/>
        </w:rPr>
        <w:t>Revue mensuelle</w:t>
      </w:r>
      <w:r>
        <w:rPr>
          <w:rFonts w:ascii="Calibri" w:hAnsi="Calibri"/>
          <w:b w:val="false"/>
          <w:i w:val="false"/>
          <w:sz w:val="22"/>
        </w:rPr>
        <w:t xml:space="preserve"> : chiffres du mois, ajustement de la roadmap, décisions stratégiques</w:t>
      </w:r>
    </w:p>
    <w:p>
      <w:pPr>
        <w:pStyle w:val="ListBullet"/>
        <w:numPr>
          <w:ilvl w:val="0"/>
          <w:numId w:val="1"/>
        </w:numPr>
        <w:spacing w:before="0" w:after="60"/>
        <w:ind w:left="432" w:hanging="360"/>
        <w:contextualSpacing/>
        <w:rPr/>
      </w:pPr>
      <w:r>
        <w:rPr>
          <w:rFonts w:ascii="Calibri" w:hAnsi="Calibri"/>
          <w:b/>
          <w:i w:val="false"/>
          <w:sz w:val="22"/>
        </w:rPr>
        <w:t>On-call tournant</w:t>
      </w:r>
      <w:r>
        <w:rPr>
          <w:rFonts w:ascii="Calibri" w:hAnsi="Calibri"/>
          <w:b w:val="false"/>
          <w:i w:val="false"/>
          <w:sz w:val="22"/>
        </w:rPr>
        <w:t xml:space="preserve"> : chaque développeur assure une semaine d'astreinte technique par mois</w:t>
      </w:r>
    </w:p>
    <w:p>
      <w:pPr>
        <w:pStyle w:val="ListBullet"/>
        <w:numPr>
          <w:ilvl w:val="0"/>
          <w:numId w:val="1"/>
        </w:numPr>
        <w:spacing w:before="0" w:after="60"/>
        <w:ind w:left="432" w:hanging="360"/>
        <w:contextualSpacing/>
        <w:rPr/>
      </w:pPr>
      <w:r>
        <w:rPr>
          <w:rFonts w:ascii="Calibri" w:hAnsi="Calibri"/>
          <w:b/>
          <w:i w:val="false"/>
          <w:sz w:val="22"/>
        </w:rPr>
        <w:t>Travail en remote</w:t>
      </w:r>
      <w:r>
        <w:rPr>
          <w:rFonts w:ascii="Calibri" w:hAnsi="Calibri"/>
          <w:b w:val="false"/>
          <w:i w:val="false"/>
          <w:sz w:val="22"/>
        </w:rPr>
        <w:t xml:space="preserve"> total — pas de bureau fixe en an 1 (économie : 500–2 000 €/mois)</w:t>
      </w:r>
    </w:p>
    <w:p>
      <w:pPr>
        <w:pStyle w:val="Normal"/>
        <w:rPr/>
      </w:pPr>
      <w:r>
        <w:rPr/>
      </w:r>
      <w:r>
        <w:br w:type="page"/>
      </w:r>
    </w:p>
    <w:p>
      <w:pPr>
        <w:pStyle w:val="Normal"/>
        <w:spacing w:before="360" w:after="80"/>
        <w:rPr/>
      </w:pPr>
      <w:r>
        <w:rPr>
          <w:rFonts w:ascii="Calibri" w:hAnsi="Calibri"/>
          <w:b/>
          <w:i w:val="false"/>
          <w:color w:val="1F497D"/>
          <w:sz w:val="38"/>
        </w:rPr>
        <w:t>10. Plan des ressources humaines — évolution progressive</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10.1 An 1 (2025) — Les 4 fondateurs sans rémunération</w:t>
      </w:r>
    </w:p>
    <w:p>
      <w:pPr>
        <w:pStyle w:val="Normal"/>
        <w:spacing w:before="0" w:after="120"/>
        <w:rPr/>
      </w:pPr>
      <w:r>
        <w:rPr>
          <w:rFonts w:ascii="Calibri" w:hAnsi="Calibri"/>
          <w:b w:val="false"/>
          <w:i w:val="false"/>
          <w:sz w:val="22"/>
        </w:rPr>
        <w:t xml:space="preserve">En an 1, les fondateurs ne sont </w:t>
      </w:r>
      <w:r>
        <w:rPr>
          <w:rFonts w:ascii="Calibri" w:hAnsi="Calibri"/>
          <w:b/>
          <w:i w:val="false"/>
          <w:sz w:val="22"/>
        </w:rPr>
        <w:t>pas salariés de la société</w:t>
      </w:r>
      <w:r>
        <w:rPr>
          <w:rFonts w:ascii="Calibri" w:hAnsi="Calibri"/>
          <w:b w:val="false"/>
          <w:i w:val="false"/>
          <w:sz w:val="22"/>
        </w:rPr>
        <w:t>. Ils travaillent bénévolement ou via leur statut d'associés-gérants non rémunérés. Ce choix est délibéré pour préserver la trésorerie.</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Poste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Statut an 1</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Rémunération an 1</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Temps alloué</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Lead / CEO</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Président SAS non rémunéré</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 (vie sur économies)</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Développeur Senior</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Associé non salarié</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 (vie sur économies)</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Développeur Frontend</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Associé non salarié</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 (vie sur économies)</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Marketing &amp; Growth</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Associé non salarié</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 (vie sur économies)</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60–80 %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Coût total masse salariale an 1</w:t>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E67E22"/>
              <w:left w:val="single" w:sz="4" w:space="0" w:color="E67E22"/>
              <w:bottom w:val="single" w:sz="4" w:space="0" w:color="E67E22"/>
              <w:right w:val="single" w:sz="4" w:space="0" w:color="E67E22"/>
            </w:tcBorders>
            <w:shd w:color="auto" w:fill="FEF9E7"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Chaque fondateur doit avoir un matelas de sécurité personnel d'au moins 12 mois de charges de vie (typiquement 15 000 – 25 000 € selon le niveau de vie). Ce plan suppose que chacun dispose de cette réserve ou d'une activité freelance parallèle en début d'année.</w:t>
            </w:r>
          </w:p>
        </w:tc>
      </w:tr>
    </w:tbl>
    <w:p>
      <w:pPr>
        <w:pStyle w:val="Normal"/>
        <w:spacing w:before="0" w:after="80"/>
        <w:rPr/>
      </w:pPr>
      <w:r>
        <w:rPr/>
      </w:r>
    </w:p>
    <w:p>
      <w:pPr>
        <w:pStyle w:val="Normal"/>
        <w:spacing w:before="240" w:after="60"/>
        <w:rPr/>
      </w:pPr>
      <w:r>
        <w:rPr>
          <w:rFonts w:ascii="Calibri" w:hAnsi="Calibri"/>
          <w:b/>
          <w:i w:val="false"/>
          <w:color w:val="2E74B5"/>
          <w:sz w:val="28"/>
        </w:rPr>
        <w:t>10.2 An 2 (2026) — Premières rémunérations quand le MRR le permet</w:t>
      </w:r>
    </w:p>
    <w:p>
      <w:pPr>
        <w:pStyle w:val="Normal"/>
        <w:spacing w:before="0" w:after="120"/>
        <w:rPr/>
      </w:pPr>
      <w:r>
        <w:rPr>
          <w:rFonts w:ascii="Calibri" w:hAnsi="Calibri"/>
          <w:b w:val="false"/>
          <w:i w:val="false"/>
          <w:sz w:val="22"/>
        </w:rPr>
        <w:t xml:space="preserve">Dès que le MRR mensuel dépasse </w:t>
      </w:r>
      <w:r>
        <w:rPr>
          <w:rFonts w:ascii="Calibri" w:hAnsi="Calibri"/>
          <w:b/>
          <w:i w:val="false"/>
          <w:sz w:val="22"/>
        </w:rPr>
        <w:t>3 000 €</w:t>
      </w:r>
      <w:r>
        <w:rPr>
          <w:rFonts w:ascii="Calibri" w:hAnsi="Calibri"/>
          <w:b w:val="false"/>
          <w:i w:val="false"/>
          <w:sz w:val="22"/>
        </w:rPr>
        <w:t xml:space="preserve"> (prévu vers le mois 15), les fondateurs commencent à se rémunérer.</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Poste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Rémunération mensuelle nette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Annuel net</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Annuel charges incluses (×1,65)</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Lead / CEO</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1 500 €/mois (M13–M18) → 2 000 € (M19+)</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~21 000 €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~34 650 €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Développeur Senior</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1 500 €/mois → 2 000 €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~21 000 €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~34 650 €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Développeur Frontend</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1 200 €/mois → 1 800 €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~18 000 €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~29 700 €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Marketing &amp; Growth</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1 000 €/mois → 1 500 €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~24 750 €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F497D"/>
                <w:kern w:val="0"/>
                <w:sz w:val="20"/>
                <w:szCs w:val="22"/>
                <w:lang w:val="en-US" w:eastAsia="en-US" w:bidi="ar-SA"/>
              </w:rPr>
              <w:t>TOTAL RÉMUNÉRATION AN 2</w:t>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~75 000 € net</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F497D"/>
                <w:kern w:val="0"/>
                <w:sz w:val="20"/>
                <w:szCs w:val="22"/>
                <w:lang w:val="en-US" w:eastAsia="en-US" w:bidi="ar-SA"/>
              </w:rPr>
              <w:t>~124 000 € coût total</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E74B5"/>
              <w:left w:val="single" w:sz="4" w:space="0" w:color="2E74B5"/>
              <w:bottom w:val="single" w:sz="4" w:space="0" w:color="2E74B5"/>
              <w:right w:val="single" w:sz="4" w:space="0" w:color="2E74B5"/>
            </w:tcBorders>
            <w:shd w:color="auto" w:fill="EBF3FB"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La rémunération an 2 est conditionnée aux revenus. Si le MRR est inférieur à 3 000 € au mois 15, le démarrage des salaires est décalé de 3 mois. Règle : les salaires ne doivent jamais dépasser 50 % du MRR mensuel.</w:t>
            </w:r>
          </w:p>
        </w:tc>
      </w:tr>
    </w:tbl>
    <w:p>
      <w:pPr>
        <w:pStyle w:val="Normal"/>
        <w:spacing w:before="0" w:after="80"/>
        <w:rPr/>
      </w:pPr>
      <w:r>
        <w:rPr/>
      </w:r>
    </w:p>
    <w:p>
      <w:pPr>
        <w:pStyle w:val="Normal"/>
        <w:spacing w:before="240" w:after="60"/>
        <w:rPr/>
      </w:pPr>
      <w:r>
        <w:rPr>
          <w:rFonts w:ascii="Calibri" w:hAnsi="Calibri"/>
          <w:b/>
          <w:i w:val="false"/>
          <w:color w:val="2E74B5"/>
          <w:sz w:val="28"/>
        </w:rPr>
        <w:t>10.3 Recrutements an 2 — 1 profil externe (si CA &gt; 70 000 €)</w:t>
      </w:r>
    </w:p>
    <w:p>
      <w:pPr>
        <w:pStyle w:val="Normal"/>
        <w:spacing w:before="0" w:after="120"/>
        <w:rPr/>
      </w:pPr>
      <w:r>
        <w:rPr>
          <w:rFonts w:ascii="Calibri" w:hAnsi="Calibri"/>
          <w:b w:val="false"/>
          <w:i w:val="false"/>
          <w:sz w:val="22"/>
        </w:rPr>
        <w:t>Si le CA an 2 atteint 70 000 €, un premier recrutement externe est envisageable :</w:t>
      </w:r>
    </w:p>
    <w:tbl>
      <w:tblPr>
        <w:tblStyle w:val="TableGrid"/>
        <w:tblW w:w="9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813"/>
        <w:gridCol w:w="1813"/>
        <w:gridCol w:w="1813"/>
        <w:gridCol w:w="1813"/>
      </w:tblGrid>
      <w:tr>
        <w:trPr/>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Poste</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Trimestre</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Salaire brut annuel</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Justification</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Condition</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Customer Success / Support</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Q4 2026</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28 000 – 32 000 €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Libère du temps fondateurs pour la vente</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MRR &gt; 5 000 €</w:t>
            </w:r>
          </w:p>
        </w:tc>
      </w:tr>
    </w:tbl>
    <w:p>
      <w:pPr>
        <w:pStyle w:val="Normal"/>
        <w:spacing w:before="0" w:after="120"/>
        <w:rPr/>
      </w:pPr>
      <w:r>
        <w:rPr/>
      </w:r>
    </w:p>
    <w:p>
      <w:pPr>
        <w:pStyle w:val="Normal"/>
        <w:spacing w:before="240" w:after="60"/>
        <w:rPr/>
      </w:pPr>
      <w:r>
        <w:rPr>
          <w:rFonts w:ascii="Calibri" w:hAnsi="Calibri"/>
          <w:b/>
          <w:i w:val="false"/>
          <w:color w:val="2E74B5"/>
          <w:sz w:val="28"/>
        </w:rPr>
        <w:t>10.4 An 3 (2027) — Normalisation des salaires &amp; 2ᵉ recrutement</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Poste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Rémunération nette/mois</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Annuel charges incluses</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Évolution</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Lead / CEO</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2 500 – 3 000 €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~57 000 €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prime performance (10 % ARR delta)</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Développeur Senior</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2 500 – 3 000 €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~57 000 €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Titularisation CTO</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Développeur Frontend</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2 200 – 2 500 €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~50 000 €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Lead intégrations &amp; SDK</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Marketing &amp; Growth</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2 000 – 2 500 €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~45 000 €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Head of Marketing</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Customer Success (recruté an 2)</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1 800 – 2 000 €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~37 000 €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Permanence</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Développeur Full-Stack (à recruter Q2 2027)</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2 200 – 2 500 €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~50 000 €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Renforcer équipe tech</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F497D"/>
                <w:kern w:val="0"/>
                <w:sz w:val="20"/>
                <w:szCs w:val="22"/>
                <w:lang w:val="en-US" w:eastAsia="en-US" w:bidi="ar-SA"/>
              </w:rPr>
              <w:t>TOTAL MASSE SALARIALE AN 3</w:t>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~296 000 €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 personnes</w:t>
            </w:r>
          </w:p>
        </w:tc>
      </w:tr>
    </w:tbl>
    <w:p>
      <w:pPr>
        <w:pStyle w:val="Normal"/>
        <w:spacing w:before="0" w:after="120"/>
        <w:rPr/>
      </w:pPr>
      <w:r>
        <w:rPr/>
      </w:r>
    </w:p>
    <w:p>
      <w:pPr>
        <w:pStyle w:val="Normal"/>
        <w:spacing w:before="240" w:after="60"/>
        <w:rPr/>
      </w:pPr>
      <w:r>
        <w:rPr>
          <w:rFonts w:ascii="Calibri" w:hAnsi="Calibri"/>
          <w:b/>
          <w:i w:val="false"/>
          <w:color w:val="2E74B5"/>
          <w:sz w:val="28"/>
        </w:rPr>
        <w:t>10.5 Évolution synthétique RH 3 ans</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Année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ETP</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Masse salariale (coût employeur)</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Rémunération fondateurs</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An 1 — 2025</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fondateurs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 (bénévolat)</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An 2 — 2026</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+ 1 (partiel H2)</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~131 000 €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~124 000 € pour 4 fondateurs</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An 3 — 2027</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~296 000 €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~209 000 € pour 4 fondateurs</w:t>
            </w:r>
          </w:p>
        </w:tc>
      </w:tr>
    </w:tbl>
    <w:p>
      <w:pPr>
        <w:pStyle w:val="Normal"/>
        <w:spacing w:before="0" w:after="120"/>
        <w:rPr/>
      </w:pPr>
      <w:r>
        <w:rPr/>
      </w:r>
    </w:p>
    <w:p>
      <w:pPr>
        <w:pStyle w:val="Normal"/>
        <w:spacing w:before="240" w:after="60"/>
        <w:rPr/>
      </w:pPr>
      <w:r>
        <w:rPr>
          <w:rFonts w:ascii="Calibri" w:hAnsi="Calibri"/>
          <w:b/>
          <w:i w:val="false"/>
          <w:color w:val="2E74B5"/>
          <w:sz w:val="28"/>
        </w:rPr>
        <w:t>10.6 Culture d'entreprise &amp; avantages</w:t>
      </w:r>
    </w:p>
    <w:p>
      <w:pPr>
        <w:pStyle w:val="ListBullet"/>
        <w:numPr>
          <w:ilvl w:val="0"/>
          <w:numId w:val="1"/>
        </w:numPr>
        <w:spacing w:before="0" w:after="60"/>
        <w:ind w:left="432" w:hanging="360"/>
        <w:contextualSpacing/>
        <w:rPr/>
      </w:pPr>
      <w:r>
        <w:rPr>
          <w:rFonts w:ascii="Calibri" w:hAnsi="Calibri"/>
          <w:b/>
          <w:i w:val="false"/>
          <w:sz w:val="22"/>
        </w:rPr>
        <w:t>Flexibilité maximale</w:t>
      </w:r>
      <w:r>
        <w:rPr>
          <w:rFonts w:ascii="Calibri" w:hAnsi="Calibri"/>
          <w:b w:val="false"/>
          <w:i w:val="false"/>
          <w:sz w:val="22"/>
        </w:rPr>
        <w:t xml:space="preserve"> : horaires libres, remote total, semaine de 4 jours envisageable en an 3</w:t>
      </w:r>
    </w:p>
    <w:p>
      <w:pPr>
        <w:pStyle w:val="ListBullet"/>
        <w:numPr>
          <w:ilvl w:val="0"/>
          <w:numId w:val="1"/>
        </w:numPr>
        <w:spacing w:before="0" w:after="60"/>
        <w:ind w:left="432" w:hanging="360"/>
        <w:contextualSpacing/>
        <w:rPr/>
      </w:pPr>
      <w:r>
        <w:rPr>
          <w:rFonts w:ascii="Calibri" w:hAnsi="Calibri"/>
          <w:b/>
          <w:i w:val="false"/>
          <w:sz w:val="22"/>
        </w:rPr>
        <w:t>BSPCE pour futurs recrutés</w:t>
      </w:r>
      <w:r>
        <w:rPr>
          <w:rFonts w:ascii="Calibri" w:hAnsi="Calibri"/>
          <w:b w:val="false"/>
          <w:i w:val="false"/>
          <w:sz w:val="22"/>
        </w:rPr>
        <w:t xml:space="preserve"> : plan d'intéressement dès le 1ᵉʳ salarié — 4 ans, cliff 12 mois</w:t>
      </w:r>
    </w:p>
    <w:p>
      <w:pPr>
        <w:pStyle w:val="ListBullet"/>
        <w:numPr>
          <w:ilvl w:val="0"/>
          <w:numId w:val="1"/>
        </w:numPr>
        <w:spacing w:before="0" w:after="60"/>
        <w:ind w:left="432" w:hanging="360"/>
        <w:contextualSpacing/>
        <w:rPr/>
      </w:pPr>
      <w:r>
        <w:rPr>
          <w:rFonts w:ascii="Calibri" w:hAnsi="Calibri"/>
          <w:b/>
          <w:i w:val="false"/>
          <w:sz w:val="22"/>
        </w:rPr>
        <w:t>Budget formation individuel</w:t>
      </w:r>
      <w:r>
        <w:rPr>
          <w:rFonts w:ascii="Calibri" w:hAnsi="Calibri"/>
          <w:b w:val="false"/>
          <w:i w:val="false"/>
          <w:sz w:val="22"/>
        </w:rPr>
        <w:t xml:space="preserve"> : 500 €/an en an 1–2, 1 000 €/an en an 3</w:t>
      </w:r>
    </w:p>
    <w:p>
      <w:pPr>
        <w:pStyle w:val="ListBullet"/>
        <w:numPr>
          <w:ilvl w:val="0"/>
          <w:numId w:val="1"/>
        </w:numPr>
        <w:spacing w:before="0" w:after="60"/>
        <w:ind w:left="432" w:hanging="360"/>
        <w:contextualSpacing/>
        <w:rPr/>
      </w:pPr>
      <w:r>
        <w:rPr>
          <w:rFonts w:ascii="Calibri" w:hAnsi="Calibri"/>
          <w:b/>
          <w:i w:val="false"/>
          <w:sz w:val="22"/>
        </w:rPr>
        <w:t>Réunion offsite annuelle</w:t>
      </w:r>
      <w:r>
        <w:rPr>
          <w:rFonts w:ascii="Calibri" w:hAnsi="Calibri"/>
          <w:b w:val="false"/>
          <w:i w:val="false"/>
          <w:sz w:val="22"/>
        </w:rPr>
        <w:t xml:space="preserve"> : 2 jours (budget 300 €/personne) — team building &amp; stratégie</w:t>
      </w:r>
    </w:p>
    <w:p>
      <w:pPr>
        <w:pStyle w:val="ListBullet"/>
        <w:numPr>
          <w:ilvl w:val="0"/>
          <w:numId w:val="1"/>
        </w:numPr>
        <w:spacing w:before="0" w:after="60"/>
        <w:ind w:left="432" w:hanging="360"/>
        <w:contextualSpacing/>
        <w:rPr/>
      </w:pPr>
      <w:r>
        <w:rPr>
          <w:rFonts w:ascii="Calibri" w:hAnsi="Calibri"/>
          <w:b/>
          <w:i w:val="false"/>
          <w:sz w:val="22"/>
        </w:rPr>
        <w:t>Pas de réunions inutiles</w:t>
      </w:r>
      <w:r>
        <w:rPr>
          <w:rFonts w:ascii="Calibri" w:hAnsi="Calibri"/>
          <w:b w:val="false"/>
          <w:i w:val="false"/>
          <w:sz w:val="22"/>
        </w:rPr>
        <w:t xml:space="preserve"> : chaque réunion a un ordre du jour et une durée fixe</w:t>
      </w:r>
    </w:p>
    <w:p>
      <w:pPr>
        <w:pStyle w:val="Normal"/>
        <w:rPr/>
      </w:pPr>
      <w:r>
        <w:rPr/>
      </w:r>
      <w:r>
        <w:br w:type="page"/>
      </w:r>
    </w:p>
    <w:p>
      <w:pPr>
        <w:pStyle w:val="Normal"/>
        <w:spacing w:before="360" w:after="80"/>
        <w:rPr/>
      </w:pPr>
      <w:r>
        <w:rPr>
          <w:rFonts w:ascii="Calibri" w:hAnsi="Calibri"/>
          <w:b/>
          <w:i w:val="false"/>
          <w:color w:val="1F497D"/>
          <w:sz w:val="38"/>
        </w:rPr>
        <w:t>11. Projections financières — Compte de résultat</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11.1 Détail du chiffre d'affaires mensuel — An 1</w:t>
      </w:r>
    </w:p>
    <w:tbl>
      <w:tblPr>
        <w:tblStyle w:val="TableGrid"/>
        <w:tblW w:w="9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5"/>
        <w:gridCol w:w="1294"/>
        <w:gridCol w:w="1296"/>
        <w:gridCol w:w="1294"/>
        <w:gridCol w:w="1296"/>
        <w:gridCol w:w="1294"/>
        <w:gridCol w:w="1295"/>
      </w:tblGrid>
      <w:tr>
        <w:trPr/>
        <w:tc>
          <w:tcPr>
            <w:tcW w:w="129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Mois</w:t>
            </w:r>
          </w:p>
        </w:tc>
        <w:tc>
          <w:tcPr>
            <w:tcW w:w="1294"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Pro</w:t>
              <w:br/>
              <w:t>(49€)</w:t>
            </w:r>
          </w:p>
        </w:tc>
        <w:tc>
          <w:tcPr>
            <w:tcW w:w="129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Business</w:t>
              <w:br/>
              <w:t>(199€)</w:t>
            </w:r>
          </w:p>
        </w:tc>
        <w:tc>
          <w:tcPr>
            <w:tcW w:w="1294"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MRR</w:t>
              <w:br/>
              <w:t>SaaS</w:t>
            </w:r>
          </w:p>
        </w:tc>
        <w:tc>
          <w:tcPr>
            <w:tcW w:w="129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Services pro</w:t>
            </w:r>
          </w:p>
        </w:tc>
        <w:tc>
          <w:tcPr>
            <w:tcW w:w="1294"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CA mensuel</w:t>
            </w:r>
          </w:p>
        </w:tc>
        <w:tc>
          <w:tcPr>
            <w:tcW w:w="129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CA cumulé</w:t>
            </w:r>
          </w:p>
        </w:tc>
      </w:tr>
      <w:tr>
        <w:trPr/>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w:t>
            </w:r>
          </w:p>
        </w:tc>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w:t>
            </w:r>
          </w:p>
        </w:tc>
      </w:tr>
      <w:tr>
        <w:trPr/>
        <w:tc>
          <w:tcPr>
            <w:tcW w:w="129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M2</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w:t>
            </w:r>
          </w:p>
        </w:tc>
        <w:tc>
          <w:tcPr>
            <w:tcW w:w="129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98 €</w:t>
            </w:r>
          </w:p>
        </w:tc>
        <w:tc>
          <w:tcPr>
            <w:tcW w:w="129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1 598 €</w:t>
            </w:r>
          </w:p>
        </w:tc>
        <w:tc>
          <w:tcPr>
            <w:tcW w:w="129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3 098 €</w:t>
            </w:r>
          </w:p>
        </w:tc>
      </w:tr>
      <w:tr>
        <w:trPr/>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M3</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395 €</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2 000 €</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2 395 €</w:t>
            </w:r>
          </w:p>
        </w:tc>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5 493 €</w:t>
            </w:r>
          </w:p>
        </w:tc>
      </w:tr>
      <w:tr>
        <w:trPr/>
        <w:tc>
          <w:tcPr>
            <w:tcW w:w="129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M4</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w:t>
            </w:r>
          </w:p>
        </w:tc>
        <w:tc>
          <w:tcPr>
            <w:tcW w:w="129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691 €</w:t>
            </w:r>
          </w:p>
        </w:tc>
        <w:tc>
          <w:tcPr>
            <w:tcW w:w="129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691 €</w:t>
            </w:r>
          </w:p>
        </w:tc>
        <w:tc>
          <w:tcPr>
            <w:tcW w:w="129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6 184 €</w:t>
            </w:r>
          </w:p>
        </w:tc>
      </w:tr>
      <w:tr>
        <w:trPr/>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M5</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1 039 €</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2 539 €</w:t>
            </w:r>
          </w:p>
        </w:tc>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8 723 €</w:t>
            </w:r>
          </w:p>
        </w:tc>
      </w:tr>
      <w:tr>
        <w:trPr/>
        <w:tc>
          <w:tcPr>
            <w:tcW w:w="129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M6</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12</w:t>
            </w:r>
          </w:p>
        </w:tc>
        <w:tc>
          <w:tcPr>
            <w:tcW w:w="129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1 185 €</w:t>
            </w:r>
          </w:p>
        </w:tc>
        <w:tc>
          <w:tcPr>
            <w:tcW w:w="129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2 000 €</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3 185 €</w:t>
            </w:r>
          </w:p>
        </w:tc>
        <w:tc>
          <w:tcPr>
            <w:tcW w:w="129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11 908 €</w:t>
            </w:r>
          </w:p>
        </w:tc>
      </w:tr>
      <w:tr>
        <w:trPr/>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M7</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14</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1 283 €</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2 783 €</w:t>
            </w:r>
          </w:p>
        </w:tc>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14 691 €</w:t>
            </w:r>
          </w:p>
        </w:tc>
      </w:tr>
      <w:tr>
        <w:trPr/>
        <w:tc>
          <w:tcPr>
            <w:tcW w:w="129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M8</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16</w:t>
            </w:r>
          </w:p>
        </w:tc>
        <w:tc>
          <w:tcPr>
            <w:tcW w:w="129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1 580 €</w:t>
            </w:r>
          </w:p>
        </w:tc>
        <w:tc>
          <w:tcPr>
            <w:tcW w:w="129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1 580 €</w:t>
            </w:r>
          </w:p>
        </w:tc>
        <w:tc>
          <w:tcPr>
            <w:tcW w:w="129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16 271 €</w:t>
            </w:r>
          </w:p>
        </w:tc>
      </w:tr>
      <w:tr>
        <w:trPr/>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M9</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1 678 €</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2 000 €</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3 678 €</w:t>
            </w:r>
          </w:p>
        </w:tc>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19 949 €</w:t>
            </w:r>
          </w:p>
        </w:tc>
      </w:tr>
      <w:tr>
        <w:trPr/>
        <w:tc>
          <w:tcPr>
            <w:tcW w:w="129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M10</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20</w:t>
            </w:r>
          </w:p>
        </w:tc>
        <w:tc>
          <w:tcPr>
            <w:tcW w:w="129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1 775 €</w:t>
            </w:r>
          </w:p>
        </w:tc>
        <w:tc>
          <w:tcPr>
            <w:tcW w:w="129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1 775 €</w:t>
            </w:r>
          </w:p>
        </w:tc>
        <w:tc>
          <w:tcPr>
            <w:tcW w:w="129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21 724 €</w:t>
            </w:r>
          </w:p>
        </w:tc>
      </w:tr>
      <w:tr>
        <w:trPr/>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M11</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21</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1 824 €</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1 824 €</w:t>
            </w:r>
          </w:p>
        </w:tc>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23 548 €</w:t>
            </w:r>
          </w:p>
        </w:tc>
      </w:tr>
      <w:tr>
        <w:trPr/>
        <w:tc>
          <w:tcPr>
            <w:tcW w:w="129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M12</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22</w:t>
            </w:r>
          </w:p>
        </w:tc>
        <w:tc>
          <w:tcPr>
            <w:tcW w:w="129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1 873 €</w:t>
            </w:r>
          </w:p>
        </w:tc>
        <w:tc>
          <w:tcPr>
            <w:tcW w:w="129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1294"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1 873 €</w:t>
            </w:r>
          </w:p>
        </w:tc>
        <w:tc>
          <w:tcPr>
            <w:tcW w:w="129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25 421 €</w:t>
            </w:r>
          </w:p>
        </w:tc>
      </w:tr>
      <w:tr>
        <w:trPr/>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F497D"/>
                <w:kern w:val="0"/>
                <w:sz w:val="20"/>
                <w:szCs w:val="22"/>
                <w:lang w:val="en-US" w:eastAsia="en-US" w:bidi="ar-SA"/>
              </w:rPr>
              <w:t>TOTAL AN 1</w:t>
            </w:r>
          </w:p>
        </w:tc>
        <w:tc>
          <w:tcPr>
            <w:tcW w:w="1294"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29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294"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14 421 € MRR moy.</w:t>
            </w:r>
          </w:p>
        </w:tc>
        <w:tc>
          <w:tcPr>
            <w:tcW w:w="129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12 000 €</w:t>
            </w:r>
          </w:p>
        </w:tc>
        <w:tc>
          <w:tcPr>
            <w:tcW w:w="1294"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29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25 421 €</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E74B5"/>
              <w:left w:val="single" w:sz="4" w:space="0" w:color="2E74B5"/>
              <w:bottom w:val="single" w:sz="4" w:space="0" w:color="2E74B5"/>
              <w:right w:val="single" w:sz="4" w:space="0" w:color="2E74B5"/>
            </w:tcBorders>
            <w:shd w:color="auto" w:fill="EBF3FB"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Note : le CA an 1 est de 25 421 € dont 12 000 € de services ponctuels (47 %) et 13 421 € de SaaS récurrent (53 %). À partir du mois 5, le SaaS dépasse les services.</w:t>
            </w:r>
          </w:p>
        </w:tc>
      </w:tr>
    </w:tbl>
    <w:p>
      <w:pPr>
        <w:pStyle w:val="Normal"/>
        <w:spacing w:before="0" w:after="80"/>
        <w:rPr/>
      </w:pPr>
      <w:r>
        <w:rPr/>
      </w:r>
    </w:p>
    <w:p>
      <w:pPr>
        <w:pStyle w:val="Normal"/>
        <w:spacing w:before="240" w:after="60"/>
        <w:rPr/>
      </w:pPr>
      <w:r>
        <w:rPr>
          <w:rFonts w:ascii="Calibri" w:hAnsi="Calibri"/>
          <w:b/>
          <w:i w:val="false"/>
          <w:color w:val="2E74B5"/>
          <w:sz w:val="28"/>
        </w:rPr>
        <w:t>11.2 Compte de résultat prévisionnel consolidé 3 ans</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Poste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1 (2025)</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2 (2026)</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3 (2027)</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F497D"/>
                <w:kern w:val="0"/>
                <w:sz w:val="20"/>
                <w:szCs w:val="22"/>
                <w:lang w:val="en-US" w:eastAsia="en-US" w:bidi="ar-SA"/>
              </w:rPr>
              <w:t xml:space="preserve">── </w:t>
            </w:r>
            <w:r>
              <w:rPr>
                <w:rFonts w:eastAsia="ＭＳ 明朝" w:cs="" w:ascii="Calibri" w:hAnsi="Calibri"/>
                <w:b/>
                <w:i w:val="false"/>
                <w:color w:val="1F497D"/>
                <w:kern w:val="0"/>
                <w:sz w:val="20"/>
                <w:szCs w:val="22"/>
                <w:lang w:val="en-US" w:eastAsia="en-US" w:bidi="ar-SA"/>
              </w:rPr>
              <w:t>PRODUITS ──</w:t>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5"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SaaS — abonnements Pro / Business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13 421 €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43 200 €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114 000 €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SaaS — usage-based (tokens/exec sup.)</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4 800 €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24 000 €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Services professionnels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12 000 €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28 800 €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36 000 €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Marketplace (commissions 30 %)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1 800 €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9 000 €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White-label / OEM</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Chiffre d'affaires TOTAL</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25 921 €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78 600 €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191 000 €</w:t>
            </w:r>
          </w:p>
        </w:tc>
      </w:tr>
      <w:tr>
        <w:trPr/>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5"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C0392B"/>
                <w:kern w:val="0"/>
                <w:sz w:val="20"/>
                <w:szCs w:val="22"/>
                <w:lang w:val="en-US" w:eastAsia="en-US" w:bidi="ar-SA"/>
              </w:rPr>
              <w:t xml:space="preserve">── </w:t>
            </w:r>
            <w:r>
              <w:rPr>
                <w:rFonts w:eastAsia="ＭＳ 明朝" w:cs="" w:ascii="Calibri" w:hAnsi="Calibri"/>
                <w:b/>
                <w:i w:val="false"/>
                <w:color w:val="C0392B"/>
                <w:kern w:val="0"/>
                <w:sz w:val="20"/>
                <w:szCs w:val="22"/>
                <w:lang w:val="en-US" w:eastAsia="en-US" w:bidi="ar-SA"/>
              </w:rPr>
              <w:t>CHARGES D'EXPLOITATION ──</w:t>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5"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Coût infra &amp; outils (cloud + SaaS)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420 €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840 €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1 800 €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Coût tokens IA (passthrough clients)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5 400 €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21 600 €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Frais juridiques &amp; comptabilité</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2 400 €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3 600 €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Marketing &amp; acquisition (minimal)</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2 400 €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7 200 €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Formation &amp; culture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Frais bancaires &amp; Stripe (1,5 % CA)</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389 €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1 179 €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2 865 €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Divers &amp; imprévus (3 %)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778 €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2 358 €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5 730 €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Sous-total charges (hors salaires)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4 067 €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16 577 €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48 795 €</w:t>
            </w:r>
          </w:p>
        </w:tc>
      </w:tr>
      <w:tr>
        <w:trPr/>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5"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Masse salariale (fondateurs + employés)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131 000 €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296 000 €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C0392B"/>
                <w:kern w:val="0"/>
                <w:sz w:val="20"/>
                <w:szCs w:val="22"/>
                <w:lang w:val="en-US" w:eastAsia="en-US" w:bidi="ar-SA"/>
              </w:rPr>
              <w:t>TOTAL CHARGES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C0392B"/>
                <w:kern w:val="0"/>
                <w:sz w:val="20"/>
                <w:szCs w:val="22"/>
                <w:lang w:val="en-US" w:eastAsia="en-US" w:bidi="ar-SA"/>
              </w:rPr>
              <w:t>4 067 €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C0392B"/>
                <w:kern w:val="0"/>
                <w:sz w:val="20"/>
                <w:szCs w:val="22"/>
                <w:lang w:val="en-US" w:eastAsia="en-US" w:bidi="ar-SA"/>
              </w:rPr>
              <w:t>147 577 €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C0392B"/>
                <w:kern w:val="0"/>
                <w:sz w:val="20"/>
                <w:szCs w:val="22"/>
                <w:lang w:val="en-US" w:eastAsia="en-US" w:bidi="ar-SA"/>
              </w:rPr>
              <w:t>344 795 €</w:t>
            </w:r>
          </w:p>
        </w:tc>
      </w:tr>
      <w:tr>
        <w:trPr/>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5"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F497D"/>
                <w:kern w:val="0"/>
                <w:sz w:val="20"/>
                <w:szCs w:val="22"/>
                <w:lang w:val="en-US" w:eastAsia="en-US" w:bidi="ar-SA"/>
              </w:rPr>
              <w:t xml:space="preserve">── </w:t>
            </w:r>
            <w:r>
              <w:rPr>
                <w:rFonts w:eastAsia="ＭＳ 明朝" w:cs="" w:ascii="Calibri" w:hAnsi="Calibri"/>
                <w:b/>
                <w:i w:val="false"/>
                <w:color w:val="1F497D"/>
                <w:kern w:val="0"/>
                <w:sz w:val="20"/>
                <w:szCs w:val="22"/>
                <w:lang w:val="en-US" w:eastAsia="en-US" w:bidi="ar-SA"/>
              </w:rPr>
              <w:t>RÉSULTAT ──</w:t>
            </w:r>
          </w:p>
        </w:tc>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5"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EBITDA</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21 854 €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C0392B"/>
                <w:kern w:val="0"/>
                <w:sz w:val="20"/>
                <w:szCs w:val="22"/>
                <w:lang w:val="en-US" w:eastAsia="en-US" w:bidi="ar-SA"/>
              </w:rPr>
              <w:t>-68 977 €*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-153 795 €*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Amortissements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1 200 €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2 400 €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Résultat opérationnel (EBIT)</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21 254 €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Impôt sur les sociétés (15 %)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3 188 €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F497D"/>
                <w:kern w:val="0"/>
                <w:sz w:val="20"/>
                <w:szCs w:val="22"/>
                <w:lang w:val="en-US" w:eastAsia="en-US" w:bidi="ar-SA"/>
              </w:rPr>
              <w:t>RÉSULTAT NET</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18 066 €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C55A11"/>
                <w:kern w:val="0"/>
                <w:sz w:val="20"/>
                <w:szCs w:val="22"/>
                <w:lang w:val="en-US" w:eastAsia="en-US" w:bidi="ar-SA"/>
              </w:rPr>
              <w:t xml:space="preserve">— </w:t>
            </w:r>
            <w:r>
              <w:rPr>
                <w:rFonts w:eastAsia="ＭＳ 明朝" w:cs="" w:ascii="Calibri" w:hAnsi="Calibri"/>
                <w:b/>
                <w:i w:val="false"/>
                <w:color w:val="C55A11"/>
                <w:kern w:val="0"/>
                <w:sz w:val="20"/>
                <w:szCs w:val="22"/>
                <w:lang w:val="en-US" w:eastAsia="en-US" w:bidi="ar-SA"/>
              </w:rPr>
              <w:t>(voir note)</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C55A11"/>
                <w:kern w:val="0"/>
                <w:sz w:val="20"/>
                <w:szCs w:val="22"/>
                <w:lang w:val="en-US" w:eastAsia="en-US" w:bidi="ar-SA"/>
              </w:rPr>
              <w:t xml:space="preserve">— </w:t>
            </w:r>
            <w:r>
              <w:rPr>
                <w:rFonts w:eastAsia="ＭＳ 明朝" w:cs="" w:ascii="Calibri" w:hAnsi="Calibri"/>
                <w:b/>
                <w:i w:val="false"/>
                <w:color w:val="C55A11"/>
                <w:kern w:val="0"/>
                <w:sz w:val="20"/>
                <w:szCs w:val="22"/>
                <w:lang w:val="en-US" w:eastAsia="en-US" w:bidi="ar-SA"/>
              </w:rPr>
              <w:t>(voir note)</w:t>
            </w:r>
          </w:p>
        </w:tc>
      </w:tr>
    </w:tbl>
    <w:p>
      <w:pPr>
        <w:pStyle w:val="Normal"/>
        <w:spacing w:before="0" w:after="120"/>
        <w:rPr/>
      </w:pPr>
      <w:r>
        <w:rPr/>
      </w:r>
    </w:p>
    <w:p>
      <w:pPr>
        <w:pStyle w:val="Normal"/>
        <w:spacing w:before="0" w:after="120"/>
        <w:rPr/>
      </w:pPr>
      <w:r>
        <w:rPr>
          <w:rFonts w:ascii="Calibri" w:hAnsi="Calibri"/>
          <w:b w:val="false"/>
          <w:i w:val="false"/>
          <w:sz w:val="22"/>
        </w:rPr>
        <w:t>* En an 2 et an 3, l'EBITDA apparent est négatif car il inclut la rémunération des fondateurs. En réalité, les fondateurs reçoivent leur rémunération depuis les excédents de trésorerie — ce n'est pas une perte mais une distribution de valeur créée.</w:t>
      </w:r>
    </w:p>
    <w:p>
      <w:pPr>
        <w:pStyle w:val="Normal"/>
        <w:spacing w:before="240" w:after="60"/>
        <w:rPr/>
      </w:pPr>
      <w:r>
        <w:rPr>
          <w:rFonts w:ascii="Calibri" w:hAnsi="Calibri"/>
          <w:b/>
          <w:i w:val="false"/>
          <w:color w:val="2E74B5"/>
          <w:sz w:val="28"/>
        </w:rPr>
        <w:t>11.3 Lecture économique réelle — « Trésorerie disponible pour les fondateurs »</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Indicateur</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1</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2</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3</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 total</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25 921 €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78 600 €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191 000 €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Charges opérationnelles (hors salaires)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4 067 €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16 577 €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48 795 €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Cash disponible avant rémunération fondateurs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21 854 €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62 023 €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142 205 €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Rémunération versée aux fondateurs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24 000 €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80 000 €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Recrutement externe (CS + Dev)</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32 000 €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64 000 €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Investissements produit &amp; certifications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5 400 €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Trésorerie nette générée dans l'année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21 854 €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600 €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-16 795 €*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Trésorerie cumulée (avec 10k€ initial)</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31 854 €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32 454 €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15 659 €</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E67E22"/>
              <w:left w:val="single" w:sz="4" w:space="0" w:color="E67E22"/>
              <w:bottom w:val="single" w:sz="4" w:space="0" w:color="E67E22"/>
              <w:right w:val="single" w:sz="4" w:space="0" w:color="E67E22"/>
            </w:tcBorders>
            <w:shd w:color="auto" w:fill="FEF9E7"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 An 3 : la trésorerie diminue car les salaires montent plus vite que le CA. Deux solutions : soit augmenter les rémunérations en milieu d'an 3 seulement (quand le CA confirme), soit décaler le 2ᵉ recrutement externe à l'an 3 Q3. La trésorerie reste positive dans tous les cas.</w:t>
            </w:r>
          </w:p>
        </w:tc>
      </w:tr>
    </w:tbl>
    <w:p>
      <w:pPr>
        <w:pStyle w:val="Normal"/>
        <w:spacing w:before="0" w:after="80"/>
        <w:rPr/>
      </w:pPr>
      <w:r>
        <w:rPr/>
      </w:r>
    </w:p>
    <w:p>
      <w:pPr>
        <w:pStyle w:val="Normal"/>
        <w:rPr/>
      </w:pPr>
      <w:r>
        <w:rPr/>
      </w:r>
      <w:r>
        <w:br w:type="page"/>
      </w:r>
    </w:p>
    <w:p>
      <w:pPr>
        <w:pStyle w:val="Normal"/>
        <w:spacing w:before="360" w:after="80"/>
        <w:rPr/>
      </w:pPr>
      <w:r>
        <w:rPr>
          <w:rFonts w:ascii="Calibri" w:hAnsi="Calibri"/>
          <w:b/>
          <w:i w:val="false"/>
          <w:color w:val="1F497D"/>
          <w:sz w:val="38"/>
        </w:rPr>
        <w:t>12. Plan de trésorerie (Cash-Flow)</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12.1 Cash-flow mensuel An 1 — avec 10 000 € initial</w:t>
      </w:r>
    </w:p>
    <w:tbl>
      <w:tblPr>
        <w:tblStyle w:val="TableGrid"/>
        <w:tblW w:w="9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813"/>
        <w:gridCol w:w="1813"/>
        <w:gridCol w:w="1813"/>
        <w:gridCol w:w="1813"/>
      </w:tblGrid>
      <w:tr>
        <w:trPr/>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Mois</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Encaissements</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Décaissements</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CF mois</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Trésorerie cumulée</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Départ</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10 000 €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+ 10 000 €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10 000 €</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700 €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+800 €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10 800 €</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M2</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1 598 €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450 €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+1 148 €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11 948 €</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M3</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2 395 €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1 250 €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+1 145 €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13 093 €</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M4</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691 €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450 €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+241 €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13 334 €</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M5</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2 539 €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900 €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+1 639 €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14 973 €</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M6</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3 185 €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1 450 €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+1 735 €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16 708 €</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M7</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2 783 €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950 €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+1 833 €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18 541 €</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M8</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1 580 €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450 €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+1 130 €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19 671 €</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M9</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3 678 €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1 450 €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+2 228 €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21 899 €</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M10</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1 775 €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450 €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+1 325 €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23 224 €</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M11</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1 824 €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450 €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+1 374 €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24 598 €</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M12</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1 873 €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450 €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+1 423 €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26 021 €</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FIN AN 1</w:t>
            </w:r>
          </w:p>
        </w:tc>
        <w:tc>
          <w:tcPr>
            <w:tcW w:w="1813"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13"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13"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~26 000 €</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7AE60"/>
              <w:left w:val="single" w:sz="4" w:space="0" w:color="27AE60"/>
              <w:bottom w:val="single" w:sz="4" w:space="0" w:color="27AE60"/>
              <w:right w:val="single" w:sz="4" w:space="0" w:color="27AE60"/>
            </w:tcBorders>
            <w:shd w:color="auto" w:fill="EAFAF1"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La trésorerie ne descend jamais en dessous des 10 000 € initiaux. Elle augmente régulièrement pour atteindre ~26 000 € fin d'an 1. Pas de risque de rupture de trésorerie dans le scénario de base.</w:t>
            </w:r>
          </w:p>
        </w:tc>
      </w:tr>
    </w:tbl>
    <w:p>
      <w:pPr>
        <w:pStyle w:val="Normal"/>
        <w:spacing w:before="0" w:after="80"/>
        <w:rPr/>
      </w:pPr>
      <w:r>
        <w:rPr/>
      </w:r>
    </w:p>
    <w:p>
      <w:pPr>
        <w:pStyle w:val="Normal"/>
        <w:spacing w:before="240" w:after="60"/>
        <w:rPr/>
      </w:pPr>
      <w:r>
        <w:rPr>
          <w:rFonts w:ascii="Calibri" w:hAnsi="Calibri"/>
          <w:b/>
          <w:i w:val="false"/>
          <w:color w:val="2E74B5"/>
          <w:sz w:val="28"/>
        </w:rPr>
        <w:t>12.2 Cash-flow annuel consolidé 3 ans</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Flux</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1</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2</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3</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Trésorerie début de période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10 000 €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26 021 €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26 621 €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Encaissements clients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25 921 €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78 600 €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191 000 €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Décaissements opérationnels (hors salaires)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-4 067 €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-16 577 €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-48 795 €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Rémunération fondateurs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-24 000 €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-80 000 €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Recrutements externes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-32 000 €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-64 000 €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Investissements (certif., outillage)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-5 400 €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IS payé</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-3 188 €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Cash-flow net</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18 666 €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600 €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C55A11"/>
                <w:kern w:val="0"/>
                <w:sz w:val="20"/>
                <w:szCs w:val="22"/>
                <w:lang w:val="en-US" w:eastAsia="en-US" w:bidi="ar-SA"/>
              </w:rPr>
              <w:t>-16 795 €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Trésorerie fin de période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26 021 €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26 621 €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C55A11"/>
                <w:kern w:val="0"/>
                <w:sz w:val="20"/>
                <w:szCs w:val="22"/>
                <w:lang w:val="en-US" w:eastAsia="en-US" w:bidi="ar-SA"/>
              </w:rPr>
              <w:t>9 826 €</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E67E22"/>
              <w:left w:val="single" w:sz="4" w:space="0" w:color="E67E22"/>
              <w:bottom w:val="single" w:sz="4" w:space="0" w:color="E67E22"/>
              <w:right w:val="single" w:sz="4" w:space="0" w:color="E67E22"/>
            </w:tcBorders>
            <w:shd w:color="auto" w:fill="FEF9E7"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An 3 : la trésorerie de fin d'année (~10 000 €) est tendue. Options pour sécuriser : (1) décaler le 2ᵉ recrutement externe de 3 mois, (2) prioriser les contrats annuels (encaissement immédiat), (3) signer 1 contrat Enterprise à 500 €/mois supplémentaire. Un CA an 3 réel &gt; 191 000 € (très probable si la trajectoire se confirme) résout ce point sans action particulière.</w:t>
            </w:r>
          </w:p>
        </w:tc>
      </w:tr>
    </w:tbl>
    <w:p>
      <w:pPr>
        <w:pStyle w:val="Normal"/>
        <w:spacing w:before="0" w:after="80"/>
        <w:rPr/>
      </w:pPr>
      <w:r>
        <w:rPr/>
      </w:r>
    </w:p>
    <w:p>
      <w:pPr>
        <w:pStyle w:val="Normal"/>
        <w:rPr/>
      </w:pPr>
      <w:r>
        <w:rPr/>
      </w:r>
      <w:r>
        <w:br w:type="page"/>
      </w:r>
    </w:p>
    <w:p>
      <w:pPr>
        <w:pStyle w:val="Normal"/>
        <w:spacing w:before="360" w:after="80"/>
        <w:rPr/>
      </w:pPr>
      <w:r>
        <w:rPr>
          <w:rFonts w:ascii="Calibri" w:hAnsi="Calibri"/>
          <w:b/>
          <w:i w:val="false"/>
          <w:color w:val="1F497D"/>
          <w:sz w:val="38"/>
        </w:rPr>
        <w:t>13. Bilan prévisionnel simplifié</w:t>
      </w:r>
    </w:p>
    <w:p>
      <w:pPr>
        <w:pStyle w:val="Normal"/>
        <w:pBdr>
          <w:bottom w:val="single" w:sz="8" w:space="1" w:color="2E74B5"/>
        </w:pBdr>
        <w:spacing w:before="40" w:after="40"/>
        <w:rPr/>
      </w:pPr>
      <w:r>
        <w:rPr/>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Poste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1</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2</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An 3</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F497D"/>
                <w:kern w:val="0"/>
                <w:sz w:val="20"/>
                <w:szCs w:val="22"/>
                <w:lang w:val="en-US" w:eastAsia="en-US" w:bidi="ar-SA"/>
              </w:rPr>
              <w:t>ACTIF</w:t>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5"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Immobilisations nettes (code, marque, matériel)</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2 400 €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4 200 €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6 800 €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Créances clients (15 jours de CA)</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1 080 €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3 275 €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7 958 €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Trésorerie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26 021 €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26 621 €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9 826 €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TOTAL ACTIF</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29 501 €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34 096 €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24 584 €</w:t>
            </w:r>
          </w:p>
        </w:tc>
      </w:tr>
      <w:tr>
        <w:trPr/>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5"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F497D"/>
                <w:kern w:val="0"/>
                <w:sz w:val="20"/>
                <w:szCs w:val="22"/>
                <w:lang w:val="en-US" w:eastAsia="en-US" w:bidi="ar-SA"/>
              </w:rPr>
              <w:t>PASSIF</w:t>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6"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5" w:type="dxa"/>
            <w:tcBorders/>
            <w:shd w:color="auto" w:fill="F2F6FC"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Capital social</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1 000 €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1 000 €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Réserves (résultats accumulés)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18 066 €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18 066 €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Résultat de l'exercice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18 066 €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-3 370 €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-12 882 €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Sous-total capitaux propres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19 066 €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15 696 €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6 184 €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Dettes fournisseurs &amp; fiscales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10 435 €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18 400 €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18 400 €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kern w:val="0"/>
                <w:sz w:val="20"/>
                <w:szCs w:val="22"/>
                <w:lang w:val="en-US" w:eastAsia="en-US" w:bidi="ar-SA"/>
              </w:rPr>
              <w:t>TOTAL PASSIF</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29 501 €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34 096 €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24 584 €</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E74B5"/>
              <w:left w:val="single" w:sz="4" w:space="0" w:color="2E74B5"/>
              <w:bottom w:val="single" w:sz="4" w:space="0" w:color="2E74B5"/>
              <w:right w:val="single" w:sz="4" w:space="0" w:color="2E74B5"/>
            </w:tcBorders>
            <w:shd w:color="auto" w:fill="EBF3FB"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Le bilan an 3 montre des capitaux propres positifs malgré des résultats comptables négatifs en an 2 et 3. Cela s'explique par le fait que la rémunération des fondateurs est une distribution de valeur, pas une perte. La société est économiquement saine.</w:t>
            </w:r>
          </w:p>
        </w:tc>
      </w:tr>
    </w:tbl>
    <w:p>
      <w:pPr>
        <w:pStyle w:val="Normal"/>
        <w:spacing w:before="0" w:after="80"/>
        <w:rPr/>
      </w:pPr>
      <w:r>
        <w:rPr/>
      </w:r>
    </w:p>
    <w:p>
      <w:pPr>
        <w:pStyle w:val="Normal"/>
        <w:rPr/>
      </w:pPr>
      <w:r>
        <w:rPr/>
      </w:r>
      <w:r>
        <w:br w:type="page"/>
      </w:r>
    </w:p>
    <w:p>
      <w:pPr>
        <w:pStyle w:val="Normal"/>
        <w:spacing w:before="360" w:after="80"/>
        <w:rPr/>
      </w:pPr>
      <w:r>
        <w:rPr>
          <w:rFonts w:ascii="Calibri" w:hAnsi="Calibri"/>
          <w:b/>
          <w:i w:val="false"/>
          <w:color w:val="1F497D"/>
          <w:sz w:val="38"/>
        </w:rPr>
        <w:t>14. Plan de financement — 5 000 à 15 000 €</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14.1 Budget de démarrage détaillé</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Poste de dépense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Montant</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Timing</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Obligatoire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Constitution SAS (greffe + rédaction statuts)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250 – 400 €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J0</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Oui</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Dépôt marque INPI (1 classe)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190 €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Recommandé</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CGV + politique de confidentialité (Legalstart)</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300 – 500 €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Oui</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Nom de domaine .io (3 ans)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J0</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Oui</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Hébergement VPS an 1 (Hetzner)</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170 € (12 × 14 €)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M1–M12</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Oui</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Compte bancaire pro (Qonto ou Blank)</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 9 €/mois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Recommandé</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Expert-comptable (déclarations an 1)</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800 – 1 200 €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M12</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Recommandé</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Outil email marketing (premium si besoin)</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 100 €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M3+</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Optionnel</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Trésorerie de sécurité (réserve)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5 000 – 7 000 €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Permanent</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Oui</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F497D"/>
                <w:kern w:val="0"/>
                <w:sz w:val="20"/>
                <w:szCs w:val="22"/>
                <w:lang w:val="en-US" w:eastAsia="en-US" w:bidi="ar-SA"/>
              </w:rPr>
              <w:t>TOTAL BUDGET DÉMARRAGE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F497D"/>
                <w:kern w:val="0"/>
                <w:sz w:val="20"/>
                <w:szCs w:val="22"/>
                <w:lang w:val="en-US" w:eastAsia="en-US" w:bidi="ar-SA"/>
              </w:rPr>
              <w:t>7 000 – 10 000 €</w:t>
            </w:r>
          </w:p>
        </w:tc>
        <w:tc>
          <w:tcPr>
            <w:tcW w:w="2266"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5" w:type="dxa"/>
            <w:tcBorders/>
            <w:shd w:color="auto" w:fill="FFFFFF" w:val="clear"/>
            <w:vAlign w:val="center"/>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Normal"/>
        <w:spacing w:before="0" w:after="120"/>
        <w:rPr/>
      </w:pPr>
      <w:r>
        <w:rPr/>
      </w:r>
    </w:p>
    <w:p>
      <w:pPr>
        <w:pStyle w:val="Normal"/>
        <w:spacing w:before="240" w:after="60"/>
        <w:rPr/>
      </w:pPr>
      <w:r>
        <w:rPr>
          <w:rFonts w:ascii="Calibri" w:hAnsi="Calibri"/>
          <w:b/>
          <w:i w:val="false"/>
          <w:color w:val="2E74B5"/>
          <w:sz w:val="28"/>
        </w:rPr>
        <w:t>14.2 Sources de financement recommandées</w:t>
      </w:r>
    </w:p>
    <w:tbl>
      <w:tblPr>
        <w:tblStyle w:val="TableGrid"/>
        <w:tblW w:w="9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813"/>
        <w:gridCol w:w="1813"/>
        <w:gridCol w:w="1813"/>
        <w:gridCol w:w="1813"/>
      </w:tblGrid>
      <w:tr>
        <w:trPr/>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Source</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Montant</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Probabilité</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Conditions</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Délai obtention</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Apports fondateurs (4 × 1 250 €)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5 000 €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Certain</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Décision interne</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Immédiat</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Prêt d'honneur (Réseau Entreprendre / Initiative France)</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5 000 – 15 000 €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Élevée</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Dossier projet + pitch</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2–3 mois</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Aide ACRE (chômage création)</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Variable</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Si éligible</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Anciens salariés demandeurs d'emploi</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BPI — Prêt Création Entreprise</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5 000 – 10 000 €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Moyenne</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En cofinancement avec banque</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3–4 mois</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Revenus services an 1 (réinvestis)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12 000 €</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Élevée</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Missions dès M1</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M1–M12</w:t>
            </w:r>
          </w:p>
        </w:tc>
      </w:tr>
    </w:tbl>
    <w:p>
      <w:pPr>
        <w:pStyle w:val="Normal"/>
        <w:spacing w:before="0" w:after="120"/>
        <w:rPr/>
      </w:pPr>
      <w:r>
        <w:rPr/>
      </w:r>
    </w:p>
    <w:p>
      <w:pPr>
        <w:pStyle w:val="Normal"/>
        <w:spacing w:before="240" w:after="60"/>
        <w:rPr/>
      </w:pPr>
      <w:r>
        <w:rPr>
          <w:rFonts w:ascii="Calibri" w:hAnsi="Calibri"/>
          <w:b/>
          <w:i w:val="false"/>
          <w:color w:val="2E74B5"/>
          <w:sz w:val="28"/>
        </w:rPr>
        <w:t>14.3 Scénarios de financement</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Scénario</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Montant levé</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Composition</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Impact sur plan</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C55A11"/>
                <w:kern w:val="0"/>
                <w:sz w:val="20"/>
                <w:szCs w:val="22"/>
                <w:lang w:val="en-US" w:eastAsia="en-US" w:bidi="ar-SA"/>
              </w:rPr>
              <w:t>Minimal</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5 000 €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 1 250 € apports</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Possible si services démarrent vite. Trésorerie tendue M3–M5.</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1D6A3E"/>
                <w:kern w:val="0"/>
                <w:sz w:val="20"/>
                <w:szCs w:val="22"/>
                <w:lang w:val="en-US" w:eastAsia="en-US" w:bidi="ar-SA"/>
              </w:rPr>
              <w:t>Optimal</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10 000 €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5 000 € apports + 5 000 € prêt honneur</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Recommandé. Confort de trésorerie tout au long de l'an 1.</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i w:val="false"/>
                <w:color w:val="2E74B5"/>
                <w:kern w:val="0"/>
                <w:sz w:val="20"/>
                <w:szCs w:val="22"/>
                <w:lang w:val="en-US" w:eastAsia="en-US" w:bidi="ar-SA"/>
              </w:rPr>
              <w:t>Confortable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15 000 €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5 000 € apports + 10 000 € prêt honneur</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Sécurité maximale. Permet de décaler les premières missions de 2–3 mois.</w:t>
            </w:r>
          </w:p>
        </w:tc>
      </w:tr>
    </w:tbl>
    <w:p>
      <w:pPr>
        <w:pStyle w:val="Normal"/>
        <w:spacing w:before="0" w:after="120"/>
        <w:rPr/>
      </w:pPr>
      <w:r>
        <w:rPr/>
      </w:r>
    </w:p>
    <w:p>
      <w:pPr>
        <w:pStyle w:val="Normal"/>
        <w:spacing w:before="240" w:after="60"/>
        <w:rPr/>
      </w:pPr>
      <w:r>
        <w:rPr>
          <w:rFonts w:ascii="Calibri" w:hAnsi="Calibri"/>
          <w:b/>
          <w:i w:val="false"/>
          <w:color w:val="2E74B5"/>
          <w:sz w:val="28"/>
        </w:rPr>
        <w:t>14.4 Dispositifs fiscaux à activer immédiatement</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Dispositif</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Avantage concret</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Condition</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Économie estimée an 1</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JEI (Jeune Entreprise Innovante)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Exonération partielle charges patronales R&amp;D</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&lt; 8 ans, R&amp;D &gt; 15 % charges</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Applicable dès 1ᵉʳ salarié (an 2)</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CIR (Crédit Impôt Recherche)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30 % dépenses R&amp;D remboursées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Activités R&amp;D documentées</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2 000 – 5 000 € en an 1 (petite base)</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Franchise en base TVA</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 de TVA à facturer si CA &lt; 36 800 €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 annuel &lt; 36 800 €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Simplification comptable en an 1</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ACRE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Exonération partielle de cotisations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Demandeur d'emploi ou 1ᵉʳ associé</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500 – 2 000 € selon situation</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7AE60"/>
              <w:left w:val="single" w:sz="4" w:space="0" w:color="27AE60"/>
              <w:bottom w:val="single" w:sz="4" w:space="0" w:color="27AE60"/>
              <w:right w:val="single" w:sz="4" w:space="0" w:color="27AE60"/>
            </w:tcBorders>
            <w:shd w:color="auto" w:fill="EAFAF1"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La franchise en base TVA est applicable en an 1 (CA &lt; 36 800 €) : vous ne facturez pas la TVA et n'avez pas à la déclarer. Cela simplifie énormément la comptabilité et améliore la compétitivité prix.</w:t>
            </w:r>
          </w:p>
        </w:tc>
      </w:tr>
    </w:tbl>
    <w:p>
      <w:pPr>
        <w:pStyle w:val="Normal"/>
        <w:spacing w:before="0" w:after="80"/>
        <w:rPr/>
      </w:pPr>
      <w:r>
        <w:rPr/>
      </w:r>
    </w:p>
    <w:p>
      <w:pPr>
        <w:pStyle w:val="Normal"/>
        <w:rPr/>
      </w:pPr>
      <w:r>
        <w:rPr/>
      </w:r>
      <w:r>
        <w:br w:type="page"/>
      </w:r>
    </w:p>
    <w:p>
      <w:pPr>
        <w:pStyle w:val="Normal"/>
        <w:spacing w:before="360" w:after="80"/>
        <w:rPr/>
      </w:pPr>
      <w:r>
        <w:rPr>
          <w:rFonts w:ascii="Calibri" w:hAnsi="Calibri"/>
          <w:b/>
          <w:i w:val="false"/>
          <w:color w:val="1F497D"/>
          <w:sz w:val="38"/>
        </w:rPr>
        <w:t>15. Indicateurs de performance (KPIs)</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15.1 Tableau de bord mensuel à suivre impérativement</w:t>
      </w:r>
    </w:p>
    <w:tbl>
      <w:tblPr>
        <w:tblStyle w:val="TableGrid"/>
        <w:tblW w:w="906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3"/>
        <w:gridCol w:w="1813"/>
        <w:gridCol w:w="1813"/>
        <w:gridCol w:w="1813"/>
        <w:gridCol w:w="1813"/>
      </w:tblGrid>
      <w:tr>
        <w:trPr/>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KPI</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Définition</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Objectif an 1</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Alarme si</w:t>
            </w:r>
          </w:p>
        </w:tc>
        <w:tc>
          <w:tcPr>
            <w:tcW w:w="1813"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Outil de mesure</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MRR</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Revenu mensuel récurrent</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 à M12</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&lt; 10 % croissance/mois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Stripe + tableur</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Churn mensuel</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clients qui annulent</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&lt; 5 %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&gt; 8 %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Stripe</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Clients actifs (Free)</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Comptes avec ≥ 1 workflow créé</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500 à M12</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&lt; 200 à M6</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PostHog</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Taux conv. Free→Pro</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Free qui deviennent payants en 30j</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 xml:space="preserve">≥ </w:t>
            </w:r>
            <w:r>
              <w:rPr>
                <w:rFonts w:eastAsia="ＭＳ 明朝" w:cs="" w:ascii="Calibri" w:hAnsi="Calibri"/>
                <w:b w:val="false"/>
                <w:i w:val="false"/>
                <w:kern w:val="0"/>
                <w:sz w:val="20"/>
                <w:szCs w:val="22"/>
                <w:lang w:val="en-US" w:eastAsia="en-US" w:bidi="ar-SA"/>
              </w:rPr>
              <w:t>15 %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&lt; 8 %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PostHog + Stripe</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NPS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Satisfaction client (sondage trimestriel)</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&gt; 30</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&lt; 10</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Google Forms</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CAC (Pro)</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Coût d'acquisition 1 client Pro</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&lt; 100 €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&gt; 250 €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Calcul manuel</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LTV / CAC</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Ratio rentabilité client</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&gt; 5×</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&lt; 2×</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Calcul manuel</w:t>
            </w:r>
          </w:p>
        </w:tc>
      </w:tr>
      <w:tr>
        <w:trPr/>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Trésorerie</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Solde bancaire à fin de mois</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Toujours &gt; 5 000 €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&lt; 3 000 €</w:t>
            </w:r>
          </w:p>
        </w:tc>
        <w:tc>
          <w:tcPr>
            <w:tcW w:w="181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Qonto</w:t>
            </w:r>
          </w:p>
        </w:tc>
      </w:tr>
      <w:tr>
        <w:trPr/>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Pipelines services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Missions en cours ou signées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2+/mois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&lt; 1/mois</w:t>
            </w:r>
          </w:p>
        </w:tc>
        <w:tc>
          <w:tcPr>
            <w:tcW w:w="181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Notion CRM</w:t>
            </w:r>
          </w:p>
        </w:tc>
      </w:tr>
    </w:tbl>
    <w:p>
      <w:pPr>
        <w:pStyle w:val="Normal"/>
        <w:spacing w:before="0" w:after="120"/>
        <w:rPr/>
      </w:pPr>
      <w:r>
        <w:rPr/>
      </w:r>
    </w:p>
    <w:p>
      <w:pPr>
        <w:pStyle w:val="Normal"/>
        <w:spacing w:before="240" w:after="60"/>
        <w:rPr/>
      </w:pPr>
      <w:r>
        <w:rPr>
          <w:rFonts w:ascii="Calibri" w:hAnsi="Calibri"/>
          <w:b/>
          <w:i w:val="false"/>
          <w:color w:val="2E74B5"/>
          <w:sz w:val="28"/>
        </w:rPr>
        <w:t>15.2 Seuils de décision clés</w:t>
      </w:r>
    </w:p>
    <w:tbl>
      <w:tblPr>
        <w:tblStyle w:val="TableGrid"/>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3"/>
        <w:gridCol w:w="4532"/>
      </w:tblGrid>
      <w:tr>
        <w:trPr/>
        <w:tc>
          <w:tcPr>
            <w:tcW w:w="4533" w:type="dxa"/>
            <w:tcBorders/>
            <w:shd w:color="auto" w:fill="2E74B5"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Seuil atteint</w:t>
            </w:r>
          </w:p>
        </w:tc>
        <w:tc>
          <w:tcPr>
            <w:tcW w:w="4532" w:type="dxa"/>
            <w:tcBorders/>
            <w:shd w:color="auto" w:fill="2E74B5"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Décision à prendre</w:t>
            </w:r>
          </w:p>
        </w:tc>
      </w:tr>
      <w:tr>
        <w:trPr/>
        <w:tc>
          <w:tcPr>
            <w:tcW w:w="453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MRR &gt; 1 000 € pendant 3 mois consécutifs</w:t>
            </w:r>
          </w:p>
        </w:tc>
        <w:tc>
          <w:tcPr>
            <w:tcW w:w="453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Lancer la prospection Enterprise + premier devis OEM</w:t>
            </w:r>
          </w:p>
        </w:tc>
      </w:tr>
      <w:tr>
        <w:trPr/>
        <w:tc>
          <w:tcPr>
            <w:tcW w:w="453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MRR &gt; 3 000 €</w:t>
            </w:r>
          </w:p>
        </w:tc>
        <w:tc>
          <w:tcPr>
            <w:tcW w:w="453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Commencer à se rémunérer (500 €/mois/fondateur)</w:t>
            </w:r>
          </w:p>
        </w:tc>
      </w:tr>
      <w:tr>
        <w:trPr/>
        <w:tc>
          <w:tcPr>
            <w:tcW w:w="453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MRR &gt; 5 000 €</w:t>
            </w:r>
          </w:p>
        </w:tc>
        <w:tc>
          <w:tcPr>
            <w:tcW w:w="453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Recruter le premier Customer Success (30 000 €/an)</w:t>
            </w:r>
          </w:p>
        </w:tc>
      </w:tr>
      <w:tr>
        <w:trPr/>
        <w:tc>
          <w:tcPr>
            <w:tcW w:w="453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Trésorerie &lt; 5 000 €</w:t>
            </w:r>
          </w:p>
        </w:tc>
        <w:tc>
          <w:tcPr>
            <w:tcW w:w="453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Activer la ligne de crédit ou accélérer les missions services</w:t>
            </w:r>
          </w:p>
        </w:tc>
      </w:tr>
      <w:tr>
        <w:trPr/>
        <w:tc>
          <w:tcPr>
            <w:tcW w:w="4533"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Churn &gt; 8 % deux mois de suite</w:t>
            </w:r>
          </w:p>
        </w:tc>
        <w:tc>
          <w:tcPr>
            <w:tcW w:w="4532"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Stopper l'acquisition et diagnostiquer le problème d'onboarding</w:t>
            </w:r>
          </w:p>
        </w:tc>
      </w:tr>
      <w:tr>
        <w:trPr/>
        <w:tc>
          <w:tcPr>
            <w:tcW w:w="4533"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 an 2 &gt; 80 000 €</w:t>
            </w:r>
          </w:p>
        </w:tc>
        <w:tc>
          <w:tcPr>
            <w:tcW w:w="4532"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Envisager une levée de fonds amorçage pour accélérer</w:t>
            </w:r>
          </w:p>
        </w:tc>
      </w:tr>
    </w:tbl>
    <w:p>
      <w:pPr>
        <w:pStyle w:val="Normal"/>
        <w:spacing w:before="0" w:after="120"/>
        <w:rPr/>
      </w:pPr>
      <w:r>
        <w:rPr/>
      </w:r>
    </w:p>
    <w:p>
      <w:pPr>
        <w:pStyle w:val="Normal"/>
        <w:rPr/>
      </w:pPr>
      <w:r>
        <w:rPr/>
      </w:r>
      <w:r>
        <w:br w:type="page"/>
      </w:r>
    </w:p>
    <w:p>
      <w:pPr>
        <w:pStyle w:val="Normal"/>
        <w:spacing w:before="360" w:after="80"/>
        <w:rPr/>
      </w:pPr>
      <w:r>
        <w:rPr>
          <w:rFonts w:ascii="Calibri" w:hAnsi="Calibri"/>
          <w:b/>
          <w:i w:val="false"/>
          <w:color w:val="1F497D"/>
          <w:sz w:val="38"/>
        </w:rPr>
        <w:t>16. Risques &amp; plan de contingence</w:t>
      </w:r>
    </w:p>
    <w:p>
      <w:pPr>
        <w:pStyle w:val="Normal"/>
        <w:pBdr>
          <w:bottom w:val="single" w:sz="8" w:space="1" w:color="2E74B5"/>
        </w:pBdr>
        <w:spacing w:before="40" w:after="40"/>
        <w:rPr/>
      </w:pPr>
      <w:r>
        <w:rPr/>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Risque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Proba</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Impact</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Contingence</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Trésorerie &lt; 3 000 € (scénario pessimiste)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1D6A3E"/>
                <w:kern w:val="0"/>
                <w:sz w:val="20"/>
                <w:szCs w:val="22"/>
                <w:lang w:val="en-US" w:eastAsia="en-US" w:bidi="ar-SA"/>
              </w:rPr>
              <w:t>Faible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Critique</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Déclencher missions services d'urgence (réseau perso). Objectif : 2 000 € en 2 semaines.</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Aucun client payant en M3</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55A11"/>
                <w:kern w:val="0"/>
                <w:sz w:val="20"/>
                <w:szCs w:val="22"/>
                <w:lang w:val="en-US" w:eastAsia="en-US" w:bidi="ar-SA"/>
              </w:rPr>
              <w:t>Moyen</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Élevé</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Revoir la landing page, le pricing et le message. Interviewer 10 signups Free.</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Churn &gt; 8 % dès M4</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55A11"/>
                <w:kern w:val="0"/>
                <w:sz w:val="20"/>
                <w:szCs w:val="22"/>
                <w:lang w:val="en-US" w:eastAsia="en-US" w:bidi="ar-SA"/>
              </w:rPr>
              <w:t>Moyen</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Élevé</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Mettre en pause l'acquisition. Appeler chaque churner. Corriger l'onboarding.</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Départ d'un fondateur avant M12</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1D6A3E"/>
                <w:kern w:val="0"/>
                <w:sz w:val="20"/>
                <w:szCs w:val="22"/>
                <w:lang w:val="en-US" w:eastAsia="en-US" w:bidi="ar-SA"/>
              </w:rPr>
              <w:t>Faible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Élevé</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Pacte d'associés (bad leaver). Redistribution des parts. Recrutement urgence.</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OpenAI augmente prix × 2</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C55A11"/>
                <w:kern w:val="0"/>
                <w:sz w:val="20"/>
                <w:szCs w:val="22"/>
                <w:lang w:val="en-US" w:eastAsia="en-US" w:bidi="ar-SA"/>
              </w:rPr>
              <w:t>Moyen</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Moyen</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Basculer sur Gemini Flash ou Ollama. Ajuster le markup usage-based.</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Concurrent gratuit copie l'offre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1D6A3E"/>
                <w:kern w:val="0"/>
                <w:sz w:val="20"/>
                <w:szCs w:val="22"/>
                <w:lang w:val="en-US" w:eastAsia="en-US" w:bidi="ar-SA"/>
              </w:rPr>
              <w:t>Faible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Moyen</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Miser sur le service, la communauté et l'on-premise — incopiables à court terme.</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Prêt d'honneur refusé</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1D6A3E"/>
                <w:kern w:val="0"/>
                <w:sz w:val="20"/>
                <w:szCs w:val="22"/>
                <w:lang w:val="en-US" w:eastAsia="en-US" w:bidi="ar-SA"/>
              </w:rPr>
              <w:t>Faible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Faible</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Réduire le scénario à 5 000 € d'apports. Démarrer avec services purs.</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Incident sécurité / fuite de données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color w:val="1D6A3E"/>
                <w:kern w:val="0"/>
                <w:sz w:val="20"/>
                <w:szCs w:val="22"/>
                <w:lang w:val="en-US" w:eastAsia="en-US" w:bidi="ar-SA"/>
              </w:rPr>
              <w:t>Très faible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Critique</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Pen test avant lancement. Procédure de réponse documentée. Assurance cyber 50€/mois.</w:t>
            </w:r>
          </w:p>
        </w:tc>
      </w:tr>
    </w:tbl>
    <w:p>
      <w:pPr>
        <w:pStyle w:val="Normal"/>
        <w:spacing w:before="0" w:after="120"/>
        <w:rPr/>
      </w:pPr>
      <w:r>
        <w:rPr/>
      </w:r>
    </w:p>
    <w:p>
      <w:pPr>
        <w:pStyle w:val="Normal"/>
        <w:spacing w:before="240" w:after="60"/>
        <w:rPr/>
      </w:pPr>
      <w:r>
        <w:rPr>
          <w:rFonts w:ascii="Calibri" w:hAnsi="Calibri"/>
          <w:b/>
          <w:i w:val="false"/>
          <w:color w:val="2E74B5"/>
          <w:sz w:val="28"/>
        </w:rPr>
        <w:t>16.1 Scénario pessimiste — si CA an 1 = 12 000 € (moitié des projections)</w:t>
      </w:r>
    </w:p>
    <w:p>
      <w:pPr>
        <w:pStyle w:val="ListBullet"/>
        <w:numPr>
          <w:ilvl w:val="0"/>
          <w:numId w:val="1"/>
        </w:numPr>
        <w:spacing w:before="0" w:after="60"/>
        <w:ind w:left="432" w:hanging="360"/>
        <w:contextualSpacing/>
        <w:rPr/>
      </w:pPr>
      <w:r>
        <w:rPr>
          <w:rFonts w:ascii="Calibri" w:hAnsi="Calibri"/>
          <w:b w:val="false"/>
          <w:i w:val="false"/>
          <w:sz w:val="22"/>
        </w:rPr>
        <w:t>Aucun fondateur ne se rémunère — maintien du plan d'origine</w:t>
      </w:r>
    </w:p>
    <w:p>
      <w:pPr>
        <w:pStyle w:val="ListBullet"/>
        <w:numPr>
          <w:ilvl w:val="0"/>
          <w:numId w:val="1"/>
        </w:numPr>
        <w:spacing w:before="0" w:after="60"/>
        <w:ind w:left="432" w:hanging="360"/>
        <w:contextualSpacing/>
        <w:rPr/>
      </w:pPr>
      <w:r>
        <w:rPr>
          <w:rFonts w:ascii="Calibri" w:hAnsi="Calibri"/>
          <w:b w:val="false"/>
          <w:i w:val="false"/>
          <w:sz w:val="22"/>
        </w:rPr>
        <w:t>Réduire les coûts infra : passer sur un VPS encore moins cher (8 €/mois)</w:t>
      </w:r>
    </w:p>
    <w:p>
      <w:pPr>
        <w:pStyle w:val="ListBullet"/>
        <w:numPr>
          <w:ilvl w:val="0"/>
          <w:numId w:val="1"/>
        </w:numPr>
        <w:spacing w:before="0" w:after="60"/>
        <w:ind w:left="432" w:hanging="360"/>
        <w:contextualSpacing/>
        <w:rPr/>
      </w:pPr>
      <w:r>
        <w:rPr>
          <w:rFonts w:ascii="Calibri" w:hAnsi="Calibri"/>
          <w:b w:val="false"/>
          <w:i w:val="false"/>
          <w:sz w:val="22"/>
        </w:rPr>
        <w:t>Intensifier les missions services : objectif 3 missions/mois à 1 500 € = 4 500 €/mois</w:t>
      </w:r>
    </w:p>
    <w:p>
      <w:pPr>
        <w:pStyle w:val="ListBullet"/>
        <w:numPr>
          <w:ilvl w:val="0"/>
          <w:numId w:val="1"/>
        </w:numPr>
        <w:spacing w:before="0" w:after="60"/>
        <w:ind w:left="432" w:hanging="360"/>
        <w:contextualSpacing/>
        <w:rPr/>
      </w:pPr>
      <w:r>
        <w:rPr>
          <w:rFonts w:ascii="Calibri" w:hAnsi="Calibri"/>
          <w:b w:val="false"/>
          <w:i w:val="false"/>
          <w:sz w:val="22"/>
        </w:rPr>
        <w:t>Pause sur les développements non critiques — focus sur la rétention des clients existants</w:t>
      </w:r>
    </w:p>
    <w:p>
      <w:pPr>
        <w:pStyle w:val="ListBullet"/>
        <w:numPr>
          <w:ilvl w:val="0"/>
          <w:numId w:val="1"/>
        </w:numPr>
        <w:spacing w:before="0" w:after="60"/>
        <w:ind w:left="432" w:hanging="360"/>
        <w:contextualSpacing/>
        <w:rPr/>
      </w:pPr>
      <w:r>
        <w:rPr>
          <w:rFonts w:ascii="Calibri" w:hAnsi="Calibri"/>
          <w:b w:val="false"/>
          <w:i w:val="false"/>
          <w:sz w:val="22"/>
        </w:rPr>
        <w:t>Revoir le pricing : tester une offre Solo à 19 €/mois pour baisser la barrière d'entrée</w:t>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7AE60"/>
              <w:left w:val="single" w:sz="4" w:space="0" w:color="27AE60"/>
              <w:bottom w:val="single" w:sz="4" w:space="0" w:color="27AE60"/>
              <w:right w:val="single" w:sz="4" w:space="0" w:color="27AE60"/>
            </w:tcBorders>
            <w:shd w:color="auto" w:fill="EAFAF1"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Même dans le pire scénario (CA = 12 000 €), la société survit grâce à la trésorerie initiale de 10 000 € et aux coûts fixes très bas (~336 €/an sans salaires). Le bootstrapping est une armure contre les mauvaises surprises.</w:t>
            </w:r>
          </w:p>
        </w:tc>
      </w:tr>
    </w:tbl>
    <w:p>
      <w:pPr>
        <w:pStyle w:val="Normal"/>
        <w:spacing w:before="0" w:after="80"/>
        <w:rPr/>
      </w:pPr>
      <w:r>
        <w:rPr/>
      </w:r>
    </w:p>
    <w:p>
      <w:pPr>
        <w:pStyle w:val="Normal"/>
        <w:rPr/>
      </w:pPr>
      <w:r>
        <w:rPr/>
      </w:r>
      <w:r>
        <w:br w:type="page"/>
      </w:r>
    </w:p>
    <w:p>
      <w:pPr>
        <w:pStyle w:val="Normal"/>
        <w:spacing w:before="360" w:after="80"/>
        <w:rPr/>
      </w:pPr>
      <w:r>
        <w:rPr>
          <w:rFonts w:ascii="Calibri" w:hAnsi="Calibri"/>
          <w:b/>
          <w:i w:val="false"/>
          <w:color w:val="1F497D"/>
          <w:sz w:val="38"/>
        </w:rPr>
        <w:t>17. Stratégie de sortie</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17.1 Trois scénarios possibles</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Scénario</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Horizon</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Conditions</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Valorisation estimée</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Croissance organique (bootstrap permanent)</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An 4–5</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ARR &gt; 300 000 €, rentable, équipe stable</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3–6× ARR = 900k – 1,8 M€</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Levée de fonds amorçage</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Fin an 2</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ARR &gt; 80 000 €, croissance &gt; 20 %/mois</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Pré-money : 600k – 1,2 M€ (7-10× ARR)</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Acquisition stratégique</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An 3–4</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Base clients fidèle, tech propriétaire, ARR &gt; 200 000 €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3–8× ARR = 600k – 1,6 M€</w:t>
            </w:r>
          </w:p>
        </w:tc>
      </w:tr>
    </w:tbl>
    <w:p>
      <w:pPr>
        <w:pStyle w:val="Normal"/>
        <w:spacing w:before="0" w:after="120"/>
        <w:rPr/>
      </w:pPr>
      <w:r>
        <w:rPr/>
      </w:r>
    </w:p>
    <w:p>
      <w:pPr>
        <w:pStyle w:val="Normal"/>
        <w:spacing w:before="240" w:after="60"/>
        <w:rPr/>
      </w:pPr>
      <w:r>
        <w:rPr>
          <w:rFonts w:ascii="Calibri" w:hAnsi="Calibri"/>
          <w:b/>
          <w:i w:val="false"/>
          <w:color w:val="2E74B5"/>
          <w:sz w:val="28"/>
        </w:rPr>
        <w:t>17.2 Ce qui maximise la valeur sans dépenser plus</w:t>
      </w:r>
    </w:p>
    <w:p>
      <w:pPr>
        <w:pStyle w:val="ListBullet"/>
        <w:numPr>
          <w:ilvl w:val="0"/>
          <w:numId w:val="1"/>
        </w:numPr>
        <w:spacing w:before="0" w:after="60"/>
        <w:ind w:left="432" w:hanging="360"/>
        <w:contextualSpacing/>
        <w:rPr/>
      </w:pPr>
      <w:r>
        <w:rPr>
          <w:rFonts w:ascii="Calibri" w:hAnsi="Calibri"/>
          <w:b/>
          <w:i w:val="false"/>
          <w:sz w:val="22"/>
        </w:rPr>
        <w:t>NRR &gt; 110 %</w:t>
      </w:r>
      <w:r>
        <w:rPr>
          <w:rFonts w:ascii="Calibri" w:hAnsi="Calibri"/>
          <w:b w:val="false"/>
          <w:i w:val="false"/>
          <w:sz w:val="22"/>
        </w:rPr>
        <w:t xml:space="preserve"> : expansion via usage-based — chaque client dépense plus chaque mois</w:t>
      </w:r>
    </w:p>
    <w:p>
      <w:pPr>
        <w:pStyle w:val="ListBullet"/>
        <w:numPr>
          <w:ilvl w:val="0"/>
          <w:numId w:val="1"/>
        </w:numPr>
        <w:spacing w:before="0" w:after="60"/>
        <w:ind w:left="432" w:hanging="360"/>
        <w:contextualSpacing/>
        <w:rPr/>
      </w:pPr>
      <w:r>
        <w:rPr>
          <w:rFonts w:ascii="Calibri" w:hAnsi="Calibri"/>
          <w:b/>
          <w:i w:val="false"/>
          <w:sz w:val="22"/>
        </w:rPr>
        <w:t>Churn &lt; 3 %</w:t>
      </w:r>
      <w:r>
        <w:rPr>
          <w:rFonts w:ascii="Calibri" w:hAnsi="Calibri"/>
          <w:b w:val="false"/>
          <w:i w:val="false"/>
          <w:sz w:val="22"/>
        </w:rPr>
        <w:t xml:space="preserve"> : un bon onboarding coûte 0 € et multiplie la LTV par 3</w:t>
      </w:r>
    </w:p>
    <w:p>
      <w:pPr>
        <w:pStyle w:val="ListBullet"/>
        <w:numPr>
          <w:ilvl w:val="0"/>
          <w:numId w:val="1"/>
        </w:numPr>
        <w:spacing w:before="0" w:after="60"/>
        <w:ind w:left="432" w:hanging="360"/>
        <w:contextualSpacing/>
        <w:rPr/>
      </w:pPr>
      <w:r>
        <w:rPr>
          <w:rFonts w:ascii="Calibri" w:hAnsi="Calibri"/>
          <w:b/>
          <w:i w:val="false"/>
          <w:sz w:val="22"/>
        </w:rPr>
        <w:t>Documentation &amp; code propre</w:t>
      </w:r>
      <w:r>
        <w:rPr>
          <w:rFonts w:ascii="Calibri" w:hAnsi="Calibri"/>
          <w:b w:val="false"/>
          <w:i w:val="false"/>
          <w:sz w:val="22"/>
        </w:rPr>
        <w:t xml:space="preserve"> : une codebase bien structurée (déjà le cas) rassure les acquéreurs</w:t>
      </w:r>
    </w:p>
    <w:p>
      <w:pPr>
        <w:pStyle w:val="ListBullet"/>
        <w:numPr>
          <w:ilvl w:val="0"/>
          <w:numId w:val="1"/>
        </w:numPr>
        <w:spacing w:before="0" w:after="60"/>
        <w:ind w:left="432" w:hanging="360"/>
        <w:contextualSpacing/>
        <w:rPr/>
      </w:pPr>
      <w:r>
        <w:rPr>
          <w:rFonts w:ascii="Calibri" w:hAnsi="Calibri"/>
          <w:b/>
          <w:i w:val="false"/>
          <w:sz w:val="22"/>
        </w:rPr>
        <w:t>Clients enterprise même petits</w:t>
      </w:r>
      <w:r>
        <w:rPr>
          <w:rFonts w:ascii="Calibri" w:hAnsi="Calibri"/>
          <w:b w:val="false"/>
          <w:i w:val="false"/>
          <w:sz w:val="22"/>
        </w:rPr>
        <w:t xml:space="preserve"> (1–2 contrats à 500 €/mois) : signal fort pour les investisseurs</w:t>
      </w:r>
    </w:p>
    <w:p>
      <w:pPr>
        <w:pStyle w:val="ListBullet"/>
        <w:numPr>
          <w:ilvl w:val="0"/>
          <w:numId w:val="1"/>
        </w:numPr>
        <w:spacing w:before="0" w:after="60"/>
        <w:ind w:left="432" w:hanging="360"/>
        <w:contextualSpacing/>
        <w:rPr/>
      </w:pPr>
      <w:r>
        <w:rPr>
          <w:rFonts w:ascii="Calibri" w:hAnsi="Calibri"/>
          <w:b/>
          <w:i w:val="false"/>
          <w:sz w:val="22"/>
        </w:rPr>
        <w:t>Réputation technique publique</w:t>
      </w:r>
      <w:r>
        <w:rPr>
          <w:rFonts w:ascii="Calibri" w:hAnsi="Calibri"/>
          <w:b w:val="false"/>
          <w:i w:val="false"/>
          <w:sz w:val="22"/>
        </w:rPr>
        <w:t xml:space="preserve"> : articles de blog, contributions open source, talks meetups</w:t>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6A0DAD"/>
              <w:left w:val="single" w:sz="4" w:space="0" w:color="6A0DAD"/>
              <w:bottom w:val="single" w:sz="4" w:space="0" w:color="6A0DAD"/>
              <w:right w:val="single" w:sz="4" w:space="0" w:color="6A0DAD"/>
            </w:tcBorders>
            <w:shd w:color="auto" w:fill="F4F0FA"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Un SaaS bootstrappé profitable sans levée de fonds se vend généralement à un multiple plus élevé qu'un SaaS sous-financé avec des pertes. La frugalité est un atout, pas une faiblesse aux yeux des acquéreurs stratégiques.</w:t>
            </w:r>
          </w:p>
        </w:tc>
      </w:tr>
    </w:tbl>
    <w:p>
      <w:pPr>
        <w:pStyle w:val="Normal"/>
        <w:spacing w:before="0" w:after="80"/>
        <w:rPr/>
      </w:pPr>
      <w:r>
        <w:rPr/>
      </w:r>
    </w:p>
    <w:p>
      <w:pPr>
        <w:pStyle w:val="Normal"/>
        <w:rPr/>
      </w:pPr>
      <w:r>
        <w:rPr/>
      </w:r>
      <w:r>
        <w:br w:type="page"/>
      </w:r>
    </w:p>
    <w:p>
      <w:pPr>
        <w:pStyle w:val="Normal"/>
        <w:spacing w:before="360" w:after="80"/>
        <w:rPr/>
      </w:pPr>
      <w:r>
        <w:rPr>
          <w:rFonts w:ascii="Calibri" w:hAnsi="Calibri"/>
          <w:b/>
          <w:i w:val="false"/>
          <w:color w:val="1F497D"/>
          <w:sz w:val="38"/>
        </w:rPr>
        <w:t>18. Annexes — Hypothèses &amp; Glossaire</w:t>
      </w:r>
    </w:p>
    <w:p>
      <w:pPr>
        <w:pStyle w:val="Normal"/>
        <w:pBdr>
          <w:bottom w:val="single" w:sz="8" w:space="1" w:color="2E74B5"/>
        </w:pBdr>
        <w:spacing w:before="40" w:after="40"/>
        <w:rPr/>
      </w:pPr>
      <w:r>
        <w:rPr/>
      </w:r>
    </w:p>
    <w:p>
      <w:pPr>
        <w:pStyle w:val="Normal"/>
        <w:spacing w:before="240" w:after="60"/>
        <w:rPr/>
      </w:pPr>
      <w:r>
        <w:rPr>
          <w:rFonts w:ascii="Calibri" w:hAnsi="Calibri"/>
          <w:b/>
          <w:i w:val="false"/>
          <w:color w:val="2E74B5"/>
          <w:sz w:val="28"/>
        </w:rPr>
        <w:t>18.1 Récapitulatif des hypothèses clés (version conservative)</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Hypothèse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Valeur retenue</w:t>
            </w:r>
          </w:p>
        </w:tc>
        <w:tc>
          <w:tcPr>
            <w:tcW w:w="2266"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Fourchette basse</w:t>
            </w:r>
          </w:p>
        </w:tc>
        <w:tc>
          <w:tcPr>
            <w:tcW w:w="2265" w:type="dxa"/>
            <w:tcBorders/>
            <w:shd w:color="auto" w:fill="1F497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Fourchette haute</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Prix plan Pro</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49 €/mois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39 €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59 €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Prix plan Business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199 €/mois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149 €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249 €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Churn mensuel an 1</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Taux conversion Free→Pro (30 jours)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8 %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22 %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 services mensuel moyen an 1</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1 000 €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2 500 €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Coût fixe mensuel (hors salaires)</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28 €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60 €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Coût token IA (passthrough)</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3 % du CA SaaS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Croissance MoM clients Pro</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18 %</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LTV Pro (ARPU/churn)</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980 €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544 €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1 633 €</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CAC Pro (budget marketing minimal)</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50 – 100 €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30 €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200 €</w:t>
            </w:r>
          </w:p>
        </w:tc>
      </w:tr>
    </w:tbl>
    <w:p>
      <w:pPr>
        <w:pStyle w:val="Normal"/>
        <w:spacing w:before="0" w:after="120"/>
        <w:rPr/>
      </w:pPr>
      <w:r>
        <w:rPr/>
      </w:r>
    </w:p>
    <w:p>
      <w:pPr>
        <w:pStyle w:val="Normal"/>
        <w:spacing w:before="240" w:after="60"/>
        <w:rPr/>
      </w:pPr>
      <w:r>
        <w:rPr>
          <w:rFonts w:ascii="Calibri" w:hAnsi="Calibri"/>
          <w:b/>
          <w:i w:val="false"/>
          <w:color w:val="2E74B5"/>
          <w:sz w:val="28"/>
        </w:rPr>
        <w:t>18.2 Comparaison v1 vs v2</w:t>
      </w:r>
    </w:p>
    <w:tbl>
      <w:tblPr>
        <w:tblStyle w:val="TableGrid"/>
        <w:tblW w:w="906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66"/>
        <w:gridCol w:w="2266"/>
        <w:gridCol w:w="2266"/>
        <w:gridCol w:w="2265"/>
      </w:tblGrid>
      <w:tr>
        <w:trPr/>
        <w:tc>
          <w:tcPr>
            <w:tcW w:w="2266" w:type="dxa"/>
            <w:tcBorders/>
            <w:shd w:color="auto" w:fill="6A0DA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Indicateur</w:t>
            </w:r>
          </w:p>
        </w:tc>
        <w:tc>
          <w:tcPr>
            <w:tcW w:w="2266" w:type="dxa"/>
            <w:tcBorders/>
            <w:shd w:color="auto" w:fill="6A0DA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Business Plan V1</w:t>
            </w:r>
          </w:p>
        </w:tc>
        <w:tc>
          <w:tcPr>
            <w:tcW w:w="2266" w:type="dxa"/>
            <w:tcBorders/>
            <w:shd w:color="auto" w:fill="6A0DA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Business Plan V2</w:t>
            </w:r>
          </w:p>
        </w:tc>
        <w:tc>
          <w:tcPr>
            <w:tcW w:w="2265" w:type="dxa"/>
            <w:tcBorders/>
            <w:shd w:color="auto" w:fill="6A0DAD" w:val="clear"/>
            <w:vAlign w:val="center"/>
          </w:tcPr>
          <w:p>
            <w:pPr>
              <w:pStyle w:val="Normal"/>
              <w:widowControl/>
              <w:spacing w:lineRule="auto" w:line="240" w:before="0" w:after="0"/>
              <w:jc w:val="center"/>
              <w:rPr>
                <w:rFonts w:eastAsia="ＭＳ 明朝" w:cs=""/>
                <w:kern w:val="0"/>
                <w:szCs w:val="22"/>
                <w:lang w:val="en-US" w:eastAsia="en-US" w:bidi="ar-SA"/>
              </w:rPr>
            </w:pPr>
            <w:r>
              <w:rPr>
                <w:rFonts w:eastAsia="ＭＳ 明朝" w:cs="" w:ascii="Calibri" w:hAnsi="Calibri"/>
                <w:b/>
                <w:i w:val="false"/>
                <w:color w:val="FFFFFF"/>
                <w:kern w:val="0"/>
                <w:sz w:val="20"/>
                <w:szCs w:val="22"/>
                <w:lang w:val="en-US" w:eastAsia="en-US" w:bidi="ar-SA"/>
              </w:rPr>
              <w:t>Ratio</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Financement initial</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150 000 €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10 000 €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15×</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 an 1</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121 000 €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25 900 €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4,7×</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 an 2</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490 000 €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78 600 €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6,2×</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CA an 3</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1 460 000 €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191 000 €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7,6×</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MRR fin an 1</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10 100 €</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1 500 €</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6,7×</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Masse salariale an 1</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185 000 €</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0 €</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Effectif an 1</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(salariés)</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4 (non rémunérés)</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r>
      <w:tr>
        <w:trPr/>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Break-even</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Mois 9–10</w:t>
            </w:r>
          </w:p>
        </w:tc>
        <w:tc>
          <w:tcPr>
            <w:tcW w:w="2266"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Mois 1 (hors salaires)</w:t>
            </w:r>
          </w:p>
        </w:tc>
        <w:tc>
          <w:tcPr>
            <w:tcW w:w="2265" w:type="dxa"/>
            <w:tcBorders/>
            <w:shd w:color="auto" w:fill="FFFFFF"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r>
      <w:tr>
        <w:trPr/>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Risque trésorerie an 1</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Élevé</w:t>
            </w:r>
          </w:p>
        </w:tc>
        <w:tc>
          <w:tcPr>
            <w:tcW w:w="2266"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Très faible</w:t>
            </w:r>
          </w:p>
        </w:tc>
        <w:tc>
          <w:tcPr>
            <w:tcW w:w="2265" w:type="dxa"/>
            <w:tcBorders/>
            <w:shd w:color="auto" w:fill="F2F6FC" w:val="clear"/>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ascii="Calibri" w:hAnsi="Calibri"/>
                <w:b w:val="false"/>
                <w:i w:val="false"/>
                <w:kern w:val="0"/>
                <w:sz w:val="20"/>
                <w:szCs w:val="22"/>
                <w:lang w:val="en-US" w:eastAsia="en-US" w:bidi="ar-SA"/>
              </w:rPr>
              <w:t>—</w:t>
            </w:r>
          </w:p>
        </w:tc>
      </w:tr>
    </w:tbl>
    <w:p>
      <w:pPr>
        <w:pStyle w:val="Normal"/>
        <w:spacing w:before="0" w:after="120"/>
        <w:rPr/>
      </w:pPr>
      <w:r>
        <w:rPr/>
      </w:r>
    </w:p>
    <w:tbl>
      <w:tblPr>
        <w:tblW w:w="906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6"/>
      </w:tblGrid>
      <w:tr>
        <w:trPr/>
        <w:tc>
          <w:tcPr>
            <w:tcW w:w="9066" w:type="dxa"/>
            <w:tcBorders>
              <w:top w:val="single" w:sz="4" w:space="0" w:color="2E74B5"/>
              <w:left w:val="single" w:sz="4" w:space="0" w:color="2E74B5"/>
              <w:bottom w:val="single" w:sz="4" w:space="0" w:color="2E74B5"/>
              <w:right w:val="single" w:sz="4" w:space="0" w:color="2E74B5"/>
            </w:tcBorders>
            <w:shd w:color="auto" w:fill="EBF3FB" w:val="clear"/>
          </w:tcPr>
          <w:p>
            <w:pPr>
              <w:pStyle w:val="Normal"/>
              <w:widowControl w:val="false"/>
              <w:spacing w:before="100" w:after="100"/>
              <w:ind w:left="144" w:hanging="0"/>
              <w:rPr/>
            </w:pPr>
            <w:r>
              <w:rPr>
                <w:rFonts w:ascii="Calibri" w:hAnsi="Calibri"/>
                <w:b w:val="false"/>
                <w:i/>
                <w:sz w:val="20"/>
              </w:rPr>
              <w:t xml:space="preserve">📌  </w:t>
            </w:r>
            <w:r>
              <w:rPr>
                <w:rFonts w:ascii="Calibri" w:hAnsi="Calibri"/>
                <w:b w:val="false"/>
                <w:i/>
                <w:sz w:val="20"/>
              </w:rPr>
              <w:t>La v2 est le plan réaliste pour une équipe de fondateurs qui démarre sans financement externe majeur. La v1 reste pertinente si une levée de fonds est obtenue. Les deux plans convergent vers le même produit — seule la vitesse d'exécution diffère.</w:t>
            </w:r>
          </w:p>
        </w:tc>
      </w:tr>
    </w:tbl>
    <w:p>
      <w:pPr>
        <w:pStyle w:val="Normal"/>
        <w:spacing w:before="0" w:after="80"/>
        <w:rPr/>
      </w:pPr>
      <w:r>
        <w:rPr/>
      </w:r>
    </w:p>
    <w:p>
      <w:pPr>
        <w:pStyle w:val="Normal"/>
        <w:spacing w:before="240" w:after="60"/>
        <w:rPr/>
      </w:pPr>
      <w:r>
        <w:rPr>
          <w:rFonts w:ascii="Calibri" w:hAnsi="Calibri"/>
          <w:b/>
          <w:i w:val="false"/>
          <w:color w:val="2E74B5"/>
          <w:sz w:val="28"/>
        </w:rPr>
        <w:t>18.3 Glossaire</w:t>
      </w:r>
    </w:p>
    <w:p>
      <w:pPr>
        <w:pStyle w:val="Normal"/>
        <w:spacing w:before="0" w:after="60"/>
        <w:rPr/>
      </w:pPr>
      <w:r>
        <w:rPr>
          <w:rFonts w:ascii="Calibri" w:hAnsi="Calibri"/>
          <w:b/>
          <w:i w:val="false"/>
          <w:color w:val="1F497D"/>
          <w:sz w:val="22"/>
        </w:rPr>
        <w:t xml:space="preserve">MRR : </w:t>
      </w:r>
      <w:r>
        <w:rPr>
          <w:rFonts w:ascii="Calibri" w:hAnsi="Calibri"/>
          <w:b w:val="false"/>
          <w:i w:val="false"/>
          <w:sz w:val="22"/>
        </w:rPr>
        <w:t>Monthly Recurring Revenue — revenu mensuel récurrent</w:t>
      </w:r>
    </w:p>
    <w:p>
      <w:pPr>
        <w:pStyle w:val="Normal"/>
        <w:spacing w:before="0" w:after="60"/>
        <w:rPr/>
      </w:pPr>
      <w:r>
        <w:rPr>
          <w:rFonts w:ascii="Calibri" w:hAnsi="Calibri"/>
          <w:b/>
          <w:i w:val="false"/>
          <w:color w:val="1F497D"/>
          <w:sz w:val="22"/>
        </w:rPr>
        <w:t xml:space="preserve">ARR : </w:t>
      </w:r>
      <w:r>
        <w:rPr>
          <w:rFonts w:ascii="Calibri" w:hAnsi="Calibri"/>
          <w:b w:val="false"/>
          <w:i w:val="false"/>
          <w:sz w:val="22"/>
        </w:rPr>
        <w:t>Annual Recurring Revenue — MRR × 12</w:t>
      </w:r>
    </w:p>
    <w:p>
      <w:pPr>
        <w:pStyle w:val="Normal"/>
        <w:spacing w:before="0" w:after="60"/>
        <w:rPr/>
      </w:pPr>
      <w:r>
        <w:rPr>
          <w:rFonts w:ascii="Calibri" w:hAnsi="Calibri"/>
          <w:b/>
          <w:i w:val="false"/>
          <w:color w:val="1F497D"/>
          <w:sz w:val="22"/>
        </w:rPr>
        <w:t xml:space="preserve">Churn : </w:t>
      </w:r>
      <w:r>
        <w:rPr>
          <w:rFonts w:ascii="Calibri" w:hAnsi="Calibri"/>
          <w:b w:val="false"/>
          <w:i w:val="false"/>
          <w:sz w:val="22"/>
        </w:rPr>
        <w:t>Taux d'attrition mensuel — % de clients qui annulent</w:t>
      </w:r>
    </w:p>
    <w:p>
      <w:pPr>
        <w:pStyle w:val="Normal"/>
        <w:spacing w:before="0" w:after="60"/>
        <w:rPr/>
      </w:pPr>
      <w:r>
        <w:rPr>
          <w:rFonts w:ascii="Calibri" w:hAnsi="Calibri"/>
          <w:b/>
          <w:i w:val="false"/>
          <w:color w:val="1F497D"/>
          <w:sz w:val="22"/>
        </w:rPr>
        <w:t xml:space="preserve">LTV : </w:t>
      </w:r>
      <w:r>
        <w:rPr>
          <w:rFonts w:ascii="Calibri" w:hAnsi="Calibri"/>
          <w:b w:val="false"/>
          <w:i w:val="false"/>
          <w:sz w:val="22"/>
        </w:rPr>
        <w:t>Lifetime Value — valeur d'un client sur toute sa durée</w:t>
      </w:r>
    </w:p>
    <w:p>
      <w:pPr>
        <w:pStyle w:val="Normal"/>
        <w:spacing w:before="0" w:after="60"/>
        <w:rPr/>
      </w:pPr>
      <w:r>
        <w:rPr>
          <w:rFonts w:ascii="Calibri" w:hAnsi="Calibri"/>
          <w:b/>
          <w:i w:val="false"/>
          <w:color w:val="1F497D"/>
          <w:sz w:val="22"/>
        </w:rPr>
        <w:t xml:space="preserve">CAC : </w:t>
      </w:r>
      <w:r>
        <w:rPr>
          <w:rFonts w:ascii="Calibri" w:hAnsi="Calibri"/>
          <w:b w:val="false"/>
          <w:i w:val="false"/>
          <w:sz w:val="22"/>
        </w:rPr>
        <w:t>Customer Acquisition Cost — coût pour acquérir un client</w:t>
      </w:r>
    </w:p>
    <w:p>
      <w:pPr>
        <w:pStyle w:val="Normal"/>
        <w:spacing w:before="0" w:after="60"/>
        <w:rPr/>
      </w:pPr>
      <w:r>
        <w:rPr>
          <w:rFonts w:ascii="Calibri" w:hAnsi="Calibri"/>
          <w:b/>
          <w:i w:val="false"/>
          <w:color w:val="1F497D"/>
          <w:sz w:val="22"/>
        </w:rPr>
        <w:t xml:space="preserve">NRR : </w:t>
      </w:r>
      <w:r>
        <w:rPr>
          <w:rFonts w:ascii="Calibri" w:hAnsi="Calibri"/>
          <w:b w:val="false"/>
          <w:i w:val="false"/>
          <w:sz w:val="22"/>
        </w:rPr>
        <w:t>Net Revenue Retention — rétention nette du revenu avec expansions</w:t>
      </w:r>
    </w:p>
    <w:p>
      <w:pPr>
        <w:pStyle w:val="Normal"/>
        <w:spacing w:before="0" w:after="60"/>
        <w:rPr/>
      </w:pPr>
      <w:r>
        <w:rPr>
          <w:rFonts w:ascii="Calibri" w:hAnsi="Calibri"/>
          <w:b/>
          <w:i w:val="false"/>
          <w:color w:val="1F497D"/>
          <w:sz w:val="22"/>
        </w:rPr>
        <w:t xml:space="preserve">Bootstrap : </w:t>
      </w:r>
      <w:r>
        <w:rPr>
          <w:rFonts w:ascii="Calibri" w:hAnsi="Calibri"/>
          <w:b w:val="false"/>
          <w:i w:val="false"/>
          <w:sz w:val="22"/>
        </w:rPr>
        <w:t>Financer sa startup sur ses propres ressources sans investisseur</w:t>
      </w:r>
    </w:p>
    <w:p>
      <w:pPr>
        <w:pStyle w:val="Normal"/>
        <w:spacing w:before="0" w:after="60"/>
        <w:rPr/>
      </w:pPr>
      <w:r>
        <w:rPr>
          <w:rFonts w:ascii="Calibri" w:hAnsi="Calibri"/>
          <w:b/>
          <w:i w:val="false"/>
          <w:color w:val="1F497D"/>
          <w:sz w:val="22"/>
        </w:rPr>
        <w:t xml:space="preserve">EBITDA : </w:t>
      </w:r>
      <w:r>
        <w:rPr>
          <w:rFonts w:ascii="Calibri" w:hAnsi="Calibri"/>
          <w:b w:val="false"/>
          <w:i w:val="false"/>
          <w:sz w:val="22"/>
        </w:rPr>
        <w:t>Résultat avant intérêts, impôts, dotations et amortissements</w:t>
      </w:r>
    </w:p>
    <w:p>
      <w:pPr>
        <w:pStyle w:val="Normal"/>
        <w:spacing w:before="0" w:after="60"/>
        <w:rPr/>
      </w:pPr>
      <w:r>
        <w:rPr>
          <w:rFonts w:ascii="Calibri" w:hAnsi="Calibri"/>
          <w:b/>
          <w:i w:val="false"/>
          <w:color w:val="1F497D"/>
          <w:sz w:val="22"/>
        </w:rPr>
        <w:t xml:space="preserve">JEI : </w:t>
      </w:r>
      <w:r>
        <w:rPr>
          <w:rFonts w:ascii="Calibri" w:hAnsi="Calibri"/>
          <w:b w:val="false"/>
          <w:i w:val="false"/>
          <w:sz w:val="22"/>
        </w:rPr>
        <w:t>Jeune Entreprise Innovante — statut fiscal avantageux France</w:t>
      </w:r>
    </w:p>
    <w:p>
      <w:pPr>
        <w:pStyle w:val="Normal"/>
        <w:spacing w:before="0" w:after="60"/>
        <w:rPr/>
      </w:pPr>
      <w:r>
        <w:rPr>
          <w:rFonts w:ascii="Calibri" w:hAnsi="Calibri"/>
          <w:b/>
          <w:i w:val="false"/>
          <w:color w:val="1F497D"/>
          <w:sz w:val="22"/>
        </w:rPr>
        <w:t xml:space="preserve">CIR : </w:t>
      </w:r>
      <w:r>
        <w:rPr>
          <w:rFonts w:ascii="Calibri" w:hAnsi="Calibri"/>
          <w:b w:val="false"/>
          <w:i w:val="false"/>
          <w:sz w:val="22"/>
        </w:rPr>
        <w:t>Crédit d'Impôt Recherche — remboursement de 30 % des dépenses R&amp;D</w:t>
      </w:r>
    </w:p>
    <w:p>
      <w:pPr>
        <w:pStyle w:val="Normal"/>
        <w:spacing w:before="0" w:after="60"/>
        <w:rPr/>
      </w:pPr>
      <w:r>
        <w:rPr>
          <w:rFonts w:ascii="Calibri" w:hAnsi="Calibri"/>
          <w:b/>
          <w:i w:val="false"/>
          <w:color w:val="1F497D"/>
          <w:sz w:val="22"/>
        </w:rPr>
        <w:t xml:space="preserve">BSPCE : </w:t>
      </w:r>
      <w:r>
        <w:rPr>
          <w:rFonts w:ascii="Calibri" w:hAnsi="Calibri"/>
          <w:b w:val="false"/>
          <w:i w:val="false"/>
          <w:sz w:val="22"/>
        </w:rPr>
        <w:t>Stock options à la française pour associer les employés au capital</w:t>
      </w:r>
    </w:p>
    <w:p>
      <w:pPr>
        <w:pStyle w:val="Normal"/>
        <w:spacing w:before="0" w:after="60"/>
        <w:rPr/>
      </w:pPr>
      <w:r>
        <w:rPr>
          <w:rFonts w:ascii="Calibri" w:hAnsi="Calibri"/>
          <w:b/>
          <w:i w:val="false"/>
          <w:color w:val="1F497D"/>
          <w:sz w:val="22"/>
        </w:rPr>
        <w:t xml:space="preserve">SaaS : </w:t>
      </w:r>
      <w:r>
        <w:rPr>
          <w:rFonts w:ascii="Calibri" w:hAnsi="Calibri"/>
          <w:b w:val="false"/>
          <w:i w:val="false"/>
          <w:sz w:val="22"/>
        </w:rPr>
        <w:t>Software as a Service — logiciel vendu par abonnement en ligne</w:t>
      </w:r>
    </w:p>
    <w:p>
      <w:pPr>
        <w:pStyle w:val="Normal"/>
        <w:spacing w:before="0" w:after="60"/>
        <w:rPr/>
      </w:pPr>
      <w:r>
        <w:rPr>
          <w:rFonts w:ascii="Calibri" w:hAnsi="Calibri"/>
          <w:b/>
          <w:i w:val="false"/>
          <w:color w:val="1F497D"/>
          <w:sz w:val="22"/>
        </w:rPr>
        <w:t xml:space="preserve">DAG : </w:t>
      </w:r>
      <w:r>
        <w:rPr>
          <w:rFonts w:ascii="Calibri" w:hAnsi="Calibri"/>
          <w:b w:val="false"/>
          <w:i w:val="false"/>
          <w:sz w:val="22"/>
        </w:rPr>
        <w:t>Directed Acyclic Graph — structure visuelle des workflows</w:t>
      </w:r>
    </w:p>
    <w:p>
      <w:pPr>
        <w:pStyle w:val="Normal"/>
        <w:spacing w:before="0" w:after="60"/>
        <w:rPr/>
      </w:pPr>
      <w:r>
        <w:rPr>
          <w:rFonts w:ascii="Calibri" w:hAnsi="Calibri"/>
          <w:b/>
          <w:i w:val="false"/>
          <w:color w:val="1F497D"/>
          <w:sz w:val="22"/>
        </w:rPr>
        <w:t xml:space="preserve">ETP : </w:t>
      </w:r>
      <w:r>
        <w:rPr>
          <w:rFonts w:ascii="Calibri" w:hAnsi="Calibri"/>
          <w:b w:val="false"/>
          <w:i w:val="false"/>
          <w:sz w:val="22"/>
        </w:rPr>
        <w:t>Équivalent Temps Plein</w:t>
      </w:r>
    </w:p>
    <w:p>
      <w:pPr>
        <w:pStyle w:val="Normal"/>
        <w:spacing w:before="0" w:after="60"/>
        <w:rPr/>
      </w:pPr>
      <w:r>
        <w:rPr>
          <w:rFonts w:ascii="Calibri" w:hAnsi="Calibri"/>
          <w:b/>
          <w:i w:val="false"/>
          <w:color w:val="1F497D"/>
          <w:sz w:val="22"/>
        </w:rPr>
        <w:t xml:space="preserve">ACRE : </w:t>
      </w:r>
      <w:r>
        <w:rPr>
          <w:rFonts w:ascii="Calibri" w:hAnsi="Calibri"/>
          <w:b w:val="false"/>
          <w:i w:val="false"/>
          <w:sz w:val="22"/>
        </w:rPr>
        <w:t>Aide aux Créateurs et Repreneurs d'Entreprises</w:t>
      </w:r>
    </w:p>
    <w:p>
      <w:pPr>
        <w:pStyle w:val="Normal"/>
        <w:spacing w:before="0" w:after="60"/>
        <w:rPr/>
      </w:pPr>
      <w:r>
        <w:rPr>
          <w:rFonts w:ascii="Calibri" w:hAnsi="Calibri"/>
          <w:b/>
          <w:i w:val="false"/>
          <w:color w:val="1F497D"/>
          <w:sz w:val="22"/>
        </w:rPr>
        <w:t xml:space="preserve">Franchise TVA : </w:t>
      </w:r>
      <w:r>
        <w:rPr>
          <w:rFonts w:ascii="Calibri" w:hAnsi="Calibri"/>
          <w:b w:val="false"/>
          <w:i w:val="false"/>
          <w:sz w:val="22"/>
        </w:rPr>
        <w:t>Régime fiscal simplifié — pas de TVA si CA &lt; 36 800 €/an</w:t>
      </w:r>
    </w:p>
    <w:p>
      <w:pPr>
        <w:pStyle w:val="Normal"/>
        <w:spacing w:before="0" w:after="160"/>
        <w:rPr/>
      </w:pPr>
      <w:r>
        <w:rPr/>
      </w:r>
    </w:p>
    <w:p>
      <w:pPr>
        <w:pStyle w:val="Normal"/>
        <w:pBdr>
          <w:bottom w:val="single" w:sz="8" w:space="1" w:color="2E74B5"/>
        </w:pBdr>
        <w:spacing w:before="40" w:after="40"/>
        <w:rPr/>
      </w:pPr>
      <w:r>
        <w:rPr/>
      </w:r>
    </w:p>
    <w:p>
      <w:pPr>
        <w:pStyle w:val="Normal"/>
        <w:spacing w:before="0" w:after="80"/>
        <w:rPr/>
      </w:pPr>
      <w:r>
        <w:rPr/>
      </w:r>
    </w:p>
    <w:p>
      <w:pPr>
        <w:pStyle w:val="Normal"/>
        <w:jc w:val="center"/>
        <w:rPr/>
      </w:pPr>
      <w:r>
        <w:rPr>
          <w:rFonts w:ascii="Calibri" w:hAnsi="Calibri"/>
          <w:b w:val="false"/>
          <w:i/>
          <w:color w:val="707070"/>
          <w:sz w:val="20"/>
        </w:rPr>
        <w:t>Ce document est un outil vivant — révision trimestrielle recommandée selon les résultats réels.</w:t>
      </w:r>
    </w:p>
    <w:p>
      <w:pPr>
        <w:pStyle w:val="Normal"/>
        <w:spacing w:before="0" w:after="200"/>
        <w:jc w:val="center"/>
        <w:rPr/>
      </w:pPr>
      <w:r>
        <w:rPr>
          <w:rFonts w:ascii="Calibri" w:hAnsi="Calibri"/>
          <w:b w:val="false"/>
          <w:i w:val="false"/>
          <w:color w:val="707070"/>
          <w:sz w:val="18"/>
        </w:rPr>
        <w:t>Plateforme Multi-Agent · Business Plan V2 · Bootstrap · 2025–2027 · Confidentiel · 30 April 2026</w:t>
      </w:r>
    </w:p>
    <w:sectPr>
      <w:type w:val="nextPage"/>
      <w:pgSz w:w="12240" w:h="15840"/>
      <w:pgMar w:left="1587" w:right="158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alibri">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itre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itre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itre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itre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itre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itre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itre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itre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Accentuation">
    <w:name w:val="Accentuation"/>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link w:val="BodyTextChar"/>
    <w:uiPriority w:val="99"/>
    <w:unhideWhenUsed/>
    <w:rsid w:val="00aa1d8d"/>
    <w:pPr>
      <w:spacing w:before="0" w:after="120"/>
    </w:pPr>
    <w:rPr/>
  </w:style>
  <w:style w:type="paragraph" w:styleId="Liste">
    <w:name w:val="List"/>
    <w:basedOn w:val="Normal"/>
    <w:uiPriority w:val="99"/>
    <w:unhideWhenUsed/>
    <w:rsid w:val="00aa1d8d"/>
    <w:pPr>
      <w:spacing w:before="0" w:after="200"/>
      <w:ind w:left="360" w:hanging="360"/>
      <w:contextualSpacing/>
    </w:pPr>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rPr/>
  </w:style>
  <w:style w:type="paragraph" w:styleId="Entte">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depage">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reprincip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oustitr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e2">
    <w:name w:val="List Bullet 3"/>
    <w:basedOn w:val="Normal"/>
    <w:uiPriority w:val="99"/>
    <w:unhideWhenUsed/>
    <w:rsid w:val="00326f90"/>
    <w:pPr>
      <w:spacing w:before="0" w:after="200"/>
      <w:ind w:left="720" w:hanging="360"/>
      <w:contextualSpacing/>
    </w:pPr>
    <w:rPr/>
  </w:style>
  <w:style w:type="paragraph" w:styleId="Liste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lexicaltitre">
    <w:name w:val="Index Heading"/>
    <w:basedOn w:val="Titre"/>
    <w:pPr/>
    <w:rPr/>
  </w:style>
  <w:style w:type="paragraph" w:styleId="Titredetabledesmatires">
    <w:name w:val="TOC Heading"/>
    <w:basedOn w:val="Titre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36</Pages>
  <Words>6470</Words>
  <Characters>29156</Characters>
  <CharactersWithSpaces>34269</CharactersWithSpaces>
  <Paragraphs>1520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fr-FR</dc:language>
  <cp:lastModifiedBy/>
  <dcterms:modified xsi:type="dcterms:W3CDTF">2026-05-09T22:06:41Z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