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56DB"/>
          <w:sz w:val="56"/>
        </w:rPr>
        <w:t>MULTI-AGENT PLATFORM</w:t>
      </w:r>
    </w:p>
    <w:p>
      <w:pPr>
        <w:jc w:val="center"/>
      </w:pPr>
      <w:r>
        <w:rPr>
          <w:color w:val="111827"/>
          <w:sz w:val="32"/>
        </w:rPr>
        <w:t>Plateforme d'Orchestration d'Agents IA</w:t>
      </w:r>
    </w:p>
    <w:p/>
    <w:p>
      <w:pPr>
        <w:pBdr>
          <w:bottom w:val="single" w:sz="4" w:space="1" w:color="1A56DB"/>
        </w:pBdr>
        <w:spacing w:after="160"/>
      </w:pPr>
    </w:p>
    <w:p/>
    <w:p>
      <w:pPr>
        <w:jc w:val="center"/>
      </w:pPr>
      <w:r>
        <w:rPr>
          <w:b/>
          <w:color w:val="111827"/>
          <w:sz w:val="28"/>
        </w:rPr>
        <w:t>Dossier Stratégique &amp; Technique</w:t>
      </w:r>
    </w:p>
    <w:p>
      <w:pPr>
        <w:jc w:val="center"/>
      </w:pPr>
      <w:r>
        <w:rPr>
          <w:color w:val="6B7280"/>
          <w:sz w:val="24"/>
        </w:rPr>
        <w:t>Utilité · Perspectives · Intégrations · Monétisation</w:t>
      </w:r>
    </w:p>
    <w:p/>
    <w:p/>
    <w:p>
      <w:pPr>
        <w:jc w:val="center"/>
      </w:pPr>
      <w:r>
        <w:rPr>
          <w:color w:val="6B7280"/>
          <w:sz w:val="20"/>
        </w:rPr>
        <w:t>Version 1.0  ·  Avril 2026</w:t>
      </w:r>
    </w:p>
    <w:p>
      <w:pPr>
        <w:jc w:val="center"/>
      </w:pPr>
      <w:r>
        <w:rPr>
          <w:i/>
          <w:color w:val="6B7280"/>
          <w:sz w:val="18"/>
        </w:rPr>
        <w:t>Confidentiel — Usage interne</w:t>
      </w:r>
    </w:p>
    <w:p>
      <w:r>
        <w:br w:type="page"/>
      </w:r>
    </w:p>
    <w:p>
      <w:pPr>
        <w:pStyle w:val="Heading1"/>
        <w:jc w:val="left"/>
      </w:pPr>
      <w:r>
        <w:rPr>
          <w:b/>
          <w:color w:val="1A56DB"/>
          <w:sz w:val="32"/>
        </w:rPr>
        <w:t>Table des matières</w:t>
      </w:r>
    </w:p>
    <w:p>
      <w:pPr>
        <w:spacing w:after="60"/>
      </w:pPr>
      <w:r>
        <w:rPr>
          <w:sz w:val="21"/>
        </w:rPr>
        <w:t>1.  Résumé exécutif</w:t>
      </w:r>
      <w:r>
        <w:rPr>
          <w:color w:val="6B7280"/>
          <w:sz w:val="20"/>
        </w:rPr>
        <w:t xml:space="preserve">  ......................................  3</w:t>
      </w:r>
    </w:p>
    <w:p>
      <w:pPr>
        <w:spacing w:after="60"/>
      </w:pPr>
      <w:r>
        <w:rPr>
          <w:sz w:val="21"/>
        </w:rPr>
        <w:t>2.  Présentation générale de la plateforme</w:t>
      </w:r>
      <w:r>
        <w:rPr>
          <w:color w:val="6B7280"/>
          <w:sz w:val="20"/>
        </w:rPr>
        <w:t xml:space="preserve">  ...............  4</w:t>
      </w:r>
    </w:p>
    <w:p>
      <w:pPr>
        <w:spacing w:after="60"/>
      </w:pPr>
      <w:r>
        <w:rPr>
          <w:sz w:val="21"/>
        </w:rPr>
        <w:t>3.  Utilité et proposition de valeur</w:t>
      </w:r>
      <w:r>
        <w:rPr>
          <w:color w:val="6B7280"/>
          <w:sz w:val="20"/>
        </w:rPr>
        <w:t xml:space="preserve">  .....................  5</w:t>
      </w:r>
    </w:p>
    <w:p>
      <w:pPr>
        <w:spacing w:after="60"/>
      </w:pPr>
      <w:r>
        <w:rPr>
          <w:sz w:val="21"/>
        </w:rPr>
        <w:t>4.  Architecture technique</w:t>
      </w:r>
      <w:r>
        <w:rPr>
          <w:color w:val="6B7280"/>
          <w:sz w:val="20"/>
        </w:rPr>
        <w:t xml:space="preserve">  ...............................  7</w:t>
      </w:r>
    </w:p>
    <w:p>
      <w:pPr>
        <w:spacing w:after="60"/>
      </w:pPr>
      <w:r>
        <w:rPr>
          <w:sz w:val="21"/>
        </w:rPr>
        <w:t>5.  Fonctionnalités clés</w:t>
      </w:r>
      <w:r>
        <w:rPr>
          <w:color w:val="6B7280"/>
          <w:sz w:val="20"/>
        </w:rPr>
        <w:t xml:space="preserve">  .................................  9</w:t>
      </w:r>
    </w:p>
    <w:p>
      <w:pPr>
        <w:spacing w:after="60"/>
      </w:pPr>
      <w:r>
        <w:rPr>
          <w:sz w:val="21"/>
        </w:rPr>
        <w:t>6.  Cas d'usage concrets</w:t>
      </w:r>
      <w:r>
        <w:rPr>
          <w:color w:val="6B7280"/>
          <w:sz w:val="20"/>
        </w:rPr>
        <w:t xml:space="preserve">  .................................  11</w:t>
      </w:r>
    </w:p>
    <w:p>
      <w:pPr>
        <w:spacing w:after="60"/>
      </w:pPr>
      <w:r>
        <w:rPr>
          <w:sz w:val="21"/>
        </w:rPr>
        <w:t>7.  Possibilités d'intégration</w:t>
      </w:r>
      <w:r>
        <w:rPr>
          <w:color w:val="6B7280"/>
          <w:sz w:val="20"/>
        </w:rPr>
        <w:t xml:space="preserve">  ...........................  13</w:t>
      </w:r>
    </w:p>
    <w:p>
      <w:pPr>
        <w:spacing w:after="60"/>
      </w:pPr>
      <w:r>
        <w:rPr>
          <w:sz w:val="21"/>
        </w:rPr>
        <w:t>8.  Feuille de route — Perspectives d'évolution</w:t>
      </w:r>
      <w:r>
        <w:rPr>
          <w:color w:val="6B7280"/>
          <w:sz w:val="20"/>
        </w:rPr>
        <w:t xml:space="preserve">  ..........  15</w:t>
      </w:r>
    </w:p>
    <w:p>
      <w:pPr>
        <w:spacing w:after="60"/>
      </w:pPr>
      <w:r>
        <w:rPr>
          <w:sz w:val="21"/>
        </w:rPr>
        <w:t>9.  Stratégie de monétisation</w:t>
      </w:r>
      <w:r>
        <w:rPr>
          <w:color w:val="6B7280"/>
          <w:sz w:val="20"/>
        </w:rPr>
        <w:t xml:space="preserve">  ............................  17</w:t>
      </w:r>
    </w:p>
    <w:p>
      <w:pPr>
        <w:spacing w:after="60"/>
      </w:pPr>
      <w:r>
        <w:rPr>
          <w:sz w:val="21"/>
        </w:rPr>
        <w:t>10.  Analyse concurrentielle</w:t>
      </w:r>
      <w:r>
        <w:rPr>
          <w:color w:val="6B7280"/>
          <w:sz w:val="20"/>
        </w:rPr>
        <w:t xml:space="preserve">  .............................  20</w:t>
      </w:r>
    </w:p>
    <w:p>
      <w:pPr>
        <w:spacing w:after="60"/>
      </w:pPr>
      <w:r>
        <w:rPr>
          <w:sz w:val="21"/>
        </w:rPr>
        <w:t>11.  Risques et mitigations</w:t>
      </w:r>
      <w:r>
        <w:rPr>
          <w:color w:val="6B7280"/>
          <w:sz w:val="20"/>
        </w:rPr>
        <w:t xml:space="preserve">  ..............................  21</w:t>
      </w:r>
    </w:p>
    <w:p>
      <w:pPr>
        <w:spacing w:after="60"/>
      </w:pPr>
      <w:r>
        <w:rPr>
          <w:sz w:val="21"/>
        </w:rPr>
        <w:t>12.  Conclusion</w:t>
      </w:r>
      <w:r>
        <w:rPr>
          <w:color w:val="6B7280"/>
          <w:sz w:val="20"/>
        </w:rPr>
        <w:t xml:space="preserve">  ..........................................  22</w:t>
      </w:r>
    </w:p>
    <w:p>
      <w:r>
        <w:br w:type="page"/>
      </w:r>
    </w:p>
    <w:p>
      <w:pPr>
        <w:pStyle w:val="Heading1"/>
        <w:jc w:val="left"/>
      </w:pPr>
      <w:r>
        <w:rPr>
          <w:b/>
          <w:color w:val="1A56DB"/>
          <w:sz w:val="32"/>
        </w:rPr>
        <w:t>1. Résumé exécutif</w:t>
      </w:r>
    </w:p>
    <w:p>
      <w:pPr>
        <w:pBdr>
          <w:bottom w:val="single" w:sz="4" w:space="1" w:color="1A56DB"/>
        </w:pBdr>
        <w:spacing w:after="160"/>
      </w:pPr>
    </w:p>
    <w:p>
      <w:pPr>
        <w:spacing w:before="80" w:after="160"/>
        <w:ind w:left="283" w:right="283"/>
        <w:shd w:val="clear" w:color="auto" w:fill="F0F9FF"/>
      </w:pPr>
      <w:r>
        <w:rPr>
          <w:i/>
          <w:color w:val="1E40AF"/>
          <w:sz w:val="21"/>
        </w:rPr>
        <w:t>« Multi-Agent Platform est une infrastructure d'orchestration d'agents IA de niveau entreprise, permettant de concevoir, exécuter et monitorer des flux de travail complexes multi-LLM — sans écrire une seule ligne de code. »</w:t>
      </w:r>
    </w:p>
    <w:p>
      <w:pPr>
        <w:spacing w:after="120"/>
      </w:pPr>
      <w:r>
        <w:rPr>
          <w:sz w:val="21"/>
        </w:rPr>
        <w:t>La plateforme Multi-Agent est un système d'orchestration d'agents d'intelligence artificielle conçu pour automatiser des processus métier complexes à l'aide de modèles de langage (LLM) de multiples fournisseurs. Elle s'adresse aux entreprises souhaitant intégrer l'IA dans leurs workflows opérationnels sans nécessiter d'expertise technique avancée pour chaque cas d'usage.</w:t>
      </w:r>
    </w:p>
    <w:p>
      <w:pPr>
        <w:spacing w:after="120"/>
      </w:pPr>
      <w:r>
        <w:rPr>
          <w:sz w:val="21"/>
        </w:rPr>
        <w:t>En s'appuyant sur une architecture microservices robuste (NestJS, NATS JetStream, PostgreSQL, Qdrant), la plateforme offre une interface visuelle de type "glisser-déposer" pour concevoir des workflows IA, exécuter des agents autonomes, intégrer des outils tiers (GitHub, Slack, Trello, WhatsApp) et analyser les performances en temps réel.</w:t>
      </w:r>
    </w:p>
    <w:p>
      <w:pPr>
        <w:spacing w:after="120"/>
      </w:pPr>
      <w:r>
        <w:rPr>
          <w:sz w:val="21"/>
        </w:rPr>
        <w:t>Points forts identifiés :</w:t>
      </w:r>
    </w:p>
    <w:p>
      <w:pPr>
        <w:pStyle w:val="ListBullet"/>
        <w:spacing w:after="60"/>
        <w:ind w:left="283"/>
      </w:pPr>
      <w:r>
        <w:rPr>
          <w:sz w:val="21"/>
        </w:rPr>
        <w:t>27 types de nœuds d'exécution couvrant tous les cas d'automatisation IA</w:t>
      </w:r>
    </w:p>
    <w:p>
      <w:pPr>
        <w:pStyle w:val="ListBullet"/>
        <w:spacing w:after="60"/>
        <w:ind w:left="283"/>
      </w:pPr>
      <w:r>
        <w:rPr>
          <w:sz w:val="21"/>
        </w:rPr>
        <w:t>Support natif de 5 fournisseurs LLM : OpenAI, Anthropic, Google, Azure, Ollama</w:t>
      </w:r>
    </w:p>
    <w:p>
      <w:pPr>
        <w:pStyle w:val="ListBullet"/>
        <w:spacing w:after="60"/>
        <w:ind w:left="283"/>
      </w:pPr>
      <w:r>
        <w:rPr>
          <w:sz w:val="21"/>
        </w:rPr>
        <w:t>Système d'auto-guérison IA pour les workflows en erreur</w:t>
      </w:r>
    </w:p>
    <w:p>
      <w:pPr>
        <w:pStyle w:val="ListBullet"/>
        <w:spacing w:after="60"/>
        <w:ind w:left="283"/>
      </w:pPr>
      <w:r>
        <w:rPr>
          <w:sz w:val="21"/>
        </w:rPr>
        <w:t>Chiffrement AES-256-GCM des clés API</w:t>
      </w:r>
    </w:p>
    <w:p>
      <w:pPr>
        <w:pStyle w:val="ListBullet"/>
        <w:spacing w:after="60"/>
        <w:ind w:left="283"/>
      </w:pPr>
      <w:r>
        <w:rPr>
          <w:sz w:val="21"/>
        </w:rPr>
        <w:t>Interface bilingue (FR/EN) prête pour le marché international</w:t>
      </w:r>
    </w:p>
    <w:p>
      <w:pPr>
        <w:pStyle w:val="ListBullet"/>
        <w:spacing w:after="60"/>
        <w:ind w:left="283"/>
      </w:pPr>
      <w:r>
        <w:rPr>
          <w:sz w:val="21"/>
        </w:rPr>
        <w:t>Stack Kubernetes-ready pour déploiement cloud natif</w:t>
      </w:r>
    </w:p>
    <w:p>
      <w:r>
        <w:br w:type="page"/>
      </w:r>
    </w:p>
    <w:p>
      <w:pPr>
        <w:pStyle w:val="Heading1"/>
        <w:jc w:val="left"/>
      </w:pPr>
      <w:r>
        <w:rPr>
          <w:b/>
          <w:color w:val="1A56DB"/>
          <w:sz w:val="32"/>
        </w:rPr>
        <w:t>2. Présentation générale de la plateforme</w:t>
      </w:r>
    </w:p>
    <w:p>
      <w:pPr>
        <w:pBdr>
          <w:bottom w:val="single" w:sz="4" w:space="1" w:color="1A56DB"/>
        </w:pBdr>
        <w:spacing w:after="160"/>
      </w:pPr>
    </w:p>
    <w:p>
      <w:pPr>
        <w:pStyle w:val="Heading2"/>
      </w:pPr>
      <w:r>
        <w:rPr>
          <w:b/>
          <w:color w:val="111827"/>
          <w:sz w:val="26"/>
        </w:rPr>
        <w:t>2.1 Vue d'ensemble</w:t>
      </w:r>
    </w:p>
    <w:p>
      <w:pPr>
        <w:spacing w:after="120"/>
      </w:pPr>
      <w:r>
        <w:rPr>
          <w:sz w:val="21"/>
        </w:rPr>
        <w:t>Multi-Agent Platform est un système fullstack de type "AI Workflow Orchestrator". À l'instar de plateformes comme n8n ou Zapier, mais entièrement orienté IA, il permet de chaîner des modèles de langage, des outils personnalisés et des services tiers dans des graphes d'exécution dirigés acycliques (DAG). Chaque nœud du graphe représente une action : appel d'un agent IA, exécution d'un outil, transformation de données, branchement conditionnel, ou interaction utilisateur.</w:t>
      </w:r>
    </w:p>
    <w:p>
      <w:pPr>
        <w:pStyle w:val="Heading2"/>
      </w:pPr>
      <w:r>
        <w:rPr>
          <w:b/>
          <w:color w:val="111827"/>
          <w:sz w:val="26"/>
        </w:rPr>
        <w:t>2.2 Composants principaux</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1A56DB"/>
          </w:tcPr>
          <w:p>
            <w:r>
              <w:rPr>
                <w:b/>
                <w:color w:val="FFFFFF"/>
                <w:sz w:val="20"/>
              </w:rPr>
              <w:t>Composant</w:t>
            </w:r>
          </w:p>
        </w:tc>
        <w:tc>
          <w:tcPr>
            <w:tcW w:type="dxa" w:w="4252"/>
            <w:shd w:val="clear" w:color="auto" w:fill="1A56DB"/>
          </w:tcPr>
          <w:p>
            <w:r>
              <w:rPr>
                <w:b/>
                <w:color w:val="FFFFFF"/>
                <w:sz w:val="20"/>
              </w:rPr>
              <w:t>Rôle</w:t>
            </w:r>
          </w:p>
        </w:tc>
        <w:tc>
          <w:tcPr>
            <w:tcW w:type="dxa" w:w="2268"/>
            <w:shd w:val="clear" w:color="auto" w:fill="1A56DB"/>
          </w:tcPr>
          <w:p>
            <w:r>
              <w:rPr>
                <w:b/>
                <w:color w:val="FFFFFF"/>
                <w:sz w:val="20"/>
              </w:rPr>
              <w:t>Technologie</w:t>
            </w:r>
          </w:p>
        </w:tc>
      </w:tr>
      <w:tr>
        <w:tc>
          <w:tcPr>
            <w:tcW w:type="dxa" w:w="2551"/>
          </w:tcPr>
          <w:p>
            <w:r>
              <w:rPr>
                <w:sz w:val="20"/>
              </w:rPr>
              <w:t>Gateway (port 3000)</w:t>
            </w:r>
          </w:p>
        </w:tc>
        <w:tc>
          <w:tcPr>
            <w:tcW w:type="dxa" w:w="4252"/>
          </w:tcPr>
          <w:p>
            <w:r>
              <w:rPr>
                <w:sz w:val="20"/>
              </w:rPr>
              <w:t>Point d'entrée unique, authentification JWT, routage</w:t>
            </w:r>
          </w:p>
        </w:tc>
        <w:tc>
          <w:tcPr>
            <w:tcW w:type="dxa" w:w="2268"/>
          </w:tcPr>
          <w:p>
            <w:r>
              <w:rPr>
                <w:sz w:val="20"/>
              </w:rPr>
              <w:t>NestJS + Passport</w:t>
            </w:r>
          </w:p>
        </w:tc>
      </w:tr>
      <w:tr>
        <w:tc>
          <w:tcPr>
            <w:tcW w:type="dxa" w:w="2551"/>
            <w:shd w:val="clear" w:color="auto" w:fill="EFF6FF"/>
          </w:tcPr>
          <w:p>
            <w:r>
              <w:rPr>
                <w:sz w:val="20"/>
              </w:rPr>
              <w:t>Frontend (port 3001)</w:t>
            </w:r>
          </w:p>
        </w:tc>
        <w:tc>
          <w:tcPr>
            <w:tcW w:type="dxa" w:w="4252"/>
            <w:shd w:val="clear" w:color="auto" w:fill="EFF6FF"/>
          </w:tcPr>
          <w:p>
            <w:r>
              <w:rPr>
                <w:sz w:val="20"/>
              </w:rPr>
              <w:t>Interface visuelle de conception et monitoring</w:t>
            </w:r>
          </w:p>
        </w:tc>
        <w:tc>
          <w:tcPr>
            <w:tcW w:type="dxa" w:w="2268"/>
            <w:shd w:val="clear" w:color="auto" w:fill="EFF6FF"/>
          </w:tcPr>
          <w:p>
            <w:r>
              <w:rPr>
                <w:sz w:val="20"/>
              </w:rPr>
              <w:t>Next.js 16 + React 19</w:t>
            </w:r>
          </w:p>
        </w:tc>
      </w:tr>
      <w:tr>
        <w:tc>
          <w:tcPr>
            <w:tcW w:type="dxa" w:w="2551"/>
          </w:tcPr>
          <w:p>
            <w:r>
              <w:rPr>
                <w:sz w:val="20"/>
              </w:rPr>
              <w:t>Agent Service (3002)</w:t>
            </w:r>
          </w:p>
        </w:tc>
        <w:tc>
          <w:tcPr>
            <w:tcW w:type="dxa" w:w="4252"/>
          </w:tcPr>
          <w:p>
            <w:r>
              <w:rPr>
                <w:sz w:val="20"/>
              </w:rPr>
              <w:t>Moteur d'exécution des agents IA avec streaming</w:t>
            </w:r>
          </w:p>
        </w:tc>
        <w:tc>
          <w:tcPr>
            <w:tcW w:type="dxa" w:w="2268"/>
          </w:tcPr>
          <w:p>
            <w:r>
              <w:rPr>
                <w:sz w:val="20"/>
              </w:rPr>
              <w:t>NestJS + LangChain</w:t>
            </w:r>
          </w:p>
        </w:tc>
      </w:tr>
      <w:tr>
        <w:tc>
          <w:tcPr>
            <w:tcW w:type="dxa" w:w="2551"/>
            <w:shd w:val="clear" w:color="auto" w:fill="EFF6FF"/>
          </w:tcPr>
          <w:p>
            <w:r>
              <w:rPr>
                <w:sz w:val="20"/>
              </w:rPr>
              <w:t>Orchestration (3003)</w:t>
            </w:r>
          </w:p>
        </w:tc>
        <w:tc>
          <w:tcPr>
            <w:tcW w:type="dxa" w:w="4252"/>
            <w:shd w:val="clear" w:color="auto" w:fill="EFF6FF"/>
          </w:tcPr>
          <w:p>
            <w:r>
              <w:rPr>
                <w:sz w:val="20"/>
              </w:rPr>
              <w:t>Orchestrateur de workflows, auto-guérison</w:t>
            </w:r>
          </w:p>
        </w:tc>
        <w:tc>
          <w:tcPr>
            <w:tcW w:type="dxa" w:w="2268"/>
            <w:shd w:val="clear" w:color="auto" w:fill="EFF6FF"/>
          </w:tcPr>
          <w:p>
            <w:r>
              <w:rPr>
                <w:sz w:val="20"/>
              </w:rPr>
              <w:t>NestJS + NATS</w:t>
            </w:r>
          </w:p>
        </w:tc>
      </w:tr>
      <w:tr>
        <w:tc>
          <w:tcPr>
            <w:tcW w:type="dxa" w:w="2551"/>
          </w:tcPr>
          <w:p>
            <w:r>
              <w:rPr>
                <w:sz w:val="20"/>
              </w:rPr>
              <w:t>Execution (3004)</w:t>
            </w:r>
          </w:p>
        </w:tc>
        <w:tc>
          <w:tcPr>
            <w:tcW w:type="dxa" w:w="4252"/>
          </w:tcPr>
          <w:p>
            <w:r>
              <w:rPr>
                <w:sz w:val="20"/>
              </w:rPr>
              <w:t>Historique d'exécution, audit logs</w:t>
            </w:r>
          </w:p>
        </w:tc>
        <w:tc>
          <w:tcPr>
            <w:tcW w:type="dxa" w:w="2268"/>
          </w:tcPr>
          <w:p>
            <w:r>
              <w:rPr>
                <w:sz w:val="20"/>
              </w:rPr>
              <w:t>NestJS + PostgreSQL</w:t>
            </w:r>
          </w:p>
        </w:tc>
      </w:tr>
      <w:tr>
        <w:tc>
          <w:tcPr>
            <w:tcW w:type="dxa" w:w="2551"/>
            <w:shd w:val="clear" w:color="auto" w:fill="EFF6FF"/>
          </w:tcPr>
          <w:p>
            <w:r>
              <w:rPr>
                <w:sz w:val="20"/>
              </w:rPr>
              <w:t>Model Service (3005)</w:t>
            </w:r>
          </w:p>
        </w:tc>
        <w:tc>
          <w:tcPr>
            <w:tcW w:type="dxa" w:w="4252"/>
            <w:shd w:val="clear" w:color="auto" w:fill="EFF6FF"/>
          </w:tcPr>
          <w:p>
            <w:r>
              <w:rPr>
                <w:sz w:val="20"/>
              </w:rPr>
              <w:t>Gestion des fournisseurs LLM, chiffrement clés</w:t>
            </w:r>
          </w:p>
        </w:tc>
        <w:tc>
          <w:tcPr>
            <w:tcW w:type="dxa" w:w="2268"/>
            <w:shd w:val="clear" w:color="auto" w:fill="EFF6FF"/>
          </w:tcPr>
          <w:p>
            <w:r>
              <w:rPr>
                <w:sz w:val="20"/>
              </w:rPr>
              <w:t>NestJS + Prisma</w:t>
            </w:r>
          </w:p>
        </w:tc>
      </w:tr>
      <w:tr>
        <w:tc>
          <w:tcPr>
            <w:tcW w:type="dxa" w:w="2551"/>
          </w:tcPr>
          <w:p>
            <w:r>
              <w:rPr>
                <w:sz w:val="20"/>
              </w:rPr>
              <w:t>Tool Service (3006)</w:t>
            </w:r>
          </w:p>
        </w:tc>
        <w:tc>
          <w:tcPr>
            <w:tcW w:type="dxa" w:w="4252"/>
          </w:tcPr>
          <w:p>
            <w:r>
              <w:rPr>
                <w:sz w:val="20"/>
              </w:rPr>
              <w:t>Registre d'outils, sandbox d'exécution JS</w:t>
            </w:r>
          </w:p>
        </w:tc>
        <w:tc>
          <w:tcPr>
            <w:tcW w:type="dxa" w:w="2268"/>
          </w:tcPr>
          <w:p>
            <w:r>
              <w:rPr>
                <w:sz w:val="20"/>
              </w:rPr>
              <w:t>NestJS + isolated-vm</w:t>
            </w:r>
          </w:p>
        </w:tc>
      </w:tr>
      <w:tr>
        <w:tc>
          <w:tcPr>
            <w:tcW w:type="dxa" w:w="2551"/>
            <w:shd w:val="clear" w:color="auto" w:fill="EFF6FF"/>
          </w:tcPr>
          <w:p>
            <w:r>
              <w:rPr>
                <w:sz w:val="20"/>
              </w:rPr>
              <w:t>Vector Service (3007)</w:t>
            </w:r>
          </w:p>
        </w:tc>
        <w:tc>
          <w:tcPr>
            <w:tcW w:type="dxa" w:w="4252"/>
            <w:shd w:val="clear" w:color="auto" w:fill="EFF6FF"/>
          </w:tcPr>
          <w:p>
            <w:r>
              <w:rPr>
                <w:sz w:val="20"/>
              </w:rPr>
              <w:t>Recherche sémantique, embeddings</w:t>
            </w:r>
          </w:p>
        </w:tc>
        <w:tc>
          <w:tcPr>
            <w:tcW w:type="dxa" w:w="2268"/>
            <w:shd w:val="clear" w:color="auto" w:fill="EFF6FF"/>
          </w:tcPr>
          <w:p>
            <w:r>
              <w:rPr>
                <w:sz w:val="20"/>
              </w:rPr>
              <w:t>NestJS + Qdrant</w:t>
            </w:r>
          </w:p>
        </w:tc>
      </w:tr>
      <w:tr>
        <w:tc>
          <w:tcPr>
            <w:tcW w:type="dxa" w:w="2551"/>
          </w:tcPr>
          <w:p>
            <w:r>
              <w:rPr>
                <w:sz w:val="20"/>
              </w:rPr>
              <w:t>File Service (3008)</w:t>
            </w:r>
          </w:p>
        </w:tc>
        <w:tc>
          <w:tcPr>
            <w:tcW w:type="dxa" w:w="4252"/>
          </w:tcPr>
          <w:p>
            <w:r>
              <w:rPr>
                <w:sz w:val="20"/>
              </w:rPr>
              <w:t>Stockage fichiers, indexation vectorielle</w:t>
            </w:r>
          </w:p>
        </w:tc>
        <w:tc>
          <w:tcPr>
            <w:tcW w:type="dxa" w:w="2268"/>
          </w:tcPr>
          <w:p>
            <w:r>
              <w:rPr>
                <w:sz w:val="20"/>
              </w:rPr>
              <w:t>NestJS + MinIO</w:t>
            </w:r>
          </w:p>
        </w:tc>
      </w:tr>
      <w:tr>
        <w:tc>
          <w:tcPr>
            <w:tcW w:type="dxa" w:w="2551"/>
            <w:shd w:val="clear" w:color="auto" w:fill="EFF6FF"/>
          </w:tcPr>
          <w:p>
            <w:r>
              <w:rPr>
                <w:sz w:val="20"/>
              </w:rPr>
              <w:t>GitHub MCP (3010)</w:t>
            </w:r>
          </w:p>
        </w:tc>
        <w:tc>
          <w:tcPr>
            <w:tcW w:type="dxa" w:w="4252"/>
            <w:shd w:val="clear" w:color="auto" w:fill="EFF6FF"/>
          </w:tcPr>
          <w:p>
            <w:r>
              <w:rPr>
                <w:sz w:val="20"/>
              </w:rPr>
              <w:t>Intégration GitHub via MCP</w:t>
            </w:r>
          </w:p>
        </w:tc>
        <w:tc>
          <w:tcPr>
            <w:tcW w:type="dxa" w:w="2268"/>
            <w:shd w:val="clear" w:color="auto" w:fill="EFF6FF"/>
          </w:tcPr>
          <w:p>
            <w:r>
              <w:rPr>
                <w:sz w:val="20"/>
              </w:rPr>
              <w:t>NestJS + MCP SDK</w:t>
            </w:r>
          </w:p>
        </w:tc>
      </w:tr>
      <w:tr>
        <w:tc>
          <w:tcPr>
            <w:tcW w:type="dxa" w:w="2551"/>
          </w:tcPr>
          <w:p>
            <w:r>
              <w:rPr>
                <w:sz w:val="20"/>
              </w:rPr>
              <w:t>Trello MCP (3011)</w:t>
            </w:r>
          </w:p>
        </w:tc>
        <w:tc>
          <w:tcPr>
            <w:tcW w:type="dxa" w:w="4252"/>
          </w:tcPr>
          <w:p>
            <w:r>
              <w:rPr>
                <w:sz w:val="20"/>
              </w:rPr>
              <w:t>Intégration Trello via MCP</w:t>
            </w:r>
          </w:p>
        </w:tc>
        <w:tc>
          <w:tcPr>
            <w:tcW w:type="dxa" w:w="2268"/>
          </w:tcPr>
          <w:p>
            <w:r>
              <w:rPr>
                <w:sz w:val="20"/>
              </w:rPr>
              <w:t>NestJS + MCP SDK</w:t>
            </w:r>
          </w:p>
        </w:tc>
      </w:tr>
    </w:tbl>
    <w:p/>
    <w:p>
      <w:r>
        <w:br w:type="page"/>
      </w:r>
    </w:p>
    <w:p>
      <w:pPr>
        <w:pStyle w:val="Heading1"/>
        <w:jc w:val="left"/>
      </w:pPr>
      <w:r>
        <w:rPr>
          <w:b/>
          <w:color w:val="1A56DB"/>
          <w:sz w:val="32"/>
        </w:rPr>
        <w:t>3. Utilité et proposition de valeur</w:t>
      </w:r>
    </w:p>
    <w:p>
      <w:pPr>
        <w:pBdr>
          <w:bottom w:val="single" w:sz="4" w:space="1" w:color="1A56DB"/>
        </w:pBdr>
        <w:spacing w:after="160"/>
      </w:pPr>
    </w:p>
    <w:p>
      <w:pPr>
        <w:pStyle w:val="Heading2"/>
      </w:pPr>
      <w:r>
        <w:rPr>
          <w:b/>
          <w:color w:val="111827"/>
          <w:sz w:val="26"/>
        </w:rPr>
        <w:t>3.1 Problèmes résolus</w:t>
      </w:r>
    </w:p>
    <w:p>
      <w:pPr>
        <w:spacing w:after="120"/>
      </w:pPr>
      <w:r>
        <w:rPr>
          <w:sz w:val="21"/>
        </w:rPr>
        <w:t>L'intégration de l'IA dans les processus métier souffre de plusieurs freins majeurs que la plateforme adresse directement :</w:t>
      </w:r>
    </w:p>
    <w:p>
      <w:pPr>
        <w:pStyle w:val="ListBullet"/>
        <w:spacing w:after="60"/>
        <w:ind w:left="283"/>
      </w:pPr>
      <w:r>
        <w:rPr>
          <w:sz w:val="21"/>
        </w:rPr>
        <w:t>Complexité d'intégration — chaque fournisseur LLM possède une API différente. La plateforme unifie OpenAI, Anthropic, Google, Azure et Ollama derrière une interface unique.</w:t>
      </w:r>
    </w:p>
    <w:p>
      <w:pPr>
        <w:pStyle w:val="ListBullet"/>
        <w:spacing w:after="60"/>
        <w:ind w:left="283"/>
      </w:pPr>
      <w:r>
        <w:rPr>
          <w:sz w:val="21"/>
        </w:rPr>
        <w:t>Manque de visibilité — les workflows IA s'exécutent souvent en boîte noire. Le monitoring temps réel par WebSocket donne une visibilité nœud par nœud.</w:t>
      </w:r>
    </w:p>
    <w:p>
      <w:pPr>
        <w:pStyle w:val="ListBullet"/>
        <w:spacing w:after="60"/>
        <w:ind w:left="283"/>
      </w:pPr>
      <w:r>
        <w:rPr>
          <w:sz w:val="21"/>
        </w:rPr>
        <w:t>Fragilité des automations — les erreurs LLM cassent les workflows. Le système d'auto-guérison analyse et corrige automatiquement les pannes.</w:t>
      </w:r>
    </w:p>
    <w:p>
      <w:pPr>
        <w:pStyle w:val="ListBullet"/>
        <w:spacing w:after="60"/>
        <w:ind w:left="283"/>
      </w:pPr>
      <w:r>
        <w:rPr>
          <w:sz w:val="21"/>
        </w:rPr>
        <w:t>Coûts non maîtrisés — le suivi granulaire des tokens permet une gestion précise des coûts par agent, par workflow, par utilisateur.</w:t>
      </w:r>
    </w:p>
    <w:p>
      <w:pPr>
        <w:pStyle w:val="ListBullet"/>
        <w:spacing w:after="60"/>
        <w:ind w:left="283"/>
      </w:pPr>
      <w:r>
        <w:rPr>
          <w:sz w:val="21"/>
        </w:rPr>
        <w:t>Sécurité des secrets — les clés API sont stockées chiffrées en AES-256-GCM avec isolation par utilisateur.</w:t>
      </w:r>
    </w:p>
    <w:p>
      <w:pPr>
        <w:pStyle w:val="ListBullet"/>
        <w:spacing w:after="60"/>
        <w:ind w:left="283"/>
      </w:pPr>
      <w:r>
        <w:rPr>
          <w:sz w:val="21"/>
        </w:rPr>
        <w:t>Silotage des outils — l'intégration native de GitHub, Slack, Trello, WhatsApp, shell, HTTP, fichiers et code custom supprime les intégrations ad hoc.</w:t>
      </w:r>
    </w:p>
    <w:p>
      <w:pPr>
        <w:pStyle w:val="Heading2"/>
      </w:pPr>
      <w:r>
        <w:rPr>
          <w:b/>
          <w:color w:val="111827"/>
          <w:sz w:val="26"/>
        </w:rPr>
        <w:t>3.2 Proposition de valeur par profil utilisateur</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A56DB"/>
          </w:tcPr>
          <w:p>
            <w:r>
              <w:rPr>
                <w:b/>
                <w:color w:val="FFFFFF"/>
                <w:sz w:val="20"/>
              </w:rPr>
              <w:t>Profil</w:t>
            </w:r>
          </w:p>
        </w:tc>
        <w:tc>
          <w:tcPr>
            <w:tcW w:type="dxa" w:w="3402"/>
            <w:shd w:val="clear" w:color="auto" w:fill="1A56DB"/>
          </w:tcPr>
          <w:p>
            <w:r>
              <w:rPr>
                <w:b/>
                <w:color w:val="FFFFFF"/>
                <w:sz w:val="20"/>
              </w:rPr>
              <w:t>Gain principal</w:t>
            </w:r>
          </w:p>
        </w:tc>
        <w:tc>
          <w:tcPr>
            <w:tcW w:type="dxa" w:w="3402"/>
            <w:shd w:val="clear" w:color="auto" w:fill="1A56DB"/>
          </w:tcPr>
          <w:p>
            <w:r>
              <w:rPr>
                <w:b/>
                <w:color w:val="FFFFFF"/>
                <w:sz w:val="20"/>
              </w:rPr>
              <w:t>Fonctionnalités clés utilisées</w:t>
            </w:r>
          </w:p>
        </w:tc>
      </w:tr>
      <w:tr>
        <w:tc>
          <w:tcPr>
            <w:tcW w:type="dxa" w:w="2268"/>
          </w:tcPr>
          <w:p>
            <w:r>
              <w:rPr>
                <w:sz w:val="20"/>
              </w:rPr>
              <w:t>Développeur IA</w:t>
            </w:r>
          </w:p>
        </w:tc>
        <w:tc>
          <w:tcPr>
            <w:tcW w:type="dxa" w:w="3402"/>
          </w:tcPr>
          <w:p>
            <w:r>
              <w:rPr>
                <w:sz w:val="20"/>
              </w:rPr>
              <w:t>Construire et déployer des pipelines IA complexes 10x plus vite</w:t>
            </w:r>
          </w:p>
        </w:tc>
        <w:tc>
          <w:tcPr>
            <w:tcW w:type="dxa" w:w="3402"/>
          </w:tcPr>
          <w:p>
            <w:r>
              <w:rPr>
                <w:sz w:val="20"/>
              </w:rPr>
              <w:t>Node AGENT, TOOL, TRANSFORM, sous-workflows, API REST</w:t>
            </w:r>
          </w:p>
        </w:tc>
      </w:tr>
      <w:tr>
        <w:tc>
          <w:tcPr>
            <w:tcW w:type="dxa" w:w="2268"/>
            <w:shd w:val="clear" w:color="auto" w:fill="EFF6FF"/>
          </w:tcPr>
          <w:p>
            <w:r>
              <w:rPr>
                <w:sz w:val="20"/>
              </w:rPr>
              <w:t>Chef de projet / Product Manager</w:t>
            </w:r>
          </w:p>
        </w:tc>
        <w:tc>
          <w:tcPr>
            <w:tcW w:type="dxa" w:w="3402"/>
            <w:shd w:val="clear" w:color="auto" w:fill="EFF6FF"/>
          </w:tcPr>
          <w:p>
            <w:r>
              <w:rPr>
                <w:sz w:val="20"/>
              </w:rPr>
              <w:t>Automatiser les tâches répétitives sans coder</w:t>
            </w:r>
          </w:p>
        </w:tc>
        <w:tc>
          <w:tcPr>
            <w:tcW w:type="dxa" w:w="3402"/>
            <w:shd w:val="clear" w:color="auto" w:fill="EFF6FF"/>
          </w:tcPr>
          <w:p>
            <w:r>
              <w:rPr>
                <w:sz w:val="20"/>
              </w:rPr>
              <w:t>Canvas visuel, nœuds conditionnels, intégrations Slack/Trello</w:t>
            </w:r>
          </w:p>
        </w:tc>
      </w:tr>
      <w:tr>
        <w:tc>
          <w:tcPr>
            <w:tcW w:type="dxa" w:w="2268"/>
          </w:tcPr>
          <w:p>
            <w:r>
              <w:rPr>
                <w:sz w:val="20"/>
              </w:rPr>
              <w:t>Data Scientist</w:t>
            </w:r>
          </w:p>
        </w:tc>
        <w:tc>
          <w:tcPr>
            <w:tcW w:type="dxa" w:w="3402"/>
          </w:tcPr>
          <w:p>
            <w:r>
              <w:rPr>
                <w:sz w:val="20"/>
              </w:rPr>
              <w:t>Orchestrer des pipelines de traitement de données avec IA</w:t>
            </w:r>
          </w:p>
        </w:tc>
        <w:tc>
          <w:tcPr>
            <w:tcW w:type="dxa" w:w="3402"/>
          </w:tcPr>
          <w:p>
            <w:r>
              <w:rPr>
                <w:sz w:val="20"/>
              </w:rPr>
              <w:t>Vector search, embeddings, transformations, boucles</w:t>
            </w:r>
          </w:p>
        </w:tc>
      </w:tr>
      <w:tr>
        <w:tc>
          <w:tcPr>
            <w:tcW w:type="dxa" w:w="2268"/>
            <w:shd w:val="clear" w:color="auto" w:fill="EFF6FF"/>
          </w:tcPr>
          <w:p>
            <w:r>
              <w:rPr>
                <w:sz w:val="20"/>
              </w:rPr>
              <w:t>DevOps / SRE</w:t>
            </w:r>
          </w:p>
        </w:tc>
        <w:tc>
          <w:tcPr>
            <w:tcW w:type="dxa" w:w="3402"/>
            <w:shd w:val="clear" w:color="auto" w:fill="EFF6FF"/>
          </w:tcPr>
          <w:p>
            <w:r>
              <w:rPr>
                <w:sz w:val="20"/>
              </w:rPr>
              <w:t>Automatiser les opérations GitHub, CI/CD, alertes</w:t>
            </w:r>
          </w:p>
        </w:tc>
        <w:tc>
          <w:tcPr>
            <w:tcW w:type="dxa" w:w="3402"/>
            <w:shd w:val="clear" w:color="auto" w:fill="EFF6FF"/>
          </w:tcPr>
          <w:p>
            <w:r>
              <w:rPr>
                <w:sz w:val="20"/>
              </w:rPr>
              <w:t>Node GITHUB, SHELL, WHATSAPP, intégration MCP</w:t>
            </w:r>
          </w:p>
        </w:tc>
      </w:tr>
      <w:tr>
        <w:tc>
          <w:tcPr>
            <w:tcW w:type="dxa" w:w="2268"/>
          </w:tcPr>
          <w:p>
            <w:r>
              <w:rPr>
                <w:sz w:val="20"/>
              </w:rPr>
              <w:t>Équipe support</w:t>
            </w:r>
          </w:p>
        </w:tc>
        <w:tc>
          <w:tcPr>
            <w:tcW w:type="dxa" w:w="3402"/>
          </w:tcPr>
          <w:p>
            <w:r>
              <w:rPr>
                <w:sz w:val="20"/>
              </w:rPr>
              <w:t>Répondre automatiquement aux demandes via des agents IA</w:t>
            </w:r>
          </w:p>
        </w:tc>
        <w:tc>
          <w:tcPr>
            <w:tcW w:type="dxa" w:w="3402"/>
          </w:tcPr>
          <w:p>
            <w:r>
              <w:rPr>
                <w:sz w:val="20"/>
              </w:rPr>
              <w:t>PROMPT (interaction user), AGENT, SLACK, historique</w:t>
            </w:r>
          </w:p>
        </w:tc>
      </w:tr>
      <w:tr>
        <w:tc>
          <w:tcPr>
            <w:tcW w:type="dxa" w:w="2268"/>
            <w:shd w:val="clear" w:color="auto" w:fill="EFF6FF"/>
          </w:tcPr>
          <w:p>
            <w:r>
              <w:rPr>
                <w:sz w:val="20"/>
              </w:rPr>
              <w:t>Responsable IT / DSI</w:t>
            </w:r>
          </w:p>
        </w:tc>
        <w:tc>
          <w:tcPr>
            <w:tcW w:type="dxa" w:w="3402"/>
            <w:shd w:val="clear" w:color="auto" w:fill="EFF6FF"/>
          </w:tcPr>
          <w:p>
            <w:r>
              <w:rPr>
                <w:sz w:val="20"/>
              </w:rPr>
              <w:t>Gouvernance, sécurité, contrôle des coûts IA</w:t>
            </w:r>
          </w:p>
        </w:tc>
        <w:tc>
          <w:tcPr>
            <w:tcW w:type="dxa" w:w="3402"/>
            <w:shd w:val="clear" w:color="auto" w:fill="EFF6FF"/>
          </w:tcPr>
          <w:p>
            <w:r>
              <w:rPr>
                <w:sz w:val="20"/>
              </w:rPr>
              <w:t>RBAC, audit logs, token usage, chiffrement clés API</w:t>
            </w:r>
          </w:p>
        </w:tc>
      </w:tr>
    </w:tbl>
    <w:p/>
    <w:p>
      <w:pPr>
        <w:pStyle w:val="Heading2"/>
      </w:pPr>
      <w:r>
        <w:rPr>
          <w:b/>
          <w:color w:val="111827"/>
          <w:sz w:val="26"/>
        </w:rPr>
        <w:t>3.3 Avantages compétitifs</w:t>
      </w:r>
    </w:p>
    <w:p>
      <w:pPr>
        <w:spacing w:after="120"/>
      </w:pPr>
      <w:r>
        <w:rPr>
          <w:sz w:val="21"/>
        </w:rPr>
        <w:t>Par rapport aux solutions existantes (n8n, Zapier, Flowise, LangFlow) :</w:t>
      </w:r>
    </w:p>
    <w:p>
      <w:pPr>
        <w:pStyle w:val="ListBullet"/>
        <w:spacing w:after="60"/>
        <w:ind w:left="283"/>
      </w:pPr>
      <w:r>
        <w:rPr>
          <w:sz w:val="21"/>
        </w:rPr>
        <w:t>IA-native — conçu dès le départ pour l'orchestration multi-LLM, pas une couche ajoutée</w:t>
      </w:r>
    </w:p>
    <w:p>
      <w:pPr>
        <w:pStyle w:val="ListBullet"/>
        <w:spacing w:after="60"/>
        <w:ind w:left="283"/>
      </w:pPr>
      <w:r>
        <w:rPr>
          <w:sz w:val="21"/>
        </w:rPr>
        <w:t>Auto-guérison unique — aucun concurrent n'offre de correction automatique IA des workflows en erreur</w:t>
      </w:r>
    </w:p>
    <w:p>
      <w:pPr>
        <w:pStyle w:val="ListBullet"/>
        <w:spacing w:after="60"/>
        <w:ind w:left="283"/>
      </w:pPr>
      <w:r>
        <w:rPr>
          <w:sz w:val="21"/>
        </w:rPr>
        <w:t>Open architecture — supporte n'importe quel LLM via Ollama (self-hosted) ou API standard</w:t>
      </w:r>
    </w:p>
    <w:p>
      <w:pPr>
        <w:pStyle w:val="ListBullet"/>
        <w:spacing w:after="60"/>
        <w:ind w:left="283"/>
      </w:pPr>
      <w:r>
        <w:rPr>
          <w:sz w:val="21"/>
        </w:rPr>
        <w:t>MCP intégré — compatible Model Context Protocol pour des intégrations infinies</w:t>
      </w:r>
    </w:p>
    <w:p>
      <w:pPr>
        <w:pStyle w:val="ListBullet"/>
        <w:spacing w:after="60"/>
        <w:ind w:left="283"/>
      </w:pPr>
      <w:r>
        <w:rPr>
          <w:sz w:val="21"/>
        </w:rPr>
        <w:t>Sécurité entreprise — chiffrement AES-256-GCM, RBAC, audit trail complet</w:t>
      </w:r>
    </w:p>
    <w:p>
      <w:pPr>
        <w:pStyle w:val="ListBullet"/>
        <w:spacing w:after="60"/>
        <w:ind w:left="283"/>
      </w:pPr>
      <w:r>
        <w:rPr>
          <w:sz w:val="21"/>
        </w:rPr>
        <w:t>Self-hosted ou cloud — déployable on-premise pour les secteurs réglementés (santé, finance, défense)</w:t>
      </w:r>
    </w:p>
    <w:p>
      <w:r>
        <w:br w:type="page"/>
      </w:r>
    </w:p>
    <w:p>
      <w:pPr>
        <w:pStyle w:val="Heading1"/>
        <w:jc w:val="left"/>
      </w:pPr>
      <w:r>
        <w:rPr>
          <w:b/>
          <w:color w:val="1A56DB"/>
          <w:sz w:val="32"/>
        </w:rPr>
        <w:t>4. Architecture technique</w:t>
      </w:r>
    </w:p>
    <w:p>
      <w:pPr>
        <w:pBdr>
          <w:bottom w:val="single" w:sz="4" w:space="1" w:color="1A56DB"/>
        </w:pBdr>
        <w:spacing w:after="160"/>
      </w:pPr>
    </w:p>
    <w:p>
      <w:pPr>
        <w:pStyle w:val="Heading2"/>
      </w:pPr>
      <w:r>
        <w:rPr>
          <w:b/>
          <w:color w:val="111827"/>
          <w:sz w:val="26"/>
        </w:rPr>
        <w:t>4.1 Vue d'architecture globale</w:t>
      </w:r>
    </w:p>
    <w:p>
      <w:pPr>
        <w:spacing w:after="120"/>
      </w:pPr>
      <w:r>
        <w:rPr>
          <w:sz w:val="21"/>
        </w:rPr>
        <w:t>La plateforme suit une architecture microservices avec séparation stricte des responsabilités. Les communications inter-services utilisent NATS JetStream pour la fiabilité événementielle (persistance, replay, at-least-once delivery). Le frontend communique uniquement via le Gateway (port 3000), qui gère l'authentification et le routage proxy.</w:t>
      </w:r>
    </w:p>
    <w:p>
      <w:pPr>
        <w:spacing w:before="80" w:after="160"/>
        <w:ind w:left="283" w:right="283"/>
        <w:shd w:val="clear" w:color="auto" w:fill="F0F9FF"/>
      </w:pPr>
      <w:r>
        <w:rPr>
          <w:i/>
          <w:color w:val="1E40AF"/>
          <w:sz w:val="21"/>
        </w:rPr>
        <w:t>Pattern architectural : Clean Architecture (Présentation → Application → Domaine → Infrastructure) dans chaque microservice, avec repositories abstraits pour l'isolation de la base de données.</w:t>
      </w:r>
    </w:p>
    <w:p>
      <w:pPr>
        <w:pStyle w:val="Heading2"/>
      </w:pPr>
      <w:r>
        <w:rPr>
          <w:b/>
          <w:color w:val="111827"/>
          <w:sz w:val="26"/>
        </w:rPr>
        <w:t>4.2 Stack technologique détaillée</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1A56DB"/>
          </w:tcPr>
          <w:p>
            <w:r>
              <w:rPr>
                <w:b/>
                <w:color w:val="FFFFFF"/>
                <w:sz w:val="20"/>
              </w:rPr>
              <w:t>Couche</w:t>
            </w:r>
          </w:p>
        </w:tc>
        <w:tc>
          <w:tcPr>
            <w:tcW w:type="dxa" w:w="3118"/>
            <w:shd w:val="clear" w:color="auto" w:fill="1A56DB"/>
          </w:tcPr>
          <w:p>
            <w:r>
              <w:rPr>
                <w:b/>
                <w:color w:val="FFFFFF"/>
                <w:sz w:val="20"/>
              </w:rPr>
              <w:t>Technologie</w:t>
            </w:r>
          </w:p>
        </w:tc>
        <w:tc>
          <w:tcPr>
            <w:tcW w:type="dxa" w:w="3402"/>
            <w:shd w:val="clear" w:color="auto" w:fill="1A56DB"/>
          </w:tcPr>
          <w:p>
            <w:r>
              <w:rPr>
                <w:b/>
                <w:color w:val="FFFFFF"/>
                <w:sz w:val="20"/>
              </w:rPr>
              <w:t>Justification</w:t>
            </w:r>
          </w:p>
        </w:tc>
      </w:tr>
      <w:tr>
        <w:tc>
          <w:tcPr>
            <w:tcW w:type="dxa" w:w="2551"/>
          </w:tcPr>
          <w:p>
            <w:r>
              <w:rPr>
                <w:sz w:val="20"/>
              </w:rPr>
              <w:t>API / Microservices</w:t>
            </w:r>
          </w:p>
        </w:tc>
        <w:tc>
          <w:tcPr>
            <w:tcW w:type="dxa" w:w="3118"/>
          </w:tcPr>
          <w:p>
            <w:r>
              <w:rPr>
                <w:sz w:val="20"/>
              </w:rPr>
              <w:t>NestJS 10.3 + TypeScript 5.3 strict</w:t>
            </w:r>
          </w:p>
        </w:tc>
        <w:tc>
          <w:tcPr>
            <w:tcW w:type="dxa" w:w="3402"/>
          </w:tcPr>
          <w:p>
            <w:r>
              <w:rPr>
                <w:sz w:val="20"/>
              </w:rPr>
              <w:t>Injection de dépendances, modules, décorateurs — idéal microservices</w:t>
            </w:r>
          </w:p>
        </w:tc>
      </w:tr>
      <w:tr>
        <w:tc>
          <w:tcPr>
            <w:tcW w:type="dxa" w:w="2551"/>
            <w:shd w:val="clear" w:color="auto" w:fill="EFF6FF"/>
          </w:tcPr>
          <w:p>
            <w:r>
              <w:rPr>
                <w:sz w:val="20"/>
              </w:rPr>
              <w:t>Base de données</w:t>
            </w:r>
          </w:p>
        </w:tc>
        <w:tc>
          <w:tcPr>
            <w:tcW w:type="dxa" w:w="3118"/>
            <w:shd w:val="clear" w:color="auto" w:fill="EFF6FF"/>
          </w:tcPr>
          <w:p>
            <w:r>
              <w:rPr>
                <w:sz w:val="20"/>
              </w:rPr>
              <w:t>PostgreSQL 16 + Prisma ORM</w:t>
            </w:r>
          </w:p>
        </w:tc>
        <w:tc>
          <w:tcPr>
            <w:tcW w:type="dxa" w:w="3402"/>
            <w:shd w:val="clear" w:color="auto" w:fill="EFF6FF"/>
          </w:tcPr>
          <w:p>
            <w:r>
              <w:rPr>
                <w:sz w:val="20"/>
              </w:rPr>
              <w:t>ACID, migrations typées, schéma versionné</w:t>
            </w:r>
          </w:p>
        </w:tc>
      </w:tr>
      <w:tr>
        <w:tc>
          <w:tcPr>
            <w:tcW w:type="dxa" w:w="2551"/>
          </w:tcPr>
          <w:p>
            <w:r>
              <w:rPr>
                <w:sz w:val="20"/>
              </w:rPr>
              <w:t>Messagerie</w:t>
            </w:r>
          </w:p>
        </w:tc>
        <w:tc>
          <w:tcPr>
            <w:tcW w:type="dxa" w:w="3118"/>
          </w:tcPr>
          <w:p>
            <w:r>
              <w:rPr>
                <w:sz w:val="20"/>
              </w:rPr>
              <w:t>NATS 2.10 + JetStream</w:t>
            </w:r>
          </w:p>
        </w:tc>
        <w:tc>
          <w:tcPr>
            <w:tcW w:type="dxa" w:w="3402"/>
          </w:tcPr>
          <w:p>
            <w:r>
              <w:rPr>
                <w:sz w:val="20"/>
              </w:rPr>
              <w:t>Pub/sub temps réel, streaming durable, faible latence</w:t>
            </w:r>
          </w:p>
        </w:tc>
      </w:tr>
      <w:tr>
        <w:tc>
          <w:tcPr>
            <w:tcW w:type="dxa" w:w="2551"/>
            <w:shd w:val="clear" w:color="auto" w:fill="EFF6FF"/>
          </w:tcPr>
          <w:p>
            <w:r>
              <w:rPr>
                <w:sz w:val="20"/>
              </w:rPr>
              <w:t>Recherche vectorielle</w:t>
            </w:r>
          </w:p>
        </w:tc>
        <w:tc>
          <w:tcPr>
            <w:tcW w:type="dxa" w:w="3118"/>
            <w:shd w:val="clear" w:color="auto" w:fill="EFF6FF"/>
          </w:tcPr>
          <w:p>
            <w:r>
              <w:rPr>
                <w:sz w:val="20"/>
              </w:rPr>
              <w:t>Qdrant</w:t>
            </w:r>
          </w:p>
        </w:tc>
        <w:tc>
          <w:tcPr>
            <w:tcW w:type="dxa" w:w="3402"/>
            <w:shd w:val="clear" w:color="auto" w:fill="EFF6FF"/>
          </w:tcPr>
          <w:p>
            <w:r>
              <w:rPr>
                <w:sz w:val="20"/>
              </w:rPr>
              <w:t>Similarité cosinus haute performance, collections isolées</w:t>
            </w:r>
          </w:p>
        </w:tc>
      </w:tr>
      <w:tr>
        <w:tc>
          <w:tcPr>
            <w:tcW w:type="dxa" w:w="2551"/>
          </w:tcPr>
          <w:p>
            <w:r>
              <w:rPr>
                <w:sz w:val="20"/>
              </w:rPr>
              <w:t>Stockage fichiers</w:t>
            </w:r>
          </w:p>
        </w:tc>
        <w:tc>
          <w:tcPr>
            <w:tcW w:type="dxa" w:w="3118"/>
          </w:tcPr>
          <w:p>
            <w:r>
              <w:rPr>
                <w:sz w:val="20"/>
              </w:rPr>
              <w:t>MinIO (S3-compatible)</w:t>
            </w:r>
          </w:p>
        </w:tc>
        <w:tc>
          <w:tcPr>
            <w:tcW w:type="dxa" w:w="3402"/>
          </w:tcPr>
          <w:p>
            <w:r>
              <w:rPr>
                <w:sz w:val="20"/>
              </w:rPr>
              <w:t>Self-hosted, compatible AWS S3, multi-tenant</w:t>
            </w:r>
          </w:p>
        </w:tc>
      </w:tr>
      <w:tr>
        <w:tc>
          <w:tcPr>
            <w:tcW w:type="dxa" w:w="2551"/>
            <w:shd w:val="clear" w:color="auto" w:fill="EFF6FF"/>
          </w:tcPr>
          <w:p>
            <w:r>
              <w:rPr>
                <w:sz w:val="20"/>
              </w:rPr>
              <w:t>Sandbox JS</w:t>
            </w:r>
          </w:p>
        </w:tc>
        <w:tc>
          <w:tcPr>
            <w:tcW w:type="dxa" w:w="3118"/>
            <w:shd w:val="clear" w:color="auto" w:fill="EFF6FF"/>
          </w:tcPr>
          <w:p>
            <w:r>
              <w:rPr>
                <w:sz w:val="20"/>
              </w:rPr>
              <w:t>isolated-vm</w:t>
            </w:r>
          </w:p>
        </w:tc>
        <w:tc>
          <w:tcPr>
            <w:tcW w:type="dxa" w:w="3402"/>
            <w:shd w:val="clear" w:color="auto" w:fill="EFF6FF"/>
          </w:tcPr>
          <w:p>
            <w:r>
              <w:rPr>
                <w:sz w:val="20"/>
              </w:rPr>
              <w:t>Exécution de code utilisateur isolée, protection système</w:t>
            </w:r>
          </w:p>
        </w:tc>
      </w:tr>
      <w:tr>
        <w:tc>
          <w:tcPr>
            <w:tcW w:type="dxa" w:w="2551"/>
          </w:tcPr>
          <w:p>
            <w:r>
              <w:rPr>
                <w:sz w:val="20"/>
              </w:rPr>
              <w:t>IA / LLM</w:t>
            </w:r>
          </w:p>
        </w:tc>
        <w:tc>
          <w:tcPr>
            <w:tcW w:type="dxa" w:w="3118"/>
          </w:tcPr>
          <w:p>
            <w:r>
              <w:rPr>
                <w:sz w:val="20"/>
              </w:rPr>
              <w:t>LangChain + SDKs OpenAI/Anthropic/Google</w:t>
            </w:r>
          </w:p>
        </w:tc>
        <w:tc>
          <w:tcPr>
            <w:tcW w:type="dxa" w:w="3402"/>
          </w:tcPr>
          <w:p>
            <w:r>
              <w:rPr>
                <w:sz w:val="20"/>
              </w:rPr>
              <w:t>Abstraction multi-provider, streaming de tokens</w:t>
            </w:r>
          </w:p>
        </w:tc>
      </w:tr>
      <w:tr>
        <w:tc>
          <w:tcPr>
            <w:tcW w:type="dxa" w:w="2551"/>
            <w:shd w:val="clear" w:color="auto" w:fill="EFF6FF"/>
          </w:tcPr>
          <w:p>
            <w:r>
              <w:rPr>
                <w:sz w:val="20"/>
              </w:rPr>
              <w:t>Frontend</w:t>
            </w:r>
          </w:p>
        </w:tc>
        <w:tc>
          <w:tcPr>
            <w:tcW w:type="dxa" w:w="3118"/>
            <w:shd w:val="clear" w:color="auto" w:fill="EFF6FF"/>
          </w:tcPr>
          <w:p>
            <w:r>
              <w:rPr>
                <w:sz w:val="20"/>
              </w:rPr>
              <w:t>Next.js 16 + React 19 + Zustand</w:t>
            </w:r>
          </w:p>
        </w:tc>
        <w:tc>
          <w:tcPr>
            <w:tcW w:type="dxa" w:w="3402"/>
            <w:shd w:val="clear" w:color="auto" w:fill="EFF6FF"/>
          </w:tcPr>
          <w:p>
            <w:r>
              <w:rPr>
                <w:sz w:val="20"/>
              </w:rPr>
              <w:t>SSR, state léger, performance optimisée</w:t>
            </w:r>
          </w:p>
        </w:tc>
      </w:tr>
      <w:tr>
        <w:tc>
          <w:tcPr>
            <w:tcW w:type="dxa" w:w="2551"/>
          </w:tcPr>
          <w:p>
            <w:r>
              <w:rPr>
                <w:sz w:val="20"/>
              </w:rPr>
              <w:t>Visualisation</w:t>
            </w:r>
          </w:p>
        </w:tc>
        <w:tc>
          <w:tcPr>
            <w:tcW w:type="dxa" w:w="3118"/>
          </w:tcPr>
          <w:p>
            <w:r>
              <w:rPr>
                <w:sz w:val="20"/>
              </w:rPr>
              <w:t>XY Flow (React Flow)</w:t>
            </w:r>
          </w:p>
        </w:tc>
        <w:tc>
          <w:tcPr>
            <w:tcW w:type="dxa" w:w="3402"/>
          </w:tcPr>
          <w:p>
            <w:r>
              <w:rPr>
                <w:sz w:val="20"/>
              </w:rPr>
              <w:t>Graphes DAG interactifs, nœuds personnalisés</w:t>
            </w:r>
          </w:p>
        </w:tc>
      </w:tr>
      <w:tr>
        <w:tc>
          <w:tcPr>
            <w:tcW w:type="dxa" w:w="2551"/>
            <w:shd w:val="clear" w:color="auto" w:fill="EFF6FF"/>
          </w:tcPr>
          <w:p>
            <w:r>
              <w:rPr>
                <w:sz w:val="20"/>
              </w:rPr>
              <w:t>Validation</w:t>
            </w:r>
          </w:p>
        </w:tc>
        <w:tc>
          <w:tcPr>
            <w:tcW w:type="dxa" w:w="3118"/>
            <w:shd w:val="clear" w:color="auto" w:fill="EFF6FF"/>
          </w:tcPr>
          <w:p>
            <w:r>
              <w:rPr>
                <w:sz w:val="20"/>
              </w:rPr>
              <w:t>Zod + class-validator</w:t>
            </w:r>
          </w:p>
        </w:tc>
        <w:tc>
          <w:tcPr>
            <w:tcW w:type="dxa" w:w="3402"/>
            <w:shd w:val="clear" w:color="auto" w:fill="EFF6FF"/>
          </w:tcPr>
          <w:p>
            <w:r>
              <w:rPr>
                <w:sz w:val="20"/>
              </w:rPr>
              <w:t>Runtime safety, schéma partagé front/back</w:t>
            </w:r>
          </w:p>
        </w:tc>
      </w:tr>
      <w:tr>
        <w:tc>
          <w:tcPr>
            <w:tcW w:type="dxa" w:w="2551"/>
          </w:tcPr>
          <w:p>
            <w:r>
              <w:rPr>
                <w:sz w:val="20"/>
              </w:rPr>
              <w:t>Conteneurisation</w:t>
            </w:r>
          </w:p>
        </w:tc>
        <w:tc>
          <w:tcPr>
            <w:tcW w:type="dxa" w:w="3118"/>
          </w:tcPr>
          <w:p>
            <w:r>
              <w:rPr>
                <w:sz w:val="20"/>
              </w:rPr>
              <w:t>Docker + Kubernetes (Skaffold)</w:t>
            </w:r>
          </w:p>
        </w:tc>
        <w:tc>
          <w:tcPr>
            <w:tcW w:type="dxa" w:w="3402"/>
          </w:tcPr>
          <w:p>
            <w:r>
              <w:rPr>
                <w:sz w:val="20"/>
              </w:rPr>
              <w:t>Portabilité, orchestration, scaling horizontal</w:t>
            </w:r>
          </w:p>
        </w:tc>
      </w:tr>
      <w:tr>
        <w:tc>
          <w:tcPr>
            <w:tcW w:type="dxa" w:w="2551"/>
            <w:shd w:val="clear" w:color="auto" w:fill="EFF6FF"/>
          </w:tcPr>
          <w:p>
            <w:r>
              <w:rPr>
                <w:sz w:val="20"/>
              </w:rPr>
              <w:t>Temps réel</w:t>
            </w:r>
          </w:p>
        </w:tc>
        <w:tc>
          <w:tcPr>
            <w:tcW w:type="dxa" w:w="3118"/>
            <w:shd w:val="clear" w:color="auto" w:fill="EFF6FF"/>
          </w:tcPr>
          <w:p>
            <w:r>
              <w:rPr>
                <w:sz w:val="20"/>
              </w:rPr>
              <w:t>Socket.io (WebSocket)</w:t>
            </w:r>
          </w:p>
        </w:tc>
        <w:tc>
          <w:tcPr>
            <w:tcW w:type="dxa" w:w="3402"/>
            <w:shd w:val="clear" w:color="auto" w:fill="EFF6FF"/>
          </w:tcPr>
          <w:p>
            <w:r>
              <w:rPr>
                <w:sz w:val="20"/>
              </w:rPr>
              <w:t>Streaming d'exécution nœud par nœud</w:t>
            </w:r>
          </w:p>
        </w:tc>
      </w:tr>
    </w:tbl>
    <w:p/>
    <w:p>
      <w:pPr>
        <w:pStyle w:val="Heading2"/>
      </w:pPr>
      <w:r>
        <w:rPr>
          <w:b/>
          <w:color w:val="111827"/>
          <w:sz w:val="26"/>
        </w:rPr>
        <w:t>4.3 Sécurité de l'architecture</w:t>
      </w:r>
    </w:p>
    <w:p>
      <w:pPr>
        <w:pStyle w:val="ListBullet"/>
        <w:spacing w:after="60"/>
        <w:ind w:left="283"/>
      </w:pPr>
      <w:r>
        <w:rPr>
          <w:sz w:val="21"/>
        </w:rPr>
        <w:t>Authentification : JWT (RS256) avec expiration configurable</w:t>
      </w:r>
    </w:p>
    <w:p>
      <w:pPr>
        <w:pStyle w:val="ListBullet"/>
        <w:spacing w:after="60"/>
        <w:ind w:left="283"/>
      </w:pPr>
      <w:r>
        <w:rPr>
          <w:sz w:val="21"/>
        </w:rPr>
        <w:t>Autorisation : RBAC (ADMIN / USER / VIEWER) avec vérification par endpoint</w:t>
      </w:r>
    </w:p>
    <w:p>
      <w:pPr>
        <w:pStyle w:val="ListBullet"/>
        <w:spacing w:after="60"/>
        <w:ind w:left="283"/>
      </w:pPr>
      <w:r>
        <w:rPr>
          <w:sz w:val="21"/>
        </w:rPr>
        <w:t>Chiffrement : AES-256-GCM pour toutes les clés API tierces, clé dérivée par utilisateur</w:t>
      </w:r>
    </w:p>
    <w:p>
      <w:pPr>
        <w:pStyle w:val="ListBullet"/>
        <w:spacing w:after="60"/>
        <w:ind w:left="283"/>
      </w:pPr>
      <w:r>
        <w:rPr>
          <w:sz w:val="21"/>
        </w:rPr>
        <w:t>Sandbox : exécution JavaScript utilisateur dans isolated-vm (aucun accès système)</w:t>
      </w:r>
    </w:p>
    <w:p>
      <w:pPr>
        <w:pStyle w:val="ListBullet"/>
        <w:spacing w:after="60"/>
        <w:ind w:left="283"/>
      </w:pPr>
      <w:r>
        <w:rPr>
          <w:sz w:val="21"/>
        </w:rPr>
        <w:t>CORS : configuré par environnement, liste blanche d'origines</w:t>
      </w:r>
    </w:p>
    <w:p>
      <w:pPr>
        <w:pStyle w:val="ListBullet"/>
        <w:spacing w:after="60"/>
        <w:ind w:left="283"/>
      </w:pPr>
      <w:r>
        <w:rPr>
          <w:sz w:val="21"/>
        </w:rPr>
        <w:t>Rate limiting : par fournisseur LLM (minute / heure / jour), configurable</w:t>
      </w:r>
    </w:p>
    <w:p>
      <w:pPr>
        <w:pStyle w:val="ListBullet"/>
        <w:spacing w:after="60"/>
        <w:ind w:left="283"/>
      </w:pPr>
      <w:r>
        <w:rPr>
          <w:sz w:val="21"/>
        </w:rPr>
        <w:t>Audit trail : logs d'exécution complets avec input/output par nœud</w:t>
      </w:r>
    </w:p>
    <w:p>
      <w:r>
        <w:br w:type="page"/>
      </w:r>
    </w:p>
    <w:p>
      <w:pPr>
        <w:pStyle w:val="Heading1"/>
        <w:jc w:val="left"/>
      </w:pPr>
      <w:r>
        <w:rPr>
          <w:b/>
          <w:color w:val="1A56DB"/>
          <w:sz w:val="32"/>
        </w:rPr>
        <w:t>5. Fonctionnalités clés</w:t>
      </w:r>
    </w:p>
    <w:p>
      <w:pPr>
        <w:pBdr>
          <w:bottom w:val="single" w:sz="4" w:space="1" w:color="1A56DB"/>
        </w:pBdr>
        <w:spacing w:after="160"/>
      </w:pPr>
    </w:p>
    <w:p>
      <w:pPr>
        <w:pStyle w:val="Heading2"/>
      </w:pPr>
      <w:r>
        <w:rPr>
          <w:b/>
          <w:color w:val="111827"/>
          <w:sz w:val="26"/>
        </w:rPr>
        <w:t>5.1 Concepteur de workflows visuels</w:t>
      </w:r>
    </w:p>
    <w:p>
      <w:pPr>
        <w:spacing w:after="120"/>
      </w:pPr>
      <w:r>
        <w:rPr>
          <w:sz w:val="21"/>
        </w:rPr>
        <w:t>Le canvas de conception (XY Flow) permet de construire des workflows sous forme de graphes orientés. Chaque nœud représente une opération ; les arêtes définissent le flux de données avec expressions conditionnelles optionnelles.</w:t>
      </w:r>
    </w:p>
    <w:tbl>
      <w:tblPr>
        <w:tblStyle w:val="TableGrid"/>
        <w:tblW w:type="auto" w:w="0"/>
        <w:tblLook w:firstColumn="1" w:firstRow="1" w:lastColumn="0" w:lastRow="0" w:noHBand="0" w:noVBand="1" w:val="04A0"/>
      </w:tblPr>
      <w:tblGrid>
        <w:gridCol w:w="4561"/>
        <w:gridCol w:w="4561"/>
      </w:tblGrid>
      <w:tr>
        <w:tc>
          <w:tcPr>
            <w:tcW w:type="dxa" w:w="2268"/>
            <w:shd w:val="clear" w:color="auto" w:fill="1A56DB"/>
          </w:tcPr>
          <w:p>
            <w:r>
              <w:rPr>
                <w:b/>
                <w:color w:val="FFFFFF"/>
                <w:sz w:val="20"/>
              </w:rPr>
              <w:t>Catégorie</w:t>
            </w:r>
          </w:p>
        </w:tc>
        <w:tc>
          <w:tcPr>
            <w:tcW w:type="dxa" w:w="6803"/>
            <w:shd w:val="clear" w:color="auto" w:fill="1A56DB"/>
          </w:tcPr>
          <w:p>
            <w:r>
              <w:rPr>
                <w:b/>
                <w:color w:val="FFFFFF"/>
                <w:sz w:val="20"/>
              </w:rPr>
              <w:t>Types de nœuds</w:t>
            </w:r>
          </w:p>
        </w:tc>
      </w:tr>
      <w:tr>
        <w:tc>
          <w:tcPr>
            <w:tcW w:type="dxa" w:w="2268"/>
          </w:tcPr>
          <w:p>
            <w:r>
              <w:rPr>
                <w:sz w:val="20"/>
              </w:rPr>
              <w:t>Contrôle de flux</w:t>
            </w:r>
          </w:p>
        </w:tc>
        <w:tc>
          <w:tcPr>
            <w:tcW w:type="dxa" w:w="6803"/>
          </w:tcPr>
          <w:p>
            <w:r>
              <w:rPr>
                <w:sz w:val="20"/>
              </w:rPr>
              <w:t>START · END · CONDITIONAL · LOOP · PROMPT (interaction utilisateur)</w:t>
            </w:r>
          </w:p>
        </w:tc>
      </w:tr>
      <w:tr>
        <w:tc>
          <w:tcPr>
            <w:tcW w:type="dxa" w:w="2268"/>
            <w:shd w:val="clear" w:color="auto" w:fill="EFF6FF"/>
          </w:tcPr>
          <w:p>
            <w:r>
              <w:rPr>
                <w:sz w:val="20"/>
              </w:rPr>
              <w:t>Intelligence artificielle</w:t>
            </w:r>
          </w:p>
        </w:tc>
        <w:tc>
          <w:tcPr>
            <w:tcW w:type="dxa" w:w="6803"/>
            <w:shd w:val="clear" w:color="auto" w:fill="EFF6FF"/>
          </w:tcPr>
          <w:p>
            <w:r>
              <w:rPr>
                <w:sz w:val="20"/>
              </w:rPr>
              <w:t>AGENT · ORCHESTRATOR (multi-agent) · SUBWORKFLOW</w:t>
            </w:r>
          </w:p>
        </w:tc>
      </w:tr>
      <w:tr>
        <w:tc>
          <w:tcPr>
            <w:tcW w:type="dxa" w:w="2268"/>
          </w:tcPr>
          <w:p>
            <w:r>
              <w:rPr>
                <w:sz w:val="20"/>
              </w:rPr>
              <w:t>Données</w:t>
            </w:r>
          </w:p>
        </w:tc>
        <w:tc>
          <w:tcPr>
            <w:tcW w:type="dxa" w:w="6803"/>
          </w:tcPr>
          <w:p>
            <w:r>
              <w:rPr>
                <w:sz w:val="20"/>
              </w:rPr>
              <w:t>TRANSFORM · TEXT · FILE · WORKSPACE_READ · WORKSPACE_WRITE</w:t>
            </w:r>
          </w:p>
        </w:tc>
      </w:tr>
      <w:tr>
        <w:tc>
          <w:tcPr>
            <w:tcW w:type="dxa" w:w="2268"/>
            <w:shd w:val="clear" w:color="auto" w:fill="EFF6FF"/>
          </w:tcPr>
          <w:p>
            <w:r>
              <w:rPr>
                <w:sz w:val="20"/>
              </w:rPr>
              <w:t>Intégrations</w:t>
            </w:r>
          </w:p>
        </w:tc>
        <w:tc>
          <w:tcPr>
            <w:tcW w:type="dxa" w:w="6803"/>
            <w:shd w:val="clear" w:color="auto" w:fill="EFF6FF"/>
          </w:tcPr>
          <w:p>
            <w:r>
              <w:rPr>
                <w:sz w:val="20"/>
              </w:rPr>
              <w:t>TOOL · MCP · GITHUB · SLACK · WHATSAPP · SHELL</w:t>
            </w:r>
          </w:p>
        </w:tc>
      </w:tr>
    </w:tbl>
    <w:p/>
    <w:p>
      <w:pPr>
        <w:pStyle w:val="Heading2"/>
      </w:pPr>
      <w:r>
        <w:rPr>
          <w:b/>
          <w:color w:val="111827"/>
          <w:sz w:val="26"/>
        </w:rPr>
        <w:t>5.2 Moteur d'exécution des agents IA</w:t>
      </w:r>
    </w:p>
    <w:p>
      <w:pPr>
        <w:pStyle w:val="ListBullet"/>
        <w:spacing w:after="60"/>
        <w:ind w:left="283"/>
      </w:pPr>
      <w:r>
        <w:rPr>
          <w:sz w:val="21"/>
        </w:rPr>
        <w:t>Support multi-LLM : OpenAI (GPT-4o, GPT-4-turbo), Anthropic (Claude 3.5/3), Google (Gemini Pro/Flash), Azure OpenAI, Ollama (local)</w:t>
      </w:r>
    </w:p>
    <w:p>
      <w:pPr>
        <w:pStyle w:val="ListBullet"/>
        <w:spacing w:after="60"/>
        <w:ind w:left="283"/>
      </w:pPr>
      <w:r>
        <w:rPr>
          <w:sz w:val="21"/>
        </w:rPr>
        <w:t>Streaming de tokens en temps réel via WebSocket vers le frontend</w:t>
      </w:r>
    </w:p>
    <w:p>
      <w:pPr>
        <w:pStyle w:val="ListBullet"/>
        <w:spacing w:after="60"/>
        <w:ind w:left="283"/>
      </w:pPr>
      <w:r>
        <w:rPr>
          <w:sz w:val="21"/>
        </w:rPr>
        <w:t>Binding d'outils : les agents peuvent invoquer des outils (scraping, HTTP, fichiers, code JS)</w:t>
      </w:r>
    </w:p>
    <w:p>
      <w:pPr>
        <w:pStyle w:val="ListBullet"/>
        <w:spacing w:after="60"/>
        <w:ind w:left="283"/>
      </w:pPr>
      <w:r>
        <w:rPr>
          <w:sz w:val="21"/>
        </w:rPr>
        <w:t>Paramètres configurables : température, max_tokens, système de prompts, post-processing pipeline</w:t>
      </w:r>
    </w:p>
    <w:p>
      <w:pPr>
        <w:pStyle w:val="ListBullet"/>
        <w:spacing w:after="60"/>
        <w:ind w:left="283"/>
      </w:pPr>
      <w:r>
        <w:rPr>
          <w:sz w:val="21"/>
        </w:rPr>
        <w:t>Pattern Ask-User : un agent peut suspendre le workflow et poser une question à l'utilisateur</w:t>
      </w:r>
    </w:p>
    <w:p>
      <w:pPr>
        <w:pStyle w:val="Heading2"/>
      </w:pPr>
      <w:r>
        <w:rPr>
          <w:b/>
          <w:color w:val="111827"/>
          <w:sz w:val="26"/>
        </w:rPr>
        <w:t>5.3 Système d'auto-guérison (AI Healing)</w:t>
      </w:r>
    </w:p>
    <w:p>
      <w:pPr>
        <w:spacing w:after="120"/>
      </w:pPr>
      <w:r>
        <w:rPr>
          <w:sz w:val="21"/>
        </w:rPr>
        <w:t>Lorsqu'un nœud échoue après épuisement des tentatives, le système envoie le contexte d'erreur à un modèle de guérison configuré. Ce modèle génère des suggestions de correction avec un score de confiance :</w:t>
      </w:r>
    </w:p>
    <w:p>
      <w:pPr>
        <w:pStyle w:val="ListBullet"/>
        <w:spacing w:after="60"/>
        <w:ind w:left="283"/>
      </w:pPr>
      <w:r>
        <w:rPr>
          <w:sz w:val="21"/>
        </w:rPr>
        <w:t>≥ 75% de confiance → correction automatique appliquée (stratégie AUTO_FIX)</w:t>
      </w:r>
    </w:p>
    <w:p>
      <w:pPr>
        <w:pStyle w:val="ListBullet"/>
        <w:spacing w:after="60"/>
        <w:ind w:left="283"/>
      </w:pPr>
      <w:r>
        <w:rPr>
          <w:sz w:val="21"/>
        </w:rPr>
        <w:t>&lt; 75% → suggestion enregistrée pour validation humaine (MANUAL_APPROVAL)</w:t>
      </w:r>
    </w:p>
    <w:p>
      <w:pPr>
        <w:pStyle w:val="ListBullet"/>
        <w:spacing w:after="60"/>
        <w:ind w:left="283"/>
      </w:pPr>
      <w:r>
        <w:rPr>
          <w:sz w:val="21"/>
        </w:rPr>
        <w:t>Traitement des échecs techniques ET fonctionnels (réponse incorrecte sans erreur technique)</w:t>
      </w:r>
    </w:p>
    <w:p>
      <w:pPr>
        <w:pStyle w:val="ListBullet"/>
        <w:spacing w:after="60"/>
        <w:ind w:left="283"/>
      </w:pPr>
      <w:r>
        <w:rPr>
          <w:sz w:val="21"/>
        </w:rPr>
        <w:t>Historique complet des guérisons dans WorkflowHealingLog</w:t>
      </w:r>
    </w:p>
    <w:p>
      <w:pPr>
        <w:pStyle w:val="Heading2"/>
      </w:pPr>
      <w:r>
        <w:rPr>
          <w:b/>
          <w:color w:val="111827"/>
          <w:sz w:val="26"/>
        </w:rPr>
        <w:t>5.4 Gestion des modèles et des coûts</w:t>
      </w:r>
    </w:p>
    <w:p>
      <w:pPr>
        <w:pStyle w:val="ListBullet"/>
        <w:spacing w:after="60"/>
        <w:ind w:left="283"/>
      </w:pPr>
      <w:r>
        <w:rPr>
          <w:sz w:val="21"/>
        </w:rPr>
        <w:t>Registre de modèles : métadonnées complètes (fournisseur, tokens max, streaming, coût par 1K tokens)</w:t>
      </w:r>
    </w:p>
    <w:p>
      <w:pPr>
        <w:pStyle w:val="ListBullet"/>
        <w:spacing w:after="60"/>
        <w:ind w:left="283"/>
      </w:pPr>
      <w:r>
        <w:rPr>
          <w:sz w:val="21"/>
        </w:rPr>
        <w:t>Suivi granulaire des tokens : input/output par agent, par workflow, par utilisateur</w:t>
      </w:r>
    </w:p>
    <w:p>
      <w:pPr>
        <w:pStyle w:val="ListBullet"/>
        <w:spacing w:after="60"/>
        <w:ind w:left="283"/>
      </w:pPr>
      <w:r>
        <w:rPr>
          <w:sz w:val="21"/>
        </w:rPr>
        <w:t>Rate limiting par fournisseur : limites minute/heure/jour configurables</w:t>
      </w:r>
    </w:p>
    <w:p>
      <w:pPr>
        <w:pStyle w:val="ListBullet"/>
        <w:spacing w:after="60"/>
        <w:ind w:left="283"/>
      </w:pPr>
      <w:r>
        <w:rPr>
          <w:sz w:val="21"/>
        </w:rPr>
        <w:t>Gestion des clés API : stockage chiffré, validation, suivi d'utilisation</w:t>
      </w:r>
    </w:p>
    <w:p>
      <w:pPr>
        <w:pStyle w:val="Heading2"/>
      </w:pPr>
      <w:r>
        <w:rPr>
          <w:b/>
          <w:color w:val="111827"/>
          <w:sz w:val="26"/>
        </w:rPr>
        <w:t>5.5 Recherche sémantique et RAG</w:t>
      </w:r>
    </w:p>
    <w:p>
      <w:pPr>
        <w:pStyle w:val="ListBullet"/>
        <w:spacing w:after="60"/>
        <w:ind w:left="283"/>
      </w:pPr>
      <w:r>
        <w:rPr>
          <w:sz w:val="21"/>
        </w:rPr>
        <w:t>Collections vectorielles Qdrant par utilisateur avec dimension configurable</w:t>
      </w:r>
    </w:p>
    <w:p>
      <w:pPr>
        <w:pStyle w:val="ListBullet"/>
        <w:spacing w:after="60"/>
        <w:ind w:left="283"/>
      </w:pPr>
      <w:r>
        <w:rPr>
          <w:sz w:val="21"/>
        </w:rPr>
        <w:t>Indexation automatique des fichiers : chunking → embedding → stockage vectoriel</w:t>
      </w:r>
    </w:p>
    <w:p>
      <w:pPr>
        <w:pStyle w:val="ListBullet"/>
        <w:spacing w:after="60"/>
        <w:ind w:left="283"/>
      </w:pPr>
      <w:r>
        <w:rPr>
          <w:sz w:val="21"/>
        </w:rPr>
        <w:t>Recherche par similarité cosinus pour le Retrieval-Augmented Generation (RAG)</w:t>
      </w:r>
    </w:p>
    <w:p>
      <w:pPr>
        <w:pStyle w:val="ListBullet"/>
        <w:spacing w:after="60"/>
        <w:ind w:left="283"/>
      </w:pPr>
      <w:r>
        <w:rPr>
          <w:sz w:val="21"/>
        </w:rPr>
        <w:t>Intégration native dans les workflows via les nœuds TOOL et AGENT</w:t>
      </w:r>
    </w:p>
    <w:p>
      <w:r>
        <w:br w:type="page"/>
      </w:r>
    </w:p>
    <w:p>
      <w:pPr>
        <w:pStyle w:val="Heading1"/>
        <w:jc w:val="left"/>
      </w:pPr>
      <w:r>
        <w:rPr>
          <w:b/>
          <w:color w:val="1A56DB"/>
          <w:sz w:val="32"/>
        </w:rPr>
        <w:t>6. Cas d'usage concrets</w:t>
      </w:r>
    </w:p>
    <w:p>
      <w:pPr>
        <w:pBdr>
          <w:bottom w:val="single" w:sz="4" w:space="1" w:color="1A56DB"/>
        </w:pBdr>
        <w:spacing w:after="160"/>
      </w:pPr>
    </w:p>
    <w:p>
      <w:pPr>
        <w:pStyle w:val="Heading2"/>
      </w:pPr>
      <w:r>
        <w:rPr>
          <w:b/>
          <w:color w:val="111827"/>
          <w:sz w:val="26"/>
        </w:rPr>
        <w:t>6.1 Automatisation du développement logiciel</w:t>
      </w:r>
    </w:p>
    <w:p>
      <w:pPr>
        <w:spacing w:before="80" w:after="160"/>
        <w:ind w:left="283" w:right="283"/>
        <w:shd w:val="clear" w:color="auto" w:fill="F0F9FF"/>
      </w:pPr>
      <w:r>
        <w:rPr>
          <w:i/>
          <w:color w:val="1E40AF"/>
          <w:sz w:val="21"/>
        </w:rPr>
        <w:t>Secteur : Tech / Agences logicielles — Gain : -60% de temps sur les revues de code</w:t>
      </w:r>
    </w:p>
    <w:p>
      <w:pPr>
        <w:spacing w:after="120"/>
      </w:pPr>
      <w:r>
        <w:rPr>
          <w:sz w:val="21"/>
        </w:rPr>
        <w:t>Workflow type :</w:t>
      </w:r>
    </w:p>
    <w:p>
      <w:pPr>
        <w:pStyle w:val="ListBullet"/>
        <w:spacing w:after="60"/>
        <w:ind w:left="283"/>
      </w:pPr>
      <w:r>
        <w:rPr>
          <w:sz w:val="21"/>
        </w:rPr>
        <w:t>Déclencheur : nouveau commit sur GitHub (nœud GITHUB)</w:t>
      </w:r>
    </w:p>
    <w:p>
      <w:pPr>
        <w:pStyle w:val="ListBullet"/>
        <w:spacing w:after="60"/>
        <w:ind w:left="283"/>
      </w:pPr>
      <w:r>
        <w:rPr>
          <w:sz w:val="21"/>
        </w:rPr>
        <w:t>Agent Claude analyse le diff et génère une revue de code structurée (nœud AGENT)</w:t>
      </w:r>
    </w:p>
    <w:p>
      <w:pPr>
        <w:pStyle w:val="ListBullet"/>
        <w:spacing w:after="60"/>
        <w:ind w:left="283"/>
      </w:pPr>
      <w:r>
        <w:rPr>
          <w:sz w:val="21"/>
        </w:rPr>
        <w:t>Transformation du résultat en commentaires GitHub (nœud TRANSFORM)</w:t>
      </w:r>
    </w:p>
    <w:p>
      <w:pPr>
        <w:pStyle w:val="ListBullet"/>
        <w:spacing w:after="60"/>
        <w:ind w:left="283"/>
      </w:pPr>
      <w:r>
        <w:rPr>
          <w:sz w:val="21"/>
        </w:rPr>
        <w:t>Publication des commentaires et notification Slack (nœuds GITHUB + SLACK)</w:t>
      </w:r>
    </w:p>
    <w:p>
      <w:pPr>
        <w:pStyle w:val="ListBullet"/>
        <w:spacing w:after="60"/>
        <w:ind w:left="283"/>
      </w:pPr>
      <w:r>
        <w:rPr>
          <w:sz w:val="21"/>
        </w:rPr>
        <w:t>Si des bugs critiques sont détectés : création automatique d'une issue (GITHUB)</w:t>
      </w:r>
    </w:p>
    <w:p>
      <w:pPr>
        <w:pStyle w:val="Heading2"/>
      </w:pPr>
      <w:r>
        <w:rPr>
          <w:b/>
          <w:color w:val="111827"/>
          <w:sz w:val="26"/>
        </w:rPr>
        <w:t>6.2 Support client intelligent</w:t>
      </w:r>
    </w:p>
    <w:p>
      <w:pPr>
        <w:spacing w:before="80" w:after="160"/>
        <w:ind w:left="283" w:right="283"/>
        <w:shd w:val="clear" w:color="auto" w:fill="F0F9FF"/>
      </w:pPr>
      <w:r>
        <w:rPr>
          <w:i/>
          <w:color w:val="1E40AF"/>
          <w:sz w:val="21"/>
        </w:rPr>
        <w:t>Secteur : E-commerce / SaaS — Gain : -40% de tickets escaladés aux humains</w:t>
      </w:r>
    </w:p>
    <w:p>
      <w:pPr>
        <w:spacing w:after="120"/>
      </w:pPr>
      <w:r>
        <w:rPr>
          <w:sz w:val="21"/>
        </w:rPr>
        <w:t>Workflow type :</w:t>
      </w:r>
    </w:p>
    <w:p>
      <w:pPr>
        <w:pStyle w:val="ListBullet"/>
        <w:spacing w:after="60"/>
        <w:ind w:left="283"/>
      </w:pPr>
      <w:r>
        <w:rPr>
          <w:sz w:val="21"/>
        </w:rPr>
        <w:t>Réception d'une demande client via webhook (nœud TOOL HTTP)</w:t>
      </w:r>
    </w:p>
    <w:p>
      <w:pPr>
        <w:pStyle w:val="ListBullet"/>
        <w:spacing w:after="60"/>
        <w:ind w:left="283"/>
      </w:pPr>
      <w:r>
        <w:rPr>
          <w:sz w:val="21"/>
        </w:rPr>
        <w:t>Recherche sémantique dans la base de connaissances (nœud TOOL via Vector Service)</w:t>
      </w:r>
    </w:p>
    <w:p>
      <w:pPr>
        <w:pStyle w:val="ListBullet"/>
        <w:spacing w:after="60"/>
        <w:ind w:left="283"/>
      </w:pPr>
      <w:r>
        <w:rPr>
          <w:sz w:val="21"/>
        </w:rPr>
        <w:t>Génération d'une réponse contextualisée par Claude/GPT-4 (nœud AGENT)</w:t>
      </w:r>
    </w:p>
    <w:p>
      <w:pPr>
        <w:pStyle w:val="ListBullet"/>
        <w:spacing w:after="60"/>
        <w:ind w:left="283"/>
      </w:pPr>
      <w:r>
        <w:rPr>
          <w:sz w:val="21"/>
        </w:rPr>
        <w:t>Niveau de confiance &lt; 70% → escalade vers un humain avec résumé (nœud CONDITIONAL + SLACK)</w:t>
      </w:r>
    </w:p>
    <w:p>
      <w:pPr>
        <w:pStyle w:val="ListBullet"/>
        <w:spacing w:after="60"/>
        <w:ind w:left="283"/>
      </w:pPr>
      <w:r>
        <w:rPr>
          <w:sz w:val="21"/>
        </w:rPr>
        <w:t>Réponse automatique envoyée via WhatsApp ou email (nœud WHATSAPP / TOOL)</w:t>
      </w:r>
    </w:p>
    <w:p>
      <w:pPr>
        <w:pStyle w:val="Heading2"/>
      </w:pPr>
      <w:r>
        <w:rPr>
          <w:b/>
          <w:color w:val="111827"/>
          <w:sz w:val="26"/>
        </w:rPr>
        <w:t>6.3 Pipeline d'analyse de données financières</w:t>
      </w:r>
    </w:p>
    <w:p>
      <w:pPr>
        <w:spacing w:before="80" w:after="160"/>
        <w:ind w:left="283" w:right="283"/>
        <w:shd w:val="clear" w:color="auto" w:fill="F0F9FF"/>
      </w:pPr>
      <w:r>
        <w:rPr>
          <w:i/>
          <w:color w:val="1E40AF"/>
          <w:sz w:val="21"/>
        </w:rPr>
        <w:t>Secteur : Finance / FinTech — Gain : rapports d'analyse produits en 5 min vs 2h</w:t>
      </w:r>
    </w:p>
    <w:p>
      <w:pPr>
        <w:spacing w:after="120"/>
      </w:pPr>
      <w:r>
        <w:rPr>
          <w:sz w:val="21"/>
        </w:rPr>
        <w:t>Workflow type :</w:t>
      </w:r>
    </w:p>
    <w:p>
      <w:pPr>
        <w:pStyle w:val="ListBullet"/>
        <w:spacing w:after="60"/>
        <w:ind w:left="283"/>
      </w:pPr>
      <w:r>
        <w:rPr>
          <w:sz w:val="21"/>
        </w:rPr>
        <w:t>Lecture de fichiers CSV depuis le workspace (nœud WORKSPACE_READ)</w:t>
      </w:r>
    </w:p>
    <w:p>
      <w:pPr>
        <w:pStyle w:val="ListBullet"/>
        <w:spacing w:after="60"/>
        <w:ind w:left="283"/>
      </w:pPr>
      <w:r>
        <w:rPr>
          <w:sz w:val="21"/>
        </w:rPr>
        <w:t>Transformation et nettoyage des données (nœud TRANSFORM + LOOP)</w:t>
      </w:r>
    </w:p>
    <w:p>
      <w:pPr>
        <w:pStyle w:val="ListBullet"/>
        <w:spacing w:after="60"/>
        <w:ind w:left="283"/>
      </w:pPr>
      <w:r>
        <w:rPr>
          <w:sz w:val="21"/>
        </w:rPr>
        <w:t>Analyse par GPT-4o avec contexte métier injecté (nœud AGENT)</w:t>
      </w:r>
    </w:p>
    <w:p>
      <w:pPr>
        <w:pStyle w:val="ListBullet"/>
        <w:spacing w:after="60"/>
        <w:ind w:left="283"/>
      </w:pPr>
      <w:r>
        <w:rPr>
          <w:sz w:val="21"/>
        </w:rPr>
        <w:t>Génération d'un rapport structuré (nœud TRANSFORM)</w:t>
      </w:r>
    </w:p>
    <w:p>
      <w:pPr>
        <w:pStyle w:val="ListBullet"/>
        <w:spacing w:after="60"/>
        <w:ind w:left="283"/>
      </w:pPr>
      <w:r>
        <w:rPr>
          <w:sz w:val="21"/>
        </w:rPr>
        <w:t>Écriture du rapport et notification de l'équipe (WORKSPACE_WRITE + SLACK)</w:t>
      </w:r>
    </w:p>
    <w:p>
      <w:pPr>
        <w:pStyle w:val="Heading2"/>
      </w:pPr>
      <w:r>
        <w:rPr>
          <w:b/>
          <w:color w:val="111827"/>
          <w:sz w:val="26"/>
        </w:rPr>
        <w:t>6.4 Gestion de projet automatisée</w:t>
      </w:r>
    </w:p>
    <w:p>
      <w:pPr>
        <w:spacing w:before="80" w:after="160"/>
        <w:ind w:left="283" w:right="283"/>
        <w:shd w:val="clear" w:color="auto" w:fill="F0F9FF"/>
      </w:pPr>
      <w:r>
        <w:rPr>
          <w:i/>
          <w:color w:val="1E40AF"/>
          <w:sz w:val="21"/>
        </w:rPr>
        <w:t>Secteur : Agences / Startups — Gain : -70% de tâches de mise à jour manuelle</w:t>
      </w:r>
    </w:p>
    <w:p>
      <w:pPr>
        <w:spacing w:after="120"/>
      </w:pPr>
      <w:r>
        <w:rPr>
          <w:sz w:val="21"/>
        </w:rPr>
        <w:t>Workflow type :</w:t>
      </w:r>
    </w:p>
    <w:p>
      <w:pPr>
        <w:pStyle w:val="ListBullet"/>
        <w:spacing w:after="60"/>
        <w:ind w:left="283"/>
      </w:pPr>
      <w:r>
        <w:rPr>
          <w:sz w:val="21"/>
        </w:rPr>
        <w:t>Déclencheur quotidien : récupération du statut des cartes Trello (nœud MCP Trello)</w:t>
      </w:r>
    </w:p>
    <w:p>
      <w:pPr>
        <w:pStyle w:val="ListBullet"/>
        <w:spacing w:after="60"/>
        <w:ind w:left="283"/>
      </w:pPr>
      <w:r>
        <w:rPr>
          <w:sz w:val="21"/>
        </w:rPr>
        <w:t>Analyse des blocages et retards par un agent IA (nœud AGENT)</w:t>
      </w:r>
    </w:p>
    <w:p>
      <w:pPr>
        <w:pStyle w:val="ListBullet"/>
        <w:spacing w:after="60"/>
        <w:ind w:left="283"/>
      </w:pPr>
      <w:r>
        <w:rPr>
          <w:sz w:val="21"/>
        </w:rPr>
        <w:t>Génération de recommandations et priorisation automatique</w:t>
      </w:r>
    </w:p>
    <w:p>
      <w:pPr>
        <w:pStyle w:val="ListBullet"/>
        <w:spacing w:after="60"/>
        <w:ind w:left="283"/>
      </w:pPr>
      <w:r>
        <w:rPr>
          <w:sz w:val="21"/>
        </w:rPr>
        <w:t>Mise à jour des cartes Trello avec nouvelles priorités (MCP Trello)</w:t>
      </w:r>
    </w:p>
    <w:p>
      <w:pPr>
        <w:pStyle w:val="ListBullet"/>
        <w:spacing w:after="60"/>
        <w:ind w:left="283"/>
      </w:pPr>
      <w:r>
        <w:rPr>
          <w:sz w:val="21"/>
        </w:rPr>
        <w:t>Rapport de stand-up automatique envoyé sur Slack (SLACK)</w:t>
      </w:r>
    </w:p>
    <w:p>
      <w:pPr>
        <w:pStyle w:val="Heading2"/>
      </w:pPr>
      <w:r>
        <w:rPr>
          <w:b/>
          <w:color w:val="111827"/>
          <w:sz w:val="26"/>
        </w:rPr>
        <w:t>6.5 Génération de contenu à grande échelle</w:t>
      </w:r>
    </w:p>
    <w:p>
      <w:pPr>
        <w:spacing w:before="80" w:after="160"/>
        <w:ind w:left="283" w:right="283"/>
        <w:shd w:val="clear" w:color="auto" w:fill="F0F9FF"/>
      </w:pPr>
      <w:r>
        <w:rPr>
          <w:i/>
          <w:color w:val="1E40AF"/>
          <w:sz w:val="21"/>
        </w:rPr>
        <w:t>Secteur : Marketing / Médias — Gain : production de contenu x10</w:t>
      </w:r>
    </w:p>
    <w:p>
      <w:pPr>
        <w:spacing w:after="120"/>
      </w:pPr>
      <w:r>
        <w:rPr>
          <w:sz w:val="21"/>
        </w:rPr>
        <w:t>Workflow type :</w:t>
      </w:r>
    </w:p>
    <w:p>
      <w:pPr>
        <w:pStyle w:val="ListBullet"/>
        <w:spacing w:after="60"/>
        <w:ind w:left="283"/>
      </w:pPr>
      <w:r>
        <w:rPr>
          <w:sz w:val="21"/>
        </w:rPr>
        <w:t>Recherche de tendances via des outils HTTP (nœud TOOL)</w:t>
      </w:r>
    </w:p>
    <w:p>
      <w:pPr>
        <w:pStyle w:val="ListBullet"/>
        <w:spacing w:after="60"/>
        <w:ind w:left="283"/>
      </w:pPr>
      <w:r>
        <w:rPr>
          <w:sz w:val="21"/>
        </w:rPr>
        <w:t>Sous-workflow en boucle (LOOP + SUBWORKFLOW) pour générer N articles</w:t>
      </w:r>
    </w:p>
    <w:p>
      <w:pPr>
        <w:pStyle w:val="ListBullet"/>
        <w:spacing w:after="60"/>
        <w:ind w:left="283"/>
      </w:pPr>
      <w:r>
        <w:rPr>
          <w:sz w:val="21"/>
        </w:rPr>
        <w:t>Chaque sous-workflow : brief → rédaction (Claude) → révision (GPT-4) → optimisation SEO</w:t>
      </w:r>
    </w:p>
    <w:p>
      <w:pPr>
        <w:pStyle w:val="ListBullet"/>
        <w:spacing w:after="60"/>
        <w:ind w:left="283"/>
      </w:pPr>
      <w:r>
        <w:rPr>
          <w:sz w:val="21"/>
        </w:rPr>
        <w:t>Stockage des articles dans le workspace + notification publication</w:t>
      </w:r>
    </w:p>
    <w:p>
      <w:r>
        <w:br w:type="page"/>
      </w:r>
    </w:p>
    <w:p>
      <w:pPr>
        <w:pStyle w:val="Heading1"/>
        <w:jc w:val="left"/>
      </w:pPr>
      <w:r>
        <w:rPr>
          <w:b/>
          <w:color w:val="1A56DB"/>
          <w:sz w:val="32"/>
        </w:rPr>
        <w:t>7. Possibilités d'intégration</w:t>
      </w:r>
    </w:p>
    <w:p>
      <w:pPr>
        <w:pBdr>
          <w:bottom w:val="single" w:sz="4" w:space="1" w:color="1A56DB"/>
        </w:pBdr>
        <w:spacing w:after="160"/>
      </w:pPr>
    </w:p>
    <w:p>
      <w:pPr>
        <w:pStyle w:val="Heading2"/>
      </w:pPr>
      <w:r>
        <w:rPr>
          <w:b/>
          <w:color w:val="111827"/>
          <w:sz w:val="26"/>
        </w:rPr>
        <w:t>7.1 Intégrations natives actuelles</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1A56DB"/>
          </w:tcPr>
          <w:p>
            <w:r>
              <w:rPr>
                <w:b/>
                <w:color w:val="FFFFFF"/>
                <w:sz w:val="20"/>
              </w:rPr>
              <w:t>Catégorie</w:t>
            </w:r>
          </w:p>
        </w:tc>
        <w:tc>
          <w:tcPr>
            <w:tcW w:type="dxa" w:w="1984"/>
            <w:shd w:val="clear" w:color="auto" w:fill="1A56DB"/>
          </w:tcPr>
          <w:p>
            <w:r>
              <w:rPr>
                <w:b/>
                <w:color w:val="FFFFFF"/>
                <w:sz w:val="20"/>
              </w:rPr>
              <w:t>Intégration</w:t>
            </w:r>
          </w:p>
        </w:tc>
        <w:tc>
          <w:tcPr>
            <w:tcW w:type="dxa" w:w="5102"/>
            <w:shd w:val="clear" w:color="auto" w:fill="1A56DB"/>
          </w:tcPr>
          <w:p>
            <w:r>
              <w:rPr>
                <w:b/>
                <w:color w:val="FFFFFF"/>
                <w:sz w:val="20"/>
              </w:rPr>
              <w:t>Capacités</w:t>
            </w:r>
          </w:p>
        </w:tc>
      </w:tr>
      <w:tr>
        <w:tc>
          <w:tcPr>
            <w:tcW w:type="dxa" w:w="1984"/>
          </w:tcPr>
          <w:p>
            <w:r>
              <w:rPr>
                <w:sz w:val="20"/>
              </w:rPr>
              <w:t>LLM Providers</w:t>
            </w:r>
          </w:p>
        </w:tc>
        <w:tc>
          <w:tcPr>
            <w:tcW w:type="dxa" w:w="1984"/>
          </w:tcPr>
          <w:p>
            <w:r>
              <w:rPr>
                <w:sz w:val="20"/>
              </w:rPr>
              <w:t>OpenAI</w:t>
            </w:r>
          </w:p>
        </w:tc>
        <w:tc>
          <w:tcPr>
            <w:tcW w:type="dxa" w:w="5102"/>
          </w:tcPr>
          <w:p>
            <w:r>
              <w:rPr>
                <w:sz w:val="20"/>
              </w:rPr>
              <w:t>GPT-4o, GPT-4-turbo, GPT-3.5, streaming, function calling</w:t>
            </w:r>
          </w:p>
        </w:tc>
      </w:tr>
      <w:tr>
        <w:tc>
          <w:tcPr>
            <w:tcW w:type="dxa" w:w="1984"/>
            <w:shd w:val="clear" w:color="auto" w:fill="EFF6FF"/>
          </w:tcPr>
          <w:p>
            <w:r>
              <w:rPr>
                <w:sz w:val="20"/>
              </w:rPr>
              <w:t>LLM Providers</w:t>
            </w:r>
          </w:p>
        </w:tc>
        <w:tc>
          <w:tcPr>
            <w:tcW w:type="dxa" w:w="1984"/>
            <w:shd w:val="clear" w:color="auto" w:fill="EFF6FF"/>
          </w:tcPr>
          <w:p>
            <w:r>
              <w:rPr>
                <w:sz w:val="20"/>
              </w:rPr>
              <w:t>Anthropic</w:t>
            </w:r>
          </w:p>
        </w:tc>
        <w:tc>
          <w:tcPr>
            <w:tcW w:type="dxa" w:w="5102"/>
            <w:shd w:val="clear" w:color="auto" w:fill="EFF6FF"/>
          </w:tcPr>
          <w:p>
            <w:r>
              <w:rPr>
                <w:sz w:val="20"/>
              </w:rPr>
              <w:t>Claude 3.5 Sonnet/Haiku, Claude 3 Opus, streaming</w:t>
            </w:r>
          </w:p>
        </w:tc>
      </w:tr>
      <w:tr>
        <w:tc>
          <w:tcPr>
            <w:tcW w:type="dxa" w:w="1984"/>
          </w:tcPr>
          <w:p>
            <w:r>
              <w:rPr>
                <w:sz w:val="20"/>
              </w:rPr>
              <w:t>LLM Providers</w:t>
            </w:r>
          </w:p>
        </w:tc>
        <w:tc>
          <w:tcPr>
            <w:tcW w:type="dxa" w:w="1984"/>
          </w:tcPr>
          <w:p>
            <w:r>
              <w:rPr>
                <w:sz w:val="20"/>
              </w:rPr>
              <w:t>Google AI</w:t>
            </w:r>
          </w:p>
        </w:tc>
        <w:tc>
          <w:tcPr>
            <w:tcW w:type="dxa" w:w="5102"/>
          </w:tcPr>
          <w:p>
            <w:r>
              <w:rPr>
                <w:sz w:val="20"/>
              </w:rPr>
              <w:t>Gemini 1.5 Pro, Gemini Flash, multimodal</w:t>
            </w:r>
          </w:p>
        </w:tc>
      </w:tr>
      <w:tr>
        <w:tc>
          <w:tcPr>
            <w:tcW w:type="dxa" w:w="1984"/>
            <w:shd w:val="clear" w:color="auto" w:fill="EFF6FF"/>
          </w:tcPr>
          <w:p>
            <w:r>
              <w:rPr>
                <w:sz w:val="20"/>
              </w:rPr>
              <w:t>LLM Providers</w:t>
            </w:r>
          </w:p>
        </w:tc>
        <w:tc>
          <w:tcPr>
            <w:tcW w:type="dxa" w:w="1984"/>
            <w:shd w:val="clear" w:color="auto" w:fill="EFF6FF"/>
          </w:tcPr>
          <w:p>
            <w:r>
              <w:rPr>
                <w:sz w:val="20"/>
              </w:rPr>
              <w:t>Azure OpenAI</w:t>
            </w:r>
          </w:p>
        </w:tc>
        <w:tc>
          <w:tcPr>
            <w:tcW w:type="dxa" w:w="5102"/>
            <w:shd w:val="clear" w:color="auto" w:fill="EFF6FF"/>
          </w:tcPr>
          <w:p>
            <w:r>
              <w:rPr>
                <w:sz w:val="20"/>
              </w:rPr>
              <w:t>Déploiements Azure, conformité entreprise</w:t>
            </w:r>
          </w:p>
        </w:tc>
      </w:tr>
      <w:tr>
        <w:tc>
          <w:tcPr>
            <w:tcW w:type="dxa" w:w="1984"/>
          </w:tcPr>
          <w:p>
            <w:r>
              <w:rPr>
                <w:sz w:val="20"/>
              </w:rPr>
              <w:t>LLM Providers</w:t>
            </w:r>
          </w:p>
        </w:tc>
        <w:tc>
          <w:tcPr>
            <w:tcW w:type="dxa" w:w="1984"/>
          </w:tcPr>
          <w:p>
            <w:r>
              <w:rPr>
                <w:sz w:val="20"/>
              </w:rPr>
              <w:t>Ollama</w:t>
            </w:r>
          </w:p>
        </w:tc>
        <w:tc>
          <w:tcPr>
            <w:tcW w:type="dxa" w:w="5102"/>
          </w:tcPr>
          <w:p>
            <w:r>
              <w:rPr>
                <w:sz w:val="20"/>
              </w:rPr>
              <w:t>LLaMA 3, Mistral, CodeLlama, Qwen — self-hosted</w:t>
            </w:r>
          </w:p>
        </w:tc>
      </w:tr>
      <w:tr>
        <w:tc>
          <w:tcPr>
            <w:tcW w:type="dxa" w:w="1984"/>
            <w:shd w:val="clear" w:color="auto" w:fill="EFF6FF"/>
          </w:tcPr>
          <w:p>
            <w:r>
              <w:rPr>
                <w:sz w:val="20"/>
              </w:rPr>
              <w:t>Collaboration</w:t>
            </w:r>
          </w:p>
        </w:tc>
        <w:tc>
          <w:tcPr>
            <w:tcW w:type="dxa" w:w="1984"/>
            <w:shd w:val="clear" w:color="auto" w:fill="EFF6FF"/>
          </w:tcPr>
          <w:p>
            <w:r>
              <w:rPr>
                <w:sz w:val="20"/>
              </w:rPr>
              <w:t>GitHub (MCP)</w:t>
            </w:r>
          </w:p>
        </w:tc>
        <w:tc>
          <w:tcPr>
            <w:tcW w:type="dxa" w:w="5102"/>
            <w:shd w:val="clear" w:color="auto" w:fill="EFF6FF"/>
          </w:tcPr>
          <w:p>
            <w:r>
              <w:rPr>
                <w:sz w:val="20"/>
              </w:rPr>
              <w:t>Repos, fichiers, branches, issues, PRs, merge</w:t>
            </w:r>
          </w:p>
        </w:tc>
      </w:tr>
      <w:tr>
        <w:tc>
          <w:tcPr>
            <w:tcW w:type="dxa" w:w="1984"/>
          </w:tcPr>
          <w:p>
            <w:r>
              <w:rPr>
                <w:sz w:val="20"/>
              </w:rPr>
              <w:t>Collaboration</w:t>
            </w:r>
          </w:p>
        </w:tc>
        <w:tc>
          <w:tcPr>
            <w:tcW w:type="dxa" w:w="1984"/>
          </w:tcPr>
          <w:p>
            <w:r>
              <w:rPr>
                <w:sz w:val="20"/>
              </w:rPr>
              <w:t>Trello (MCP)</w:t>
            </w:r>
          </w:p>
        </w:tc>
        <w:tc>
          <w:tcPr>
            <w:tcW w:type="dxa" w:w="5102"/>
          </w:tcPr>
          <w:p>
            <w:r>
              <w:rPr>
                <w:sz w:val="20"/>
              </w:rPr>
              <w:t>Boards, listes, cartes, membres, checklists</w:t>
            </w:r>
          </w:p>
        </w:tc>
      </w:tr>
      <w:tr>
        <w:tc>
          <w:tcPr>
            <w:tcW w:type="dxa" w:w="1984"/>
            <w:shd w:val="clear" w:color="auto" w:fill="EFF6FF"/>
          </w:tcPr>
          <w:p>
            <w:r>
              <w:rPr>
                <w:sz w:val="20"/>
              </w:rPr>
              <w:t>Communication</w:t>
            </w:r>
          </w:p>
        </w:tc>
        <w:tc>
          <w:tcPr>
            <w:tcW w:type="dxa" w:w="1984"/>
            <w:shd w:val="clear" w:color="auto" w:fill="EFF6FF"/>
          </w:tcPr>
          <w:p>
            <w:r>
              <w:rPr>
                <w:sz w:val="20"/>
              </w:rPr>
              <w:t>Slack</w:t>
            </w:r>
          </w:p>
        </w:tc>
        <w:tc>
          <w:tcPr>
            <w:tcW w:type="dxa" w:w="5102"/>
            <w:shd w:val="clear" w:color="auto" w:fill="EFF6FF"/>
          </w:tcPr>
          <w:p>
            <w:r>
              <w:rPr>
                <w:sz w:val="20"/>
              </w:rPr>
              <w:t>Messages, canaux, notifications, webhooks</w:t>
            </w:r>
          </w:p>
        </w:tc>
      </w:tr>
      <w:tr>
        <w:tc>
          <w:tcPr>
            <w:tcW w:type="dxa" w:w="1984"/>
          </w:tcPr>
          <w:p>
            <w:r>
              <w:rPr>
                <w:sz w:val="20"/>
              </w:rPr>
              <w:t>Communication</w:t>
            </w:r>
          </w:p>
        </w:tc>
        <w:tc>
          <w:tcPr>
            <w:tcW w:type="dxa" w:w="1984"/>
          </w:tcPr>
          <w:p>
            <w:r>
              <w:rPr>
                <w:sz w:val="20"/>
              </w:rPr>
              <w:t>WhatsApp</w:t>
            </w:r>
          </w:p>
        </w:tc>
        <w:tc>
          <w:tcPr>
            <w:tcW w:type="dxa" w:w="5102"/>
          </w:tcPr>
          <w:p>
            <w:r>
              <w:rPr>
                <w:sz w:val="20"/>
              </w:rPr>
              <w:t>Messages sortants via API Business</w:t>
            </w:r>
          </w:p>
        </w:tc>
      </w:tr>
      <w:tr>
        <w:tc>
          <w:tcPr>
            <w:tcW w:type="dxa" w:w="1984"/>
            <w:shd w:val="clear" w:color="auto" w:fill="EFF6FF"/>
          </w:tcPr>
          <w:p>
            <w:r>
              <w:rPr>
                <w:sz w:val="20"/>
              </w:rPr>
              <w:t>Système</w:t>
            </w:r>
          </w:p>
        </w:tc>
        <w:tc>
          <w:tcPr>
            <w:tcW w:type="dxa" w:w="1984"/>
            <w:shd w:val="clear" w:color="auto" w:fill="EFF6FF"/>
          </w:tcPr>
          <w:p>
            <w:r>
              <w:rPr>
                <w:sz w:val="20"/>
              </w:rPr>
              <w:t>Shell</w:t>
            </w:r>
          </w:p>
        </w:tc>
        <w:tc>
          <w:tcPr>
            <w:tcW w:type="dxa" w:w="5102"/>
            <w:shd w:val="clear" w:color="auto" w:fill="EFF6FF"/>
          </w:tcPr>
          <w:p>
            <w:r>
              <w:rPr>
                <w:sz w:val="20"/>
              </w:rPr>
              <w:t>Commandes bash avec capture stdout/stderr</w:t>
            </w:r>
          </w:p>
        </w:tc>
      </w:tr>
      <w:tr>
        <w:tc>
          <w:tcPr>
            <w:tcW w:type="dxa" w:w="1984"/>
          </w:tcPr>
          <w:p>
            <w:r>
              <w:rPr>
                <w:sz w:val="20"/>
              </w:rPr>
              <w:t>HTTP / API</w:t>
            </w:r>
          </w:p>
        </w:tc>
        <w:tc>
          <w:tcPr>
            <w:tcW w:type="dxa" w:w="1984"/>
          </w:tcPr>
          <w:p>
            <w:r>
              <w:rPr>
                <w:sz w:val="20"/>
              </w:rPr>
              <w:t>Outil HTTP générique</w:t>
            </w:r>
          </w:p>
        </w:tc>
        <w:tc>
          <w:tcPr>
            <w:tcW w:type="dxa" w:w="5102"/>
          </w:tcPr>
          <w:p>
            <w:r>
              <w:rPr>
                <w:sz w:val="20"/>
              </w:rPr>
              <w:t>GET/POST/PUT/DELETE vers n'importe quelle API</w:t>
            </w:r>
          </w:p>
        </w:tc>
      </w:tr>
      <w:tr>
        <w:tc>
          <w:tcPr>
            <w:tcW w:type="dxa" w:w="1984"/>
            <w:shd w:val="clear" w:color="auto" w:fill="EFF6FF"/>
          </w:tcPr>
          <w:p>
            <w:r>
              <w:rPr>
                <w:sz w:val="20"/>
              </w:rPr>
              <w:t>Stockage</w:t>
            </w:r>
          </w:p>
        </w:tc>
        <w:tc>
          <w:tcPr>
            <w:tcW w:type="dxa" w:w="1984"/>
            <w:shd w:val="clear" w:color="auto" w:fill="EFF6FF"/>
          </w:tcPr>
          <w:p>
            <w:r>
              <w:rPr>
                <w:sz w:val="20"/>
              </w:rPr>
              <w:t>MinIO / S3</w:t>
            </w:r>
          </w:p>
        </w:tc>
        <w:tc>
          <w:tcPr>
            <w:tcW w:type="dxa" w:w="5102"/>
            <w:shd w:val="clear" w:color="auto" w:fill="EFF6FF"/>
          </w:tcPr>
          <w:p>
            <w:r>
              <w:rPr>
                <w:sz w:val="20"/>
              </w:rPr>
              <w:t>Upload, download, listing de fichiers</w:t>
            </w:r>
          </w:p>
        </w:tc>
      </w:tr>
      <w:tr>
        <w:tc>
          <w:tcPr>
            <w:tcW w:type="dxa" w:w="1984"/>
          </w:tcPr>
          <w:p>
            <w:r>
              <w:rPr>
                <w:sz w:val="20"/>
              </w:rPr>
              <w:t>Vecteurs</w:t>
            </w:r>
          </w:p>
        </w:tc>
        <w:tc>
          <w:tcPr>
            <w:tcW w:type="dxa" w:w="1984"/>
          </w:tcPr>
          <w:p>
            <w:r>
              <w:rPr>
                <w:sz w:val="20"/>
              </w:rPr>
              <w:t>Qdrant</w:t>
            </w:r>
          </w:p>
        </w:tc>
        <w:tc>
          <w:tcPr>
            <w:tcW w:type="dxa" w:w="5102"/>
          </w:tcPr>
          <w:p>
            <w:r>
              <w:rPr>
                <w:sz w:val="20"/>
              </w:rPr>
              <w:t>Collections, embeddings, recherche sémantique</w:t>
            </w:r>
          </w:p>
        </w:tc>
      </w:tr>
    </w:tbl>
    <w:p/>
    <w:p>
      <w:pPr>
        <w:pStyle w:val="Heading2"/>
      </w:pPr>
      <w:r>
        <w:rPr>
          <w:b/>
          <w:color w:val="111827"/>
          <w:sz w:val="26"/>
        </w:rPr>
        <w:t>7.2 Extension via Model Context Protocol (MCP)</w:t>
      </w:r>
    </w:p>
    <w:p>
      <w:pPr>
        <w:spacing w:after="120"/>
      </w:pPr>
      <w:r>
        <w:rPr>
          <w:sz w:val="21"/>
        </w:rPr>
        <w:t>La plateforme supporte le protocole MCP (Model Context Protocol), standard ouvert développé par Anthropic. Cela permet d'ajouter de nouvelles intégrations sans modifier le cœur du système :</w:t>
      </w:r>
    </w:p>
    <w:p>
      <w:pPr>
        <w:pStyle w:val="ListBullet"/>
        <w:spacing w:after="60"/>
        <w:ind w:left="283"/>
      </w:pPr>
      <w:r>
        <w:rPr>
          <w:sz w:val="21"/>
        </w:rPr>
        <w:t>Chaque service MCP externe devient un ensemble d'outils utilisables dans les workflows</w:t>
      </w:r>
    </w:p>
    <w:p>
      <w:pPr>
        <w:pStyle w:val="ListBullet"/>
        <w:spacing w:after="60"/>
        <w:ind w:left="283"/>
      </w:pPr>
      <w:r>
        <w:rPr>
          <w:sz w:val="21"/>
        </w:rPr>
        <w:t>Le schéma des outils est auto-découvert (GET /api/mcp)</w:t>
      </w:r>
    </w:p>
    <w:p>
      <w:pPr>
        <w:pStyle w:val="ListBullet"/>
        <w:spacing w:after="60"/>
        <w:ind w:left="283"/>
      </w:pPr>
      <w:r>
        <w:rPr>
          <w:sz w:val="21"/>
        </w:rPr>
        <w:t>Intégrations MCP prioritaires à développer : Jira, Notion, Salesforce, HubSpot, Stripe, Airtable</w:t>
      </w:r>
    </w:p>
    <w:p>
      <w:pPr>
        <w:pStyle w:val="Heading2"/>
      </w:pPr>
      <w:r>
        <w:rPr>
          <w:b/>
          <w:color w:val="111827"/>
          <w:sz w:val="26"/>
        </w:rPr>
        <w:t>7.3 Intégrations API REST</w:t>
      </w:r>
    </w:p>
    <w:p>
      <w:pPr>
        <w:spacing w:after="120"/>
      </w:pPr>
      <w:r>
        <w:rPr>
          <w:sz w:val="21"/>
        </w:rPr>
        <w:t>La plateforme expose une API REST complète (documentée Swagger/OpenAPI) permettant d'intégrer Multi-Agent Platform dans n'importe quel système existant :</w:t>
      </w:r>
    </w:p>
    <w:p>
      <w:pPr>
        <w:pStyle w:val="ListBullet"/>
        <w:spacing w:after="60"/>
        <w:ind w:left="283"/>
      </w:pPr>
      <w:r>
        <w:rPr>
          <w:sz w:val="21"/>
        </w:rPr>
        <w:t>Déclenchement de workflows depuis n'importe quelle application externe (POST /api/workflows/:id/execute)</w:t>
      </w:r>
    </w:p>
    <w:p>
      <w:pPr>
        <w:pStyle w:val="ListBullet"/>
        <w:spacing w:after="60"/>
        <w:ind w:left="283"/>
      </w:pPr>
      <w:r>
        <w:rPr>
          <w:sz w:val="21"/>
        </w:rPr>
        <w:t>Récupération des résultats d'exécution (GET /api/workflows/:id/executions)</w:t>
      </w:r>
    </w:p>
    <w:p>
      <w:pPr>
        <w:pStyle w:val="ListBullet"/>
        <w:spacing w:after="60"/>
        <w:ind w:left="283"/>
      </w:pPr>
      <w:r>
        <w:rPr>
          <w:sz w:val="21"/>
        </w:rPr>
        <w:t>Gestion programmatique des agents, modèles, outils et fichiers</w:t>
      </w:r>
    </w:p>
    <w:p>
      <w:pPr>
        <w:pStyle w:val="ListBullet"/>
        <w:spacing w:after="60"/>
        <w:ind w:left="283"/>
      </w:pPr>
      <w:r>
        <w:rPr>
          <w:sz w:val="21"/>
        </w:rPr>
        <w:t>Webhooks sortants pour notifier les systèmes tiers à la fin d'exécution</w:t>
      </w:r>
    </w:p>
    <w:p>
      <w:pPr>
        <w:pStyle w:val="Heading2"/>
      </w:pPr>
      <w:r>
        <w:rPr>
          <w:b/>
          <w:color w:val="111827"/>
          <w:sz w:val="26"/>
        </w:rPr>
        <w:t>7.4 Intégrations futures à fort potentiel</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1A56DB"/>
          </w:tcPr>
          <w:p>
            <w:r>
              <w:rPr>
                <w:b/>
                <w:color w:val="FFFFFF"/>
                <w:sz w:val="20"/>
              </w:rPr>
              <w:t>Intégration</w:t>
            </w:r>
          </w:p>
        </w:tc>
        <w:tc>
          <w:tcPr>
            <w:tcW w:type="dxa" w:w="4535"/>
            <w:shd w:val="clear" w:color="auto" w:fill="1A56DB"/>
          </w:tcPr>
          <w:p>
            <w:r>
              <w:rPr>
                <w:b/>
                <w:color w:val="FFFFFF"/>
                <w:sz w:val="20"/>
              </w:rPr>
              <w:t>Cas d'usage</w:t>
            </w:r>
          </w:p>
        </w:tc>
        <w:tc>
          <w:tcPr>
            <w:tcW w:type="dxa" w:w="1984"/>
            <w:shd w:val="clear" w:color="auto" w:fill="1A56DB"/>
          </w:tcPr>
          <w:p>
            <w:r>
              <w:rPr>
                <w:b/>
                <w:color w:val="FFFFFF"/>
                <w:sz w:val="20"/>
              </w:rPr>
              <w:t>Priorité</w:t>
            </w:r>
          </w:p>
        </w:tc>
      </w:tr>
      <w:tr>
        <w:tc>
          <w:tcPr>
            <w:tcW w:type="dxa" w:w="2551"/>
          </w:tcPr>
          <w:p>
            <w:r>
              <w:rPr>
                <w:sz w:val="20"/>
              </w:rPr>
              <w:t>Jira</w:t>
            </w:r>
          </w:p>
        </w:tc>
        <w:tc>
          <w:tcPr>
            <w:tcW w:type="dxa" w:w="4535"/>
          </w:tcPr>
          <w:p>
            <w:r>
              <w:rPr>
                <w:sz w:val="20"/>
              </w:rPr>
              <w:t>Création automatique de tickets, mise à jour de sprints</w:t>
            </w:r>
          </w:p>
        </w:tc>
        <w:tc>
          <w:tcPr>
            <w:tcW w:type="dxa" w:w="1984"/>
          </w:tcPr>
          <w:p>
            <w:r>
              <w:rPr>
                <w:sz w:val="20"/>
              </w:rPr>
              <w:t>Haute</w:t>
            </w:r>
          </w:p>
        </w:tc>
      </w:tr>
      <w:tr>
        <w:tc>
          <w:tcPr>
            <w:tcW w:type="dxa" w:w="2551"/>
            <w:shd w:val="clear" w:color="auto" w:fill="EFF6FF"/>
          </w:tcPr>
          <w:p>
            <w:r>
              <w:rPr>
                <w:sz w:val="20"/>
              </w:rPr>
              <w:t>Notion</w:t>
            </w:r>
          </w:p>
        </w:tc>
        <w:tc>
          <w:tcPr>
            <w:tcW w:type="dxa" w:w="4535"/>
            <w:shd w:val="clear" w:color="auto" w:fill="EFF6FF"/>
          </w:tcPr>
          <w:p>
            <w:r>
              <w:rPr>
                <w:sz w:val="20"/>
              </w:rPr>
              <w:t>Documentation auto-générée, bases de connaissance IA</w:t>
            </w:r>
          </w:p>
        </w:tc>
        <w:tc>
          <w:tcPr>
            <w:tcW w:type="dxa" w:w="1984"/>
            <w:shd w:val="clear" w:color="auto" w:fill="EFF6FF"/>
          </w:tcPr>
          <w:p>
            <w:r>
              <w:rPr>
                <w:sz w:val="20"/>
              </w:rPr>
              <w:t>Haute</w:t>
            </w:r>
          </w:p>
        </w:tc>
      </w:tr>
      <w:tr>
        <w:tc>
          <w:tcPr>
            <w:tcW w:type="dxa" w:w="2551"/>
          </w:tcPr>
          <w:p>
            <w:r>
              <w:rPr>
                <w:sz w:val="20"/>
              </w:rPr>
              <w:t>Salesforce / HubSpot</w:t>
            </w:r>
          </w:p>
        </w:tc>
        <w:tc>
          <w:tcPr>
            <w:tcW w:type="dxa" w:w="4535"/>
          </w:tcPr>
          <w:p>
            <w:r>
              <w:rPr>
                <w:sz w:val="20"/>
              </w:rPr>
              <w:t>CRM intelligent, qualification de leads IA</w:t>
            </w:r>
          </w:p>
        </w:tc>
        <w:tc>
          <w:tcPr>
            <w:tcW w:type="dxa" w:w="1984"/>
          </w:tcPr>
          <w:p>
            <w:r>
              <w:rPr>
                <w:sz w:val="20"/>
              </w:rPr>
              <w:t>Haute</w:t>
            </w:r>
          </w:p>
        </w:tc>
      </w:tr>
      <w:tr>
        <w:tc>
          <w:tcPr>
            <w:tcW w:type="dxa" w:w="2551"/>
            <w:shd w:val="clear" w:color="auto" w:fill="EFF6FF"/>
          </w:tcPr>
          <w:p>
            <w:r>
              <w:rPr>
                <w:sz w:val="20"/>
              </w:rPr>
              <w:t>Google Workspace</w:t>
            </w:r>
          </w:p>
        </w:tc>
        <w:tc>
          <w:tcPr>
            <w:tcW w:type="dxa" w:w="4535"/>
            <w:shd w:val="clear" w:color="auto" w:fill="EFF6FF"/>
          </w:tcPr>
          <w:p>
            <w:r>
              <w:rPr>
                <w:sz w:val="20"/>
              </w:rPr>
              <w:t>Rédaction Docs, analyse Sheets, email Gmail</w:t>
            </w:r>
          </w:p>
        </w:tc>
        <w:tc>
          <w:tcPr>
            <w:tcW w:type="dxa" w:w="1984"/>
            <w:shd w:val="clear" w:color="auto" w:fill="EFF6FF"/>
          </w:tcPr>
          <w:p>
            <w:r>
              <w:rPr>
                <w:sz w:val="20"/>
              </w:rPr>
              <w:t>Haute</w:t>
            </w:r>
          </w:p>
        </w:tc>
      </w:tr>
      <w:tr>
        <w:tc>
          <w:tcPr>
            <w:tcW w:type="dxa" w:w="2551"/>
          </w:tcPr>
          <w:p>
            <w:r>
              <w:rPr>
                <w:sz w:val="20"/>
              </w:rPr>
              <w:t>Microsoft 365</w:t>
            </w:r>
          </w:p>
        </w:tc>
        <w:tc>
          <w:tcPr>
            <w:tcW w:type="dxa" w:w="4535"/>
          </w:tcPr>
          <w:p>
            <w:r>
              <w:rPr>
                <w:sz w:val="20"/>
              </w:rPr>
              <w:t>Intégration Office, Teams, SharePoint</w:t>
            </w:r>
          </w:p>
        </w:tc>
        <w:tc>
          <w:tcPr>
            <w:tcW w:type="dxa" w:w="1984"/>
          </w:tcPr>
          <w:p>
            <w:r>
              <w:rPr>
                <w:sz w:val="20"/>
              </w:rPr>
              <w:t>Haute</w:t>
            </w:r>
          </w:p>
        </w:tc>
      </w:tr>
      <w:tr>
        <w:tc>
          <w:tcPr>
            <w:tcW w:type="dxa" w:w="2551"/>
            <w:shd w:val="clear" w:color="auto" w:fill="EFF6FF"/>
          </w:tcPr>
          <w:p>
            <w:r>
              <w:rPr>
                <w:sz w:val="20"/>
              </w:rPr>
              <w:t>Stripe</w:t>
            </w:r>
          </w:p>
        </w:tc>
        <w:tc>
          <w:tcPr>
            <w:tcW w:type="dxa" w:w="4535"/>
            <w:shd w:val="clear" w:color="auto" w:fill="EFF6FF"/>
          </w:tcPr>
          <w:p>
            <w:r>
              <w:rPr>
                <w:sz w:val="20"/>
              </w:rPr>
              <w:t>Facturation automatique, analyse des paiements</w:t>
            </w:r>
          </w:p>
        </w:tc>
        <w:tc>
          <w:tcPr>
            <w:tcW w:type="dxa" w:w="1984"/>
            <w:shd w:val="clear" w:color="auto" w:fill="EFF6FF"/>
          </w:tcPr>
          <w:p>
            <w:r>
              <w:rPr>
                <w:sz w:val="20"/>
              </w:rPr>
              <w:t>Moyenne</w:t>
            </w:r>
          </w:p>
        </w:tc>
      </w:tr>
      <w:tr>
        <w:tc>
          <w:tcPr>
            <w:tcW w:type="dxa" w:w="2551"/>
          </w:tcPr>
          <w:p>
            <w:r>
              <w:rPr>
                <w:sz w:val="20"/>
              </w:rPr>
              <w:t>Twilio</w:t>
            </w:r>
          </w:p>
        </w:tc>
        <w:tc>
          <w:tcPr>
            <w:tcW w:type="dxa" w:w="4535"/>
          </w:tcPr>
          <w:p>
            <w:r>
              <w:rPr>
                <w:sz w:val="20"/>
              </w:rPr>
              <w:t>SMS, appels vocaux avec IA conversationnelle</w:t>
            </w:r>
          </w:p>
        </w:tc>
        <w:tc>
          <w:tcPr>
            <w:tcW w:type="dxa" w:w="1984"/>
          </w:tcPr>
          <w:p>
            <w:r>
              <w:rPr>
                <w:sz w:val="20"/>
              </w:rPr>
              <w:t>Moyenne</w:t>
            </w:r>
          </w:p>
        </w:tc>
      </w:tr>
      <w:tr>
        <w:tc>
          <w:tcPr>
            <w:tcW w:type="dxa" w:w="2551"/>
            <w:shd w:val="clear" w:color="auto" w:fill="EFF6FF"/>
          </w:tcPr>
          <w:p>
            <w:r>
              <w:rPr>
                <w:sz w:val="20"/>
              </w:rPr>
              <w:t>Figma</w:t>
            </w:r>
          </w:p>
        </w:tc>
        <w:tc>
          <w:tcPr>
            <w:tcW w:type="dxa" w:w="4535"/>
            <w:shd w:val="clear" w:color="auto" w:fill="EFF6FF"/>
          </w:tcPr>
          <w:p>
            <w:r>
              <w:rPr>
                <w:sz w:val="20"/>
              </w:rPr>
              <w:t>Analyse de maquettes, génération de specs techniques</w:t>
            </w:r>
          </w:p>
        </w:tc>
        <w:tc>
          <w:tcPr>
            <w:tcW w:type="dxa" w:w="1984"/>
            <w:shd w:val="clear" w:color="auto" w:fill="EFF6FF"/>
          </w:tcPr>
          <w:p>
            <w:r>
              <w:rPr>
                <w:sz w:val="20"/>
              </w:rPr>
              <w:t>Moyenne</w:t>
            </w:r>
          </w:p>
        </w:tc>
      </w:tr>
      <w:tr>
        <w:tc>
          <w:tcPr>
            <w:tcW w:type="dxa" w:w="2551"/>
          </w:tcPr>
          <w:p>
            <w:r>
              <w:rPr>
                <w:sz w:val="20"/>
              </w:rPr>
              <w:t>Zapier / Make</w:t>
            </w:r>
          </w:p>
        </w:tc>
        <w:tc>
          <w:tcPr>
            <w:tcW w:type="dxa" w:w="4535"/>
          </w:tcPr>
          <w:p>
            <w:r>
              <w:rPr>
                <w:sz w:val="20"/>
              </w:rPr>
              <w:t>Pont vers 5000+ apps via webhooks</w:t>
            </w:r>
          </w:p>
        </w:tc>
        <w:tc>
          <w:tcPr>
            <w:tcW w:type="dxa" w:w="1984"/>
          </w:tcPr>
          <w:p>
            <w:r>
              <w:rPr>
                <w:sz w:val="20"/>
              </w:rPr>
              <w:t>Haute</w:t>
            </w:r>
          </w:p>
        </w:tc>
      </w:tr>
      <w:tr>
        <w:tc>
          <w:tcPr>
            <w:tcW w:type="dxa" w:w="2551"/>
            <w:shd w:val="clear" w:color="auto" w:fill="EFF6FF"/>
          </w:tcPr>
          <w:p>
            <w:r>
              <w:rPr>
                <w:sz w:val="20"/>
              </w:rPr>
              <w:t>AWS / GCP / Azure</w:t>
            </w:r>
          </w:p>
        </w:tc>
        <w:tc>
          <w:tcPr>
            <w:tcW w:type="dxa" w:w="4535"/>
            <w:shd w:val="clear" w:color="auto" w:fill="EFF6FF"/>
          </w:tcPr>
          <w:p>
            <w:r>
              <w:rPr>
                <w:sz w:val="20"/>
              </w:rPr>
              <w:t>Services cloud natifs (Lambda, Cloud Functions)</w:t>
            </w:r>
          </w:p>
        </w:tc>
        <w:tc>
          <w:tcPr>
            <w:tcW w:type="dxa" w:w="1984"/>
            <w:shd w:val="clear" w:color="auto" w:fill="EFF6FF"/>
          </w:tcPr>
          <w:p>
            <w:r>
              <w:rPr>
                <w:sz w:val="20"/>
              </w:rPr>
              <w:t>Moyenne</w:t>
            </w:r>
          </w:p>
        </w:tc>
      </w:tr>
      <w:tr>
        <w:tc>
          <w:tcPr>
            <w:tcW w:type="dxa" w:w="2551"/>
          </w:tcPr>
          <w:p>
            <w:r>
              <w:rPr>
                <w:sz w:val="20"/>
              </w:rPr>
              <w:t>Elasticsearch</w:t>
            </w:r>
          </w:p>
        </w:tc>
        <w:tc>
          <w:tcPr>
            <w:tcW w:type="dxa" w:w="4535"/>
          </w:tcPr>
          <w:p>
            <w:r>
              <w:rPr>
                <w:sz w:val="20"/>
              </w:rPr>
              <w:t>Recherche full-text en complément de Qdrant</w:t>
            </w:r>
          </w:p>
        </w:tc>
        <w:tc>
          <w:tcPr>
            <w:tcW w:type="dxa" w:w="1984"/>
          </w:tcPr>
          <w:p>
            <w:r>
              <w:rPr>
                <w:sz w:val="20"/>
              </w:rPr>
              <w:t>Basse</w:t>
            </w:r>
          </w:p>
        </w:tc>
      </w:tr>
      <w:tr>
        <w:tc>
          <w:tcPr>
            <w:tcW w:type="dxa" w:w="2551"/>
            <w:shd w:val="clear" w:color="auto" w:fill="EFF6FF"/>
          </w:tcPr>
          <w:p>
            <w:r>
              <w:rPr>
                <w:sz w:val="20"/>
              </w:rPr>
              <w:t>LangSmith / LangFuse</w:t>
            </w:r>
          </w:p>
        </w:tc>
        <w:tc>
          <w:tcPr>
            <w:tcW w:type="dxa" w:w="4535"/>
            <w:shd w:val="clear" w:color="auto" w:fill="EFF6FF"/>
          </w:tcPr>
          <w:p>
            <w:r>
              <w:rPr>
                <w:sz w:val="20"/>
              </w:rPr>
              <w:t>Observabilité LLM avancée, traces, évals</w:t>
            </w:r>
          </w:p>
        </w:tc>
        <w:tc>
          <w:tcPr>
            <w:tcW w:type="dxa" w:w="1984"/>
            <w:shd w:val="clear" w:color="auto" w:fill="EFF6FF"/>
          </w:tcPr>
          <w:p>
            <w:r>
              <w:rPr>
                <w:sz w:val="20"/>
              </w:rPr>
              <w:t>Haute</w:t>
            </w:r>
          </w:p>
        </w:tc>
      </w:tr>
    </w:tbl>
    <w:p/>
    <w:p>
      <w:pPr>
        <w:pStyle w:val="Heading2"/>
      </w:pPr>
      <w:r>
        <w:rPr>
          <w:b/>
          <w:color w:val="111827"/>
          <w:sz w:val="26"/>
        </w:rPr>
        <w:t>7.5 Intégration dans des systèmes existants</w:t>
      </w:r>
    </w:p>
    <w:p>
      <w:pPr>
        <w:spacing w:after="120"/>
      </w:pPr>
      <w:r>
        <w:rPr>
          <w:sz w:val="21"/>
        </w:rPr>
        <w:t>Trois modes d'intégration sont possibles :</w:t>
      </w:r>
    </w:p>
    <w:p>
      <w:pPr>
        <w:pStyle w:val="ListBullet"/>
        <w:spacing w:after="60"/>
        <w:ind w:left="283"/>
      </w:pPr>
      <w:r>
        <w:rPr>
          <w:sz w:val="21"/>
        </w:rPr>
        <w:t>Mode API — l'entreprise appelle Multi-Agent via REST API depuis ses applications métier</w:t>
      </w:r>
    </w:p>
    <w:p>
      <w:pPr>
        <w:pStyle w:val="ListBullet"/>
        <w:spacing w:after="60"/>
        <w:ind w:left="283"/>
      </w:pPr>
      <w:r>
        <w:rPr>
          <w:sz w:val="21"/>
        </w:rPr>
        <w:t>Mode Embedded — le frontend peut être intégré en iframe ou via des composants React exportés</w:t>
      </w:r>
    </w:p>
    <w:p>
      <w:pPr>
        <w:pStyle w:val="ListBullet"/>
        <w:spacing w:after="60"/>
        <w:ind w:left="283"/>
      </w:pPr>
      <w:r>
        <w:rPr>
          <w:sz w:val="21"/>
        </w:rPr>
        <w:t>Mode Agent SDK — un SDK client pour déclencher des workflows depuis Python, Node.js, ou tout autre langage</w:t>
      </w:r>
    </w:p>
    <w:p>
      <w:r>
        <w:br w:type="page"/>
      </w:r>
    </w:p>
    <w:p>
      <w:pPr>
        <w:pStyle w:val="Heading1"/>
        <w:jc w:val="left"/>
      </w:pPr>
      <w:r>
        <w:rPr>
          <w:b/>
          <w:color w:val="1A56DB"/>
          <w:sz w:val="32"/>
        </w:rPr>
        <w:t>8. Feuille de route — Perspectives d'évolution</w:t>
      </w:r>
    </w:p>
    <w:p>
      <w:pPr>
        <w:pBdr>
          <w:bottom w:val="single" w:sz="4" w:space="1" w:color="1A56DB"/>
        </w:pBdr>
        <w:spacing w:after="160"/>
      </w:pPr>
    </w:p>
    <w:p>
      <w:pPr>
        <w:pStyle w:val="Heading2"/>
      </w:pPr>
      <w:r>
        <w:rPr>
          <w:b/>
          <w:color w:val="111827"/>
          <w:sz w:val="26"/>
        </w:rPr>
        <w:t>8.1 Phase 1 — Consolidation (T2-T3 2026)</w:t>
      </w:r>
    </w:p>
    <w:p>
      <w:pPr>
        <w:spacing w:after="120"/>
      </w:pPr>
      <w:r>
        <w:rPr>
          <w:sz w:val="21"/>
        </w:rPr>
        <w:t>Priorité : stabilité, performance, expérience développeur</w:t>
      </w:r>
    </w:p>
    <w:p>
      <w:pPr>
        <w:pStyle w:val="ListBullet"/>
        <w:spacing w:after="60"/>
        <w:ind w:left="283"/>
      </w:pPr>
      <w:r>
        <w:rPr>
          <w:sz w:val="21"/>
        </w:rPr>
        <w:t>Tests automatisés : couverture 80%+ sur tous les services (Jest + Vitest)</w:t>
      </w:r>
    </w:p>
    <w:p>
      <w:pPr>
        <w:pStyle w:val="ListBullet"/>
        <w:spacing w:after="60"/>
        <w:ind w:left="283"/>
      </w:pPr>
      <w:r>
        <w:rPr>
          <w:sz w:val="21"/>
        </w:rPr>
        <w:t>Observabilité : intégration OpenTelemetry + Grafana + Loki pour logs et métriques</w:t>
      </w:r>
    </w:p>
    <w:p>
      <w:pPr>
        <w:pStyle w:val="ListBullet"/>
        <w:spacing w:after="60"/>
        <w:ind w:left="283"/>
      </w:pPr>
      <w:r>
        <w:rPr>
          <w:sz w:val="21"/>
        </w:rPr>
        <w:t>Documentation : portail Docusaurus avec API reference, guides et tutoriels vidéo</w:t>
      </w:r>
    </w:p>
    <w:p>
      <w:pPr>
        <w:pStyle w:val="ListBullet"/>
        <w:spacing w:after="60"/>
        <w:ind w:left="283"/>
      </w:pPr>
      <w:r>
        <w:rPr>
          <w:sz w:val="21"/>
        </w:rPr>
        <w:t>Performance : optimisation des requêtes Prisma, cache Redis pour exécutions fréquentes</w:t>
      </w:r>
    </w:p>
    <w:p>
      <w:pPr>
        <w:pStyle w:val="ListBullet"/>
        <w:spacing w:after="60"/>
        <w:ind w:left="283"/>
      </w:pPr>
      <w:r>
        <w:rPr>
          <w:sz w:val="21"/>
        </w:rPr>
        <w:t>CLI developer : outil en ligne de commande pour déployer des workflows depuis un terminal</w:t>
      </w:r>
    </w:p>
    <w:p>
      <w:pPr>
        <w:pStyle w:val="ListBullet"/>
        <w:spacing w:after="60"/>
        <w:ind w:left="283"/>
      </w:pPr>
      <w:r>
        <w:rPr>
          <w:sz w:val="21"/>
        </w:rPr>
        <w:t>Bibliothèque de templates : 50+ workflows préconstruits prêts à l'emploi</w:t>
      </w:r>
    </w:p>
    <w:p>
      <w:pPr>
        <w:pStyle w:val="Heading2"/>
      </w:pPr>
      <w:r>
        <w:rPr>
          <w:b/>
          <w:color w:val="111827"/>
          <w:sz w:val="26"/>
        </w:rPr>
        <w:t>8.2 Phase 2 — Intelligence augmentée (T3-T4 2026)</w:t>
      </w:r>
    </w:p>
    <w:p>
      <w:pPr>
        <w:spacing w:after="120"/>
      </w:pPr>
      <w:r>
        <w:rPr>
          <w:sz w:val="21"/>
        </w:rPr>
        <w:t>Priorité : différenciation IA et autonomie accrue</w:t>
      </w:r>
    </w:p>
    <w:p>
      <w:pPr>
        <w:pStyle w:val="ListBullet"/>
        <w:spacing w:after="60"/>
        <w:ind w:left="283"/>
      </w:pPr>
      <w:r>
        <w:rPr>
          <w:sz w:val="21"/>
        </w:rPr>
        <w:t>Génération de workflows par IA : décrire le workflow en langage naturel → génération automatique du DAG</w:t>
      </w:r>
    </w:p>
    <w:p>
      <w:pPr>
        <w:pStyle w:val="ListBullet"/>
        <w:spacing w:after="60"/>
        <w:ind w:left="283"/>
      </w:pPr>
      <w:r>
        <w:rPr>
          <w:sz w:val="21"/>
        </w:rPr>
        <w:t>Agents mémoire long terme : persistance du contexte entre exécutions (Redis + Vector Store)</w:t>
      </w:r>
    </w:p>
    <w:p>
      <w:pPr>
        <w:pStyle w:val="ListBullet"/>
        <w:spacing w:after="60"/>
        <w:ind w:left="283"/>
      </w:pPr>
      <w:r>
        <w:rPr>
          <w:sz w:val="21"/>
        </w:rPr>
        <w:t>Multi-agent avancé : protocole de communication inter-agents, consensus, vote</w:t>
      </w:r>
    </w:p>
    <w:p>
      <w:pPr>
        <w:pStyle w:val="ListBullet"/>
        <w:spacing w:after="60"/>
        <w:ind w:left="283"/>
      </w:pPr>
      <w:r>
        <w:rPr>
          <w:sz w:val="21"/>
        </w:rPr>
        <w:t>Fine-tuning intégré : interface pour fine-tuner des modèles sur des données propriétaires</w:t>
      </w:r>
    </w:p>
    <w:p>
      <w:pPr>
        <w:pStyle w:val="ListBullet"/>
        <w:spacing w:after="60"/>
        <w:ind w:left="283"/>
      </w:pPr>
      <w:r>
        <w:rPr>
          <w:sz w:val="21"/>
        </w:rPr>
        <w:t>Évaluation automatique : métriques de qualité des réponses IA (faithfulness, relevancy, coherence)</w:t>
      </w:r>
    </w:p>
    <w:p>
      <w:pPr>
        <w:pStyle w:val="ListBullet"/>
        <w:spacing w:after="60"/>
        <w:ind w:left="283"/>
      </w:pPr>
      <w:r>
        <w:rPr>
          <w:sz w:val="21"/>
        </w:rPr>
        <w:t>Versioning des workflows : historique des versions, diff visuel, rollback</w:t>
      </w:r>
    </w:p>
    <w:p>
      <w:pPr>
        <w:pStyle w:val="Heading2"/>
      </w:pPr>
      <w:r>
        <w:rPr>
          <w:b/>
          <w:color w:val="111827"/>
          <w:sz w:val="26"/>
        </w:rPr>
        <w:t>8.3 Phase 3 — Écosystème et marketplace (T1 2027)</w:t>
      </w:r>
    </w:p>
    <w:p>
      <w:pPr>
        <w:spacing w:after="120"/>
      </w:pPr>
      <w:r>
        <w:rPr>
          <w:sz w:val="21"/>
        </w:rPr>
        <w:t>Priorité : croissance et effets de réseau</w:t>
      </w:r>
    </w:p>
    <w:p>
      <w:pPr>
        <w:pStyle w:val="ListBullet"/>
        <w:spacing w:after="60"/>
        <w:ind w:left="283"/>
      </w:pPr>
      <w:r>
        <w:rPr>
          <w:sz w:val="21"/>
        </w:rPr>
        <w:t>Marketplace de workflows : partage et monétisation de workflows entre utilisateurs</w:t>
      </w:r>
    </w:p>
    <w:p>
      <w:pPr>
        <w:pStyle w:val="ListBullet"/>
        <w:spacing w:after="60"/>
        <w:ind w:left="283"/>
      </w:pPr>
      <w:r>
        <w:rPr>
          <w:sz w:val="21"/>
        </w:rPr>
        <w:t>Marketplace d'agents : agents spécialisés vendus par des tiers (modèle App Store)</w:t>
      </w:r>
    </w:p>
    <w:p>
      <w:pPr>
        <w:pStyle w:val="ListBullet"/>
        <w:spacing w:after="60"/>
        <w:ind w:left="283"/>
      </w:pPr>
      <w:r>
        <w:rPr>
          <w:sz w:val="21"/>
        </w:rPr>
        <w:t>SDK multi-langage : Python, Node.js, Go, Java — permettre l'intégration dans n'importe quelle stack</w:t>
      </w:r>
    </w:p>
    <w:p>
      <w:pPr>
        <w:pStyle w:val="ListBullet"/>
        <w:spacing w:after="60"/>
        <w:ind w:left="283"/>
      </w:pPr>
      <w:r>
        <w:rPr>
          <w:sz w:val="21"/>
        </w:rPr>
        <w:t>Environnements isolés (Workspaces) : isolation complète par organisation avec quotas</w:t>
      </w:r>
    </w:p>
    <w:p>
      <w:pPr>
        <w:pStyle w:val="ListBullet"/>
        <w:spacing w:after="60"/>
        <w:ind w:left="283"/>
      </w:pPr>
      <w:r>
        <w:rPr>
          <w:sz w:val="21"/>
        </w:rPr>
        <w:t>API Gateway self-service : les utilisateurs exposent leurs propres workflows comme APIs</w:t>
      </w:r>
    </w:p>
    <w:p>
      <w:pPr>
        <w:pStyle w:val="ListBullet"/>
        <w:spacing w:after="60"/>
        <w:ind w:left="283"/>
      </w:pPr>
      <w:r>
        <w:rPr>
          <w:sz w:val="21"/>
        </w:rPr>
        <w:t>Support multimodal : images, audio, vidéo dans les workflows (GPT-4V, Gemini Pro Vision)</w:t>
      </w:r>
    </w:p>
    <w:p>
      <w:pPr>
        <w:pStyle w:val="Heading2"/>
      </w:pPr>
      <w:r>
        <w:rPr>
          <w:b/>
          <w:color w:val="111827"/>
          <w:sz w:val="26"/>
        </w:rPr>
        <w:t>8.4 Phase 4 — Enterprise &amp; Compliance (T2 2027)</w:t>
      </w:r>
    </w:p>
    <w:p>
      <w:pPr>
        <w:spacing w:after="120"/>
      </w:pPr>
      <w:r>
        <w:rPr>
          <w:sz w:val="21"/>
        </w:rPr>
        <w:t>Priorité : marchés réglementés et grandes entreprises</w:t>
      </w:r>
    </w:p>
    <w:p>
      <w:pPr>
        <w:pStyle w:val="ListBullet"/>
        <w:spacing w:after="60"/>
        <w:ind w:left="283"/>
      </w:pPr>
      <w:r>
        <w:rPr>
          <w:sz w:val="21"/>
        </w:rPr>
        <w:t>Déploiement air-gapped : mode totalement offline pour défense, santé, finance</w:t>
      </w:r>
    </w:p>
    <w:p>
      <w:pPr>
        <w:pStyle w:val="ListBullet"/>
        <w:spacing w:after="60"/>
        <w:ind w:left="283"/>
      </w:pPr>
      <w:r>
        <w:rPr>
          <w:sz w:val="21"/>
        </w:rPr>
        <w:t>Conformité RGPD : purge automatique des données, droit à l'oubli, export DCP</w:t>
      </w:r>
    </w:p>
    <w:p>
      <w:pPr>
        <w:pStyle w:val="ListBullet"/>
        <w:spacing w:after="60"/>
        <w:ind w:left="283"/>
      </w:pPr>
      <w:r>
        <w:rPr>
          <w:sz w:val="21"/>
        </w:rPr>
        <w:t>SSO / SAML : intégration Active Directory, Okta, Auth0</w:t>
      </w:r>
    </w:p>
    <w:p>
      <w:pPr>
        <w:pStyle w:val="ListBullet"/>
        <w:spacing w:after="60"/>
        <w:ind w:left="283"/>
      </w:pPr>
      <w:r>
        <w:rPr>
          <w:sz w:val="21"/>
        </w:rPr>
        <w:t>Audit SOC 2 : préparation et certification de conformité sécurité</w:t>
      </w:r>
    </w:p>
    <w:p>
      <w:pPr>
        <w:pStyle w:val="ListBullet"/>
        <w:spacing w:after="60"/>
        <w:ind w:left="283"/>
      </w:pPr>
      <w:r>
        <w:rPr>
          <w:sz w:val="21"/>
        </w:rPr>
        <w:t>Multi-tenancy avancé : isolation DB par tenant, facturation séparée</w:t>
      </w:r>
    </w:p>
    <w:p>
      <w:pPr>
        <w:pStyle w:val="ListBullet"/>
        <w:spacing w:after="60"/>
        <w:ind w:left="283"/>
      </w:pPr>
      <w:r>
        <w:rPr>
          <w:sz w:val="21"/>
        </w:rPr>
        <w:t>SLA enterprise : support 24/7, SLA 99.9%, dédiés pour clients stratégiques</w:t>
      </w:r>
    </w:p>
    <w:p>
      <w:r>
        <w:br w:type="page"/>
      </w:r>
    </w:p>
    <w:p>
      <w:pPr>
        <w:pStyle w:val="Heading1"/>
        <w:jc w:val="left"/>
      </w:pPr>
      <w:r>
        <w:rPr>
          <w:b/>
          <w:color w:val="1A56DB"/>
          <w:sz w:val="32"/>
        </w:rPr>
        <w:t>9. Stratégie de monétisation</w:t>
      </w:r>
    </w:p>
    <w:p>
      <w:pPr>
        <w:pBdr>
          <w:bottom w:val="single" w:sz="4" w:space="1" w:color="1A56DB"/>
        </w:pBdr>
        <w:spacing w:after="160"/>
      </w:pPr>
    </w:p>
    <w:p>
      <w:pPr>
        <w:pStyle w:val="Heading2"/>
      </w:pPr>
      <w:r>
        <w:rPr>
          <w:b/>
          <w:color w:val="111827"/>
          <w:sz w:val="26"/>
        </w:rPr>
        <w:t>9.1 Modèles de revenus recommandés</w:t>
      </w:r>
    </w:p>
    <w:p>
      <w:pPr>
        <w:spacing w:after="120"/>
      </w:pPr>
      <w:r>
        <w:rPr>
          <w:sz w:val="21"/>
        </w:rPr>
        <w:t>La plateforme se prête naturellement à une stratégie de monétisation multi-niveaux :</w:t>
      </w:r>
    </w:p>
    <w:p>
      <w:pPr>
        <w:pStyle w:val="Heading3"/>
      </w:pPr>
      <w:r>
        <w:rPr>
          <w:b/>
          <w:color w:val="059669"/>
          <w:sz w:val="22"/>
        </w:rPr>
        <w:t>9.1.1 Modèle SaaS freemium (B2B / B2C)</w:t>
      </w:r>
    </w:p>
    <w:tbl>
      <w:tblPr>
        <w:tblStyle w:val="TableGrid"/>
        <w:tblW w:type="auto" w:w="0"/>
        <w:tblLook w:firstColumn="1" w:firstRow="1" w:lastColumn="0" w:lastRow="0" w:noHBand="0" w:noVBand="1" w:val="04A0"/>
      </w:tblPr>
      <w:tblGrid>
        <w:gridCol w:w="2280"/>
        <w:gridCol w:w="2280"/>
        <w:gridCol w:w="2280"/>
        <w:gridCol w:w="2280"/>
      </w:tblGrid>
      <w:tr>
        <w:tc>
          <w:tcPr>
            <w:tcW w:type="dxa" w:w="1417"/>
            <w:shd w:val="clear" w:color="auto" w:fill="1A56DB"/>
          </w:tcPr>
          <w:p>
            <w:r>
              <w:rPr>
                <w:b/>
                <w:color w:val="FFFFFF"/>
                <w:sz w:val="20"/>
              </w:rPr>
              <w:t>Plan</w:t>
            </w:r>
          </w:p>
        </w:tc>
        <w:tc>
          <w:tcPr>
            <w:tcW w:type="dxa" w:w="1587"/>
            <w:shd w:val="clear" w:color="auto" w:fill="1A56DB"/>
          </w:tcPr>
          <w:p>
            <w:r>
              <w:rPr>
                <w:b/>
                <w:color w:val="FFFFFF"/>
                <w:sz w:val="20"/>
              </w:rPr>
              <w:t>Prix mensuel</w:t>
            </w:r>
          </w:p>
        </w:tc>
        <w:tc>
          <w:tcPr>
            <w:tcW w:type="dxa" w:w="4649"/>
            <w:shd w:val="clear" w:color="auto" w:fill="1A56DB"/>
          </w:tcPr>
          <w:p>
            <w:r>
              <w:rPr>
                <w:b/>
                <w:color w:val="FFFFFF"/>
                <w:sz w:val="20"/>
              </w:rPr>
              <w:t>Inclusions</w:t>
            </w:r>
          </w:p>
        </w:tc>
        <w:tc>
          <w:tcPr>
            <w:tcW w:type="dxa" w:w="1701"/>
            <w:shd w:val="clear" w:color="auto" w:fill="1A56DB"/>
          </w:tcPr>
          <w:p>
            <w:r>
              <w:rPr>
                <w:b/>
                <w:color w:val="FFFFFF"/>
                <w:sz w:val="20"/>
              </w:rPr>
              <w:t>Cible</w:t>
            </w:r>
          </w:p>
        </w:tc>
      </w:tr>
      <w:tr>
        <w:tc>
          <w:tcPr>
            <w:tcW w:type="dxa" w:w="1417"/>
          </w:tcPr>
          <w:p>
            <w:r>
              <w:rPr>
                <w:sz w:val="20"/>
              </w:rPr>
              <w:t>Free</w:t>
            </w:r>
          </w:p>
        </w:tc>
        <w:tc>
          <w:tcPr>
            <w:tcW w:type="dxa" w:w="1587"/>
          </w:tcPr>
          <w:p>
            <w:r>
              <w:rPr>
                <w:sz w:val="20"/>
              </w:rPr>
              <w:t>0 €</w:t>
            </w:r>
          </w:p>
        </w:tc>
        <w:tc>
          <w:tcPr>
            <w:tcW w:type="dxa" w:w="4649"/>
          </w:tcPr>
          <w:p>
            <w:r>
              <w:rPr>
                <w:sz w:val="20"/>
              </w:rPr>
              <w:t>3 workflows actifs · 100 exécutions/mois · 2 agents · modèles OpenAI/Anthropic · 500 MB stockage</w:t>
            </w:r>
          </w:p>
        </w:tc>
        <w:tc>
          <w:tcPr>
            <w:tcW w:type="dxa" w:w="1701"/>
          </w:tcPr>
          <w:p>
            <w:r>
              <w:rPr>
                <w:sz w:val="20"/>
              </w:rPr>
              <w:t>Particuliers, test</w:t>
            </w:r>
          </w:p>
        </w:tc>
      </w:tr>
      <w:tr>
        <w:tc>
          <w:tcPr>
            <w:tcW w:type="dxa" w:w="1417"/>
            <w:shd w:val="clear" w:color="auto" w:fill="EFF6FF"/>
          </w:tcPr>
          <w:p>
            <w:r>
              <w:rPr>
                <w:sz w:val="20"/>
              </w:rPr>
              <w:t>Starter</w:t>
            </w:r>
          </w:p>
        </w:tc>
        <w:tc>
          <w:tcPr>
            <w:tcW w:type="dxa" w:w="1587"/>
            <w:shd w:val="clear" w:color="auto" w:fill="EFF6FF"/>
          </w:tcPr>
          <w:p>
            <w:r>
              <w:rPr>
                <w:sz w:val="20"/>
              </w:rPr>
              <w:t>29 €/mois</w:t>
            </w:r>
          </w:p>
        </w:tc>
        <w:tc>
          <w:tcPr>
            <w:tcW w:type="dxa" w:w="4649"/>
            <w:shd w:val="clear" w:color="auto" w:fill="EFF6FF"/>
          </w:tcPr>
          <w:p>
            <w:r>
              <w:rPr>
                <w:sz w:val="20"/>
              </w:rPr>
              <w:t>20 workflows · 2 000 exécutions · 10 agents · tous les modèles · 5 GB · support email · intégrations GitHub/Slack</w:t>
            </w:r>
          </w:p>
        </w:tc>
        <w:tc>
          <w:tcPr>
            <w:tcW w:type="dxa" w:w="1701"/>
            <w:shd w:val="clear" w:color="auto" w:fill="EFF6FF"/>
          </w:tcPr>
          <w:p>
            <w:r>
              <w:rPr>
                <w:sz w:val="20"/>
              </w:rPr>
              <w:t>Indépendants, PME</w:t>
            </w:r>
          </w:p>
        </w:tc>
      </w:tr>
      <w:tr>
        <w:tc>
          <w:tcPr>
            <w:tcW w:type="dxa" w:w="1417"/>
          </w:tcPr>
          <w:p>
            <w:r>
              <w:rPr>
                <w:sz w:val="20"/>
              </w:rPr>
              <w:t>Pro</w:t>
            </w:r>
          </w:p>
        </w:tc>
        <w:tc>
          <w:tcPr>
            <w:tcW w:type="dxa" w:w="1587"/>
          </w:tcPr>
          <w:p>
            <w:r>
              <w:rPr>
                <w:sz w:val="20"/>
              </w:rPr>
              <w:t>99 €/mois</w:t>
            </w:r>
          </w:p>
        </w:tc>
        <w:tc>
          <w:tcPr>
            <w:tcW w:type="dxa" w:w="4649"/>
          </w:tcPr>
          <w:p>
            <w:r>
              <w:rPr>
                <w:sz w:val="20"/>
              </w:rPr>
              <w:t>Workflows illimités · 20 000 exécutions · 50 agents · auto-guérison · analytics avancés · 50 GB · support prioritaire</w:t>
            </w:r>
          </w:p>
        </w:tc>
        <w:tc>
          <w:tcPr>
            <w:tcW w:type="dxa" w:w="1701"/>
          </w:tcPr>
          <w:p>
            <w:r>
              <w:rPr>
                <w:sz w:val="20"/>
              </w:rPr>
              <w:t>Équipes 5-50 pers.</w:t>
            </w:r>
          </w:p>
        </w:tc>
      </w:tr>
      <w:tr>
        <w:tc>
          <w:tcPr>
            <w:tcW w:type="dxa" w:w="1417"/>
            <w:shd w:val="clear" w:color="auto" w:fill="EFF6FF"/>
          </w:tcPr>
          <w:p>
            <w:r>
              <w:rPr>
                <w:sz w:val="20"/>
              </w:rPr>
              <w:t>Business</w:t>
            </w:r>
          </w:p>
        </w:tc>
        <w:tc>
          <w:tcPr>
            <w:tcW w:type="dxa" w:w="1587"/>
            <w:shd w:val="clear" w:color="auto" w:fill="EFF6FF"/>
          </w:tcPr>
          <w:p>
            <w:r>
              <w:rPr>
                <w:sz w:val="20"/>
              </w:rPr>
              <w:t>299 €/mois</w:t>
            </w:r>
          </w:p>
        </w:tc>
        <w:tc>
          <w:tcPr>
            <w:tcW w:type="dxa" w:w="4649"/>
            <w:shd w:val="clear" w:color="auto" w:fill="EFF6FF"/>
          </w:tcPr>
          <w:p>
            <w:r>
              <w:rPr>
                <w:sz w:val="20"/>
              </w:rPr>
              <w:t>Tout Pro + 5 sièges · SSO · RBAC avancé · SLA 99.5% · 200 GB · marketplace accès · API rate limits élevés</w:t>
            </w:r>
          </w:p>
        </w:tc>
        <w:tc>
          <w:tcPr>
            <w:tcW w:type="dxa" w:w="1701"/>
            <w:shd w:val="clear" w:color="auto" w:fill="EFF6FF"/>
          </w:tcPr>
          <w:p>
            <w:r>
              <w:rPr>
                <w:sz w:val="20"/>
              </w:rPr>
              <w:t>PME / Scale-ups</w:t>
            </w:r>
          </w:p>
        </w:tc>
      </w:tr>
      <w:tr>
        <w:tc>
          <w:tcPr>
            <w:tcW w:type="dxa" w:w="1417"/>
          </w:tcPr>
          <w:p>
            <w:r>
              <w:rPr>
                <w:sz w:val="20"/>
              </w:rPr>
              <w:t>Enterprise</w:t>
            </w:r>
          </w:p>
        </w:tc>
        <w:tc>
          <w:tcPr>
            <w:tcW w:type="dxa" w:w="1587"/>
          </w:tcPr>
          <w:p>
            <w:r>
              <w:rPr>
                <w:sz w:val="20"/>
              </w:rPr>
              <w:t>Sur devis</w:t>
              <w:br/>
              <w:t>(≥ 999 €/mois)</w:t>
            </w:r>
          </w:p>
        </w:tc>
        <w:tc>
          <w:tcPr>
            <w:tcW w:type="dxa" w:w="4649"/>
          </w:tcPr>
          <w:p>
            <w:r>
              <w:rPr>
                <w:sz w:val="20"/>
              </w:rPr>
              <w:t>Déploiement on-premise · multi-tenant · conformité RGPD/SOC2 · SLA 99.9% · support dédié 24/7 · fine-tuning</w:t>
            </w:r>
          </w:p>
        </w:tc>
        <w:tc>
          <w:tcPr>
            <w:tcW w:type="dxa" w:w="1701"/>
          </w:tcPr>
          <w:p>
            <w:r>
              <w:rPr>
                <w:sz w:val="20"/>
              </w:rPr>
              <w:t>Grandes entreprises</w:t>
            </w:r>
          </w:p>
        </w:tc>
      </w:tr>
    </w:tbl>
    <w:p/>
    <w:p>
      <w:pPr>
        <w:pStyle w:val="Heading3"/>
      </w:pPr>
      <w:r>
        <w:rPr>
          <w:b/>
          <w:color w:val="059669"/>
          <w:sz w:val="22"/>
        </w:rPr>
        <w:t>9.1.2 Facturation à l'usage (Pay-as-you-go)</w:t>
      </w:r>
    </w:p>
    <w:p>
      <w:pPr>
        <w:spacing w:after="120"/>
      </w:pPr>
      <w:r>
        <w:rPr>
          <w:sz w:val="21"/>
        </w:rPr>
        <w:t>En complément des plans, une facturation au dépassement et à l'usage :</w:t>
      </w:r>
    </w:p>
    <w:p>
      <w:pPr>
        <w:pStyle w:val="ListBullet"/>
        <w:spacing w:after="60"/>
        <w:ind w:left="283"/>
      </w:pPr>
      <w:r>
        <w:rPr>
          <w:sz w:val="21"/>
        </w:rPr>
        <w:t>Exécutions supplémentaires : 0,01 € par exécution au-delà du quota</w:t>
      </w:r>
    </w:p>
    <w:p>
      <w:pPr>
        <w:pStyle w:val="ListBullet"/>
        <w:spacing w:after="60"/>
        <w:ind w:left="283"/>
      </w:pPr>
      <w:r>
        <w:rPr>
          <w:sz w:val="21"/>
        </w:rPr>
        <w:t>Tokens LLM : marge de 15-20% sur le coût fournisseur (markup sur les appels API)</w:t>
      </w:r>
    </w:p>
    <w:p>
      <w:pPr>
        <w:pStyle w:val="ListBullet"/>
        <w:spacing w:after="60"/>
        <w:ind w:left="283"/>
      </w:pPr>
      <w:r>
        <w:rPr>
          <w:sz w:val="21"/>
        </w:rPr>
        <w:t>Stockage supplémentaire : 0,10 € / GB / mois</w:t>
      </w:r>
    </w:p>
    <w:p>
      <w:pPr>
        <w:pStyle w:val="ListBullet"/>
        <w:spacing w:after="60"/>
        <w:ind w:left="283"/>
      </w:pPr>
      <w:r>
        <w:rPr>
          <w:sz w:val="21"/>
        </w:rPr>
        <w:t>Appels API externes : facturation au volume pour les intégrations MCP premium</w:t>
      </w:r>
    </w:p>
    <w:p>
      <w:pPr>
        <w:pStyle w:val="Heading3"/>
      </w:pPr>
      <w:r>
        <w:rPr>
          <w:b/>
          <w:color w:val="059669"/>
          <w:sz w:val="22"/>
        </w:rPr>
        <w:t>9.1.3 Marketplace de workflows et d'agents</w:t>
      </w:r>
    </w:p>
    <w:p>
      <w:pPr>
        <w:spacing w:after="120"/>
      </w:pPr>
      <w:r>
        <w:rPr>
          <w:sz w:val="21"/>
        </w:rPr>
        <w:t>Créer un écosystème de type App Store où des créateurs (développeurs, agences, experts sectoriels) peuvent vendre leurs workflows et agents IA préconfigurés :</w:t>
      </w:r>
    </w:p>
    <w:p>
      <w:pPr>
        <w:pStyle w:val="ListBullet"/>
        <w:spacing w:after="60"/>
        <w:ind w:left="283"/>
      </w:pPr>
      <w:r>
        <w:rPr>
          <w:sz w:val="21"/>
        </w:rPr>
        <w:t>Commission plateforme : 30% sur chaque vente (modèle Apple/Google Play Store)</w:t>
      </w:r>
    </w:p>
    <w:p>
      <w:pPr>
        <w:pStyle w:val="ListBullet"/>
        <w:spacing w:after="60"/>
        <w:ind w:left="283"/>
      </w:pPr>
      <w:r>
        <w:rPr>
          <w:sz w:val="21"/>
        </w:rPr>
        <w:t>Workflows vendus : 5 € à 200 € selon la complexité et le secteur</w:t>
      </w:r>
    </w:p>
    <w:p>
      <w:pPr>
        <w:pStyle w:val="ListBullet"/>
        <w:spacing w:after="60"/>
        <w:ind w:left="283"/>
      </w:pPr>
      <w:r>
        <w:rPr>
          <w:sz w:val="21"/>
        </w:rPr>
        <w:t>Agents spécialisés : 10 € à 500 €/mois en abonnement (ex : agent RH, agent légal, agent trading)</w:t>
      </w:r>
    </w:p>
    <w:p>
      <w:pPr>
        <w:pStyle w:val="ListBullet"/>
        <w:spacing w:after="60"/>
        <w:ind w:left="283"/>
      </w:pPr>
      <w:r>
        <w:rPr>
          <w:sz w:val="21"/>
        </w:rPr>
        <w:t>Bundles sectoriels : packs clé-en-main pour e-commerce, santé, finance, RH — 100 à 1000 €</w:t>
      </w:r>
    </w:p>
    <w:p>
      <w:pPr>
        <w:pStyle w:val="Heading3"/>
      </w:pPr>
      <w:r>
        <w:rPr>
          <w:b/>
          <w:color w:val="059669"/>
          <w:sz w:val="22"/>
        </w:rPr>
        <w:t>9.1.4 Services professionnels</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1A56DB"/>
          </w:tcPr>
          <w:p>
            <w:r>
              <w:rPr>
                <w:b/>
                <w:color w:val="FFFFFF"/>
                <w:sz w:val="20"/>
              </w:rPr>
              <w:t>Service</w:t>
            </w:r>
          </w:p>
        </w:tc>
        <w:tc>
          <w:tcPr>
            <w:tcW w:type="dxa" w:w="1984"/>
            <w:shd w:val="clear" w:color="auto" w:fill="1A56DB"/>
          </w:tcPr>
          <w:p>
            <w:r>
              <w:rPr>
                <w:b/>
                <w:color w:val="FFFFFF"/>
                <w:sz w:val="20"/>
              </w:rPr>
              <w:t>Tarification</w:t>
            </w:r>
          </w:p>
        </w:tc>
        <w:tc>
          <w:tcPr>
            <w:tcW w:type="dxa" w:w="4535"/>
            <w:shd w:val="clear" w:color="auto" w:fill="1A56DB"/>
          </w:tcPr>
          <w:p>
            <w:r>
              <w:rPr>
                <w:b/>
                <w:color w:val="FFFFFF"/>
                <w:sz w:val="20"/>
              </w:rPr>
              <w:t>Description</w:t>
            </w:r>
          </w:p>
        </w:tc>
      </w:tr>
      <w:tr>
        <w:tc>
          <w:tcPr>
            <w:tcW w:type="dxa" w:w="2551"/>
          </w:tcPr>
          <w:p>
            <w:r>
              <w:rPr>
                <w:sz w:val="20"/>
              </w:rPr>
              <w:t>Implémentation sur mesure</w:t>
            </w:r>
          </w:p>
        </w:tc>
        <w:tc>
          <w:tcPr>
            <w:tcW w:type="dxa" w:w="1984"/>
          </w:tcPr>
          <w:p>
            <w:r>
              <w:rPr>
                <w:sz w:val="20"/>
              </w:rPr>
              <w:t>500 – 5 000 €</w:t>
            </w:r>
          </w:p>
        </w:tc>
        <w:tc>
          <w:tcPr>
            <w:tcW w:type="dxa" w:w="4535"/>
          </w:tcPr>
          <w:p>
            <w:r>
              <w:rPr>
                <w:sz w:val="20"/>
              </w:rPr>
              <w:t>Conception et déploiement de workflows spécifiques au client</w:t>
            </w:r>
          </w:p>
        </w:tc>
      </w:tr>
      <w:tr>
        <w:tc>
          <w:tcPr>
            <w:tcW w:type="dxa" w:w="2551"/>
            <w:shd w:val="clear" w:color="auto" w:fill="EFF6FF"/>
          </w:tcPr>
          <w:p>
            <w:r>
              <w:rPr>
                <w:sz w:val="20"/>
              </w:rPr>
              <w:t>Formation et onboarding</w:t>
            </w:r>
          </w:p>
        </w:tc>
        <w:tc>
          <w:tcPr>
            <w:tcW w:type="dxa" w:w="1984"/>
            <w:shd w:val="clear" w:color="auto" w:fill="EFF6FF"/>
          </w:tcPr>
          <w:p>
            <w:r>
              <w:rPr>
                <w:sz w:val="20"/>
              </w:rPr>
              <w:t>200 €/jour</w:t>
            </w:r>
          </w:p>
        </w:tc>
        <w:tc>
          <w:tcPr>
            <w:tcW w:type="dxa" w:w="4535"/>
            <w:shd w:val="clear" w:color="auto" w:fill="EFF6FF"/>
          </w:tcPr>
          <w:p>
            <w:r>
              <w:rPr>
                <w:sz w:val="20"/>
              </w:rPr>
              <w:t>Sessions de formation équipe, certification utilisateurs</w:t>
            </w:r>
          </w:p>
        </w:tc>
      </w:tr>
      <w:tr>
        <w:tc>
          <w:tcPr>
            <w:tcW w:type="dxa" w:w="2551"/>
          </w:tcPr>
          <w:p>
            <w:r>
              <w:rPr>
                <w:sz w:val="20"/>
              </w:rPr>
              <w:t>Conseil en stratégie IA</w:t>
            </w:r>
          </w:p>
        </w:tc>
        <w:tc>
          <w:tcPr>
            <w:tcW w:type="dxa" w:w="1984"/>
          </w:tcPr>
          <w:p>
            <w:r>
              <w:rPr>
                <w:sz w:val="20"/>
              </w:rPr>
              <w:t>1 500 €/jour</w:t>
            </w:r>
          </w:p>
        </w:tc>
        <w:tc>
          <w:tcPr>
            <w:tcW w:type="dxa" w:w="4535"/>
          </w:tcPr>
          <w:p>
            <w:r>
              <w:rPr>
                <w:sz w:val="20"/>
              </w:rPr>
              <w:t>Audit des processus, roadmap IA, accompagnement DSI</w:t>
            </w:r>
          </w:p>
        </w:tc>
      </w:tr>
      <w:tr>
        <w:tc>
          <w:tcPr>
            <w:tcW w:type="dxa" w:w="2551"/>
            <w:shd w:val="clear" w:color="auto" w:fill="EFF6FF"/>
          </w:tcPr>
          <w:p>
            <w:r>
              <w:rPr>
                <w:sz w:val="20"/>
              </w:rPr>
              <w:t>Hébergement managé (MSP)</w:t>
            </w:r>
          </w:p>
        </w:tc>
        <w:tc>
          <w:tcPr>
            <w:tcW w:type="dxa" w:w="1984"/>
            <w:shd w:val="clear" w:color="auto" w:fill="EFF6FF"/>
          </w:tcPr>
          <w:p>
            <w:r>
              <w:rPr>
                <w:sz w:val="20"/>
              </w:rPr>
              <w:t>500 – 2 000 €/mois</w:t>
            </w:r>
          </w:p>
        </w:tc>
        <w:tc>
          <w:tcPr>
            <w:tcW w:type="dxa" w:w="4535"/>
            <w:shd w:val="clear" w:color="auto" w:fill="EFF6FF"/>
          </w:tcPr>
          <w:p>
            <w:r>
              <w:rPr>
                <w:sz w:val="20"/>
              </w:rPr>
              <w:t>Gestion complète de l'infrastructure pour le client</w:t>
            </w:r>
          </w:p>
        </w:tc>
      </w:tr>
      <w:tr>
        <w:tc>
          <w:tcPr>
            <w:tcW w:type="dxa" w:w="2551"/>
          </w:tcPr>
          <w:p>
            <w:r>
              <w:rPr>
                <w:sz w:val="20"/>
              </w:rPr>
              <w:t>Intégration custom</w:t>
            </w:r>
          </w:p>
        </w:tc>
        <w:tc>
          <w:tcPr>
            <w:tcW w:type="dxa" w:w="1984"/>
          </w:tcPr>
          <w:p>
            <w:r>
              <w:rPr>
                <w:sz w:val="20"/>
              </w:rPr>
              <w:t>2 000 – 20 000 €</w:t>
            </w:r>
          </w:p>
        </w:tc>
        <w:tc>
          <w:tcPr>
            <w:tcW w:type="dxa" w:w="4535"/>
          </w:tcPr>
          <w:p>
            <w:r>
              <w:rPr>
                <w:sz w:val="20"/>
              </w:rPr>
              <w:t>Développement de connecteurs MCP sur mesure</w:t>
            </w:r>
          </w:p>
        </w:tc>
      </w:tr>
    </w:tbl>
    <w:p/>
    <w:p>
      <w:pPr>
        <w:pStyle w:val="Heading3"/>
      </w:pPr>
      <w:r>
        <w:rPr>
          <w:b/>
          <w:color w:val="059669"/>
          <w:sz w:val="22"/>
        </w:rPr>
        <w:t>9.1.5 Modèle OEM / White-label</w:t>
      </w:r>
    </w:p>
    <w:p>
      <w:pPr>
        <w:spacing w:after="120"/>
      </w:pPr>
      <w:r>
        <w:rPr>
          <w:sz w:val="21"/>
        </w:rPr>
        <w:t>Licencier la technologie à d'autres éditeurs logiciels (ISV) ou agences qui souhaitent intégrer la capacité d'orchestration IA dans leurs propres produits :</w:t>
      </w:r>
    </w:p>
    <w:p>
      <w:pPr>
        <w:pStyle w:val="ListBullet"/>
        <w:spacing w:after="60"/>
        <w:ind w:left="283"/>
      </w:pPr>
      <w:r>
        <w:rPr>
          <w:sz w:val="21"/>
        </w:rPr>
        <w:t>Licence annuelle OEM : 5 000 – 50 000 €/an selon le volume d'utilisateurs finaux</w:t>
      </w:r>
    </w:p>
    <w:p>
      <w:pPr>
        <w:pStyle w:val="ListBullet"/>
        <w:spacing w:after="60"/>
        <w:ind w:left="283"/>
      </w:pPr>
      <w:r>
        <w:rPr>
          <w:sz w:val="21"/>
        </w:rPr>
        <w:t>Revenue share : 10-15% des revenus générés par le partenaire via la plateforme</w:t>
      </w:r>
    </w:p>
    <w:p>
      <w:pPr>
        <w:pStyle w:val="ListBullet"/>
        <w:spacing w:after="60"/>
        <w:ind w:left="283"/>
      </w:pPr>
      <w:r>
        <w:rPr>
          <w:sz w:val="21"/>
        </w:rPr>
        <w:t>Cibles : éditeurs de logiciels RH, CRM, ERP, plateformes e-learning, agences digitales</w:t>
      </w:r>
    </w:p>
    <w:p>
      <w:pPr>
        <w:pStyle w:val="Heading2"/>
      </w:pPr>
      <w:r>
        <w:rPr>
          <w:b/>
          <w:color w:val="111827"/>
          <w:sz w:val="26"/>
        </w:rPr>
        <w:t>9.2 Projections de revenus (scénario conservateur)</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1A56DB"/>
          </w:tcPr>
          <w:p>
            <w:r>
              <w:rPr>
                <w:b/>
                <w:color w:val="FFFFFF"/>
                <w:sz w:val="20"/>
              </w:rPr>
              <w:t>Horizon</w:t>
            </w:r>
          </w:p>
        </w:tc>
        <w:tc>
          <w:tcPr>
            <w:tcW w:type="dxa" w:w="2268"/>
            <w:shd w:val="clear" w:color="auto" w:fill="1A56DB"/>
          </w:tcPr>
          <w:p>
            <w:r>
              <w:rPr>
                <w:b/>
                <w:color w:val="FFFFFF"/>
                <w:sz w:val="20"/>
              </w:rPr>
              <w:t>ARR estimé</w:t>
            </w:r>
          </w:p>
        </w:tc>
        <w:tc>
          <w:tcPr>
            <w:tcW w:type="dxa" w:w="4819"/>
            <w:shd w:val="clear" w:color="auto" w:fill="1A56DB"/>
          </w:tcPr>
          <w:p>
            <w:r>
              <w:rPr>
                <w:b/>
                <w:color w:val="FFFFFF"/>
                <w:sz w:val="20"/>
              </w:rPr>
              <w:t>Hypothèses clés</w:t>
            </w:r>
          </w:p>
        </w:tc>
      </w:tr>
      <w:tr>
        <w:tc>
          <w:tcPr>
            <w:tcW w:type="dxa" w:w="1984"/>
          </w:tcPr>
          <w:p>
            <w:r>
              <w:rPr>
                <w:sz w:val="20"/>
              </w:rPr>
              <w:t>Année 1 (2026)</w:t>
            </w:r>
          </w:p>
        </w:tc>
        <w:tc>
          <w:tcPr>
            <w:tcW w:type="dxa" w:w="2268"/>
          </w:tcPr>
          <w:p>
            <w:r>
              <w:rPr>
                <w:sz w:val="20"/>
              </w:rPr>
              <w:t>50 000 – 150 000 €</w:t>
            </w:r>
          </w:p>
        </w:tc>
        <w:tc>
          <w:tcPr>
            <w:tcW w:type="dxa" w:w="4819"/>
          </w:tcPr>
          <w:p>
            <w:r>
              <w:rPr>
                <w:sz w:val="20"/>
              </w:rPr>
              <w:t>200 utilisateurs payants · ARPU 50 €/mois · 5 contrats enterprise · services pro</w:t>
            </w:r>
          </w:p>
        </w:tc>
      </w:tr>
      <w:tr>
        <w:tc>
          <w:tcPr>
            <w:tcW w:type="dxa" w:w="1984"/>
            <w:shd w:val="clear" w:color="auto" w:fill="EFF6FF"/>
          </w:tcPr>
          <w:p>
            <w:r>
              <w:rPr>
                <w:sz w:val="20"/>
              </w:rPr>
              <w:t>Année 2 (2027)</w:t>
            </w:r>
          </w:p>
        </w:tc>
        <w:tc>
          <w:tcPr>
            <w:tcW w:type="dxa" w:w="2268"/>
            <w:shd w:val="clear" w:color="auto" w:fill="EFF6FF"/>
          </w:tcPr>
          <w:p>
            <w:r>
              <w:rPr>
                <w:sz w:val="20"/>
              </w:rPr>
              <w:t>300 000 – 700 000 €</w:t>
            </w:r>
          </w:p>
        </w:tc>
        <w:tc>
          <w:tcPr>
            <w:tcW w:type="dxa" w:w="4819"/>
            <w:shd w:val="clear" w:color="auto" w:fill="EFF6FF"/>
          </w:tcPr>
          <w:p>
            <w:r>
              <w:rPr>
                <w:sz w:val="20"/>
              </w:rPr>
              <w:t>1 000 utilisateurs · marketplace lancée · 20 contrats enterprise · 3 partenaires OEM</w:t>
            </w:r>
          </w:p>
        </w:tc>
      </w:tr>
      <w:tr>
        <w:tc>
          <w:tcPr>
            <w:tcW w:type="dxa" w:w="1984"/>
          </w:tcPr>
          <w:p>
            <w:r>
              <w:rPr>
                <w:sz w:val="20"/>
              </w:rPr>
              <w:t>Année 3 (2028)</w:t>
            </w:r>
          </w:p>
        </w:tc>
        <w:tc>
          <w:tcPr>
            <w:tcW w:type="dxa" w:w="2268"/>
          </w:tcPr>
          <w:p>
            <w:r>
              <w:rPr>
                <w:sz w:val="20"/>
              </w:rPr>
              <w:t>1 000 000 – 3 000 000 €</w:t>
            </w:r>
          </w:p>
        </w:tc>
        <w:tc>
          <w:tcPr>
            <w:tcW w:type="dxa" w:w="4819"/>
          </w:tcPr>
          <w:p>
            <w:r>
              <w:rPr>
                <w:sz w:val="20"/>
              </w:rPr>
              <w:t>5 000 utilisateurs · marketplace établie · 100 contrats enterprise · expansions géographiques</w:t>
            </w:r>
          </w:p>
        </w:tc>
      </w:tr>
    </w:tbl>
    <w:p/>
    <w:p>
      <w:pPr>
        <w:pStyle w:val="Heading2"/>
      </w:pPr>
      <w:r>
        <w:rPr>
          <w:b/>
          <w:color w:val="111827"/>
          <w:sz w:val="26"/>
        </w:rPr>
        <w:t>9.3 Métriques clés à suivre (KPIs SaaS)</w:t>
      </w:r>
    </w:p>
    <w:p>
      <w:pPr>
        <w:pStyle w:val="ListBullet"/>
        <w:spacing w:after="60"/>
        <w:ind w:left="283"/>
      </w:pPr>
      <w:r>
        <w:rPr>
          <w:sz w:val="21"/>
        </w:rPr>
        <w:t>MRR / ARR — Revenu Mensuel / Annuel Récurrent</w:t>
      </w:r>
    </w:p>
    <w:p>
      <w:pPr>
        <w:pStyle w:val="ListBullet"/>
        <w:spacing w:after="60"/>
        <w:ind w:left="283"/>
      </w:pPr>
      <w:r>
        <w:rPr>
          <w:sz w:val="21"/>
        </w:rPr>
        <w:t>Churn rate — cible &lt; 3%/mois (&lt; 2% pour l'enterprise)</w:t>
      </w:r>
    </w:p>
    <w:p>
      <w:pPr>
        <w:pStyle w:val="ListBullet"/>
        <w:spacing w:after="60"/>
        <w:ind w:left="283"/>
      </w:pPr>
      <w:r>
        <w:rPr>
          <w:sz w:val="21"/>
        </w:rPr>
        <w:t>LTV / CAC — ratio cible ≥ 3x (idéalement 5-8x pour SaaS B2B)</w:t>
      </w:r>
    </w:p>
    <w:p>
      <w:pPr>
        <w:pStyle w:val="ListBullet"/>
        <w:spacing w:after="60"/>
        <w:ind w:left="283"/>
      </w:pPr>
      <w:r>
        <w:rPr>
          <w:sz w:val="21"/>
        </w:rPr>
        <w:t>NRR (Net Revenue Retention) — cible &gt; 110% (expansion revenue)</w:t>
      </w:r>
    </w:p>
    <w:p>
      <w:pPr>
        <w:pStyle w:val="ListBullet"/>
        <w:spacing w:after="60"/>
        <w:ind w:left="283"/>
      </w:pPr>
      <w:r>
        <w:rPr>
          <w:sz w:val="21"/>
        </w:rPr>
        <w:t>Exécutions par utilisateur actif — proxy de l'engagement et de la valeur créée</w:t>
      </w:r>
    </w:p>
    <w:p>
      <w:pPr>
        <w:pStyle w:val="ListBullet"/>
        <w:spacing w:after="60"/>
        <w:ind w:left="283"/>
      </w:pPr>
      <w:r>
        <w:rPr>
          <w:sz w:val="21"/>
        </w:rPr>
        <w:t>Token consumption revenue margin — marge sur la facturation des tokens LLM</w:t>
      </w:r>
    </w:p>
    <w:p>
      <w:pPr>
        <w:pStyle w:val="ListBullet"/>
        <w:spacing w:after="60"/>
        <w:ind w:left="283"/>
      </w:pPr>
      <w:r>
        <w:rPr>
          <w:sz w:val="21"/>
        </w:rPr>
        <w:t>Marketplace GMV — volume brut de transactions sur la marketplace</w:t>
      </w:r>
    </w:p>
    <w:p>
      <w:pPr>
        <w:pStyle w:val="Heading2"/>
      </w:pPr>
      <w:r>
        <w:rPr>
          <w:b/>
          <w:color w:val="111827"/>
          <w:sz w:val="26"/>
        </w:rPr>
        <w:t>9.4 Stratégie go-to-market</w:t>
      </w:r>
    </w:p>
    <w:p>
      <w:pPr>
        <w:spacing w:after="120"/>
      </w:pPr>
      <w:r>
        <w:rPr>
          <w:sz w:val="21"/>
        </w:rPr>
        <w:t>Canaux d'acquisition prioritaires :</w:t>
      </w:r>
    </w:p>
    <w:p>
      <w:pPr>
        <w:pStyle w:val="ListBullet"/>
        <w:spacing w:after="60"/>
        <w:ind w:left="283"/>
      </w:pPr>
      <w:r>
        <w:rPr>
          <w:sz w:val="21"/>
        </w:rPr>
        <w:t>Product-led growth : plan Free généreux pour acquisition organique, conversion par valeur</w:t>
      </w:r>
    </w:p>
    <w:p>
      <w:pPr>
        <w:pStyle w:val="ListBullet"/>
        <w:spacing w:after="60"/>
        <w:ind w:left="283"/>
      </w:pPr>
      <w:r>
        <w:rPr>
          <w:sz w:val="21"/>
        </w:rPr>
        <w:t>Communauté open-source : publier le cœur de la plateforme en open-source pour générer des contributions et notoriété</w:t>
      </w:r>
    </w:p>
    <w:p>
      <w:pPr>
        <w:pStyle w:val="ListBullet"/>
        <w:spacing w:after="60"/>
        <w:ind w:left="283"/>
      </w:pPr>
      <w:r>
        <w:rPr>
          <w:sz w:val="21"/>
        </w:rPr>
        <w:t>Content marketing IA : blog, tutoriels YouTube, cas d'usage — SEO sur requêtes "workflow IA", "orchestration LLM"</w:t>
      </w:r>
    </w:p>
    <w:p>
      <w:pPr>
        <w:pStyle w:val="ListBullet"/>
        <w:spacing w:after="60"/>
        <w:ind w:left="283"/>
      </w:pPr>
      <w:r>
        <w:rPr>
          <w:sz w:val="21"/>
        </w:rPr>
        <w:t>Partenariats intégrateurs : agences de transformation digitale, cabinets de conseil IT</w:t>
      </w:r>
    </w:p>
    <w:p>
      <w:pPr>
        <w:pStyle w:val="ListBullet"/>
        <w:spacing w:after="60"/>
        <w:ind w:left="283"/>
      </w:pPr>
      <w:r>
        <w:rPr>
          <w:sz w:val="21"/>
        </w:rPr>
        <w:t>Événements tech : présence à VivaTech, BIG AI Conference, Web Summit pour visibilité entreprise</w:t>
      </w:r>
    </w:p>
    <w:p>
      <w:r>
        <w:br w:type="page"/>
      </w:r>
    </w:p>
    <w:p>
      <w:pPr>
        <w:pStyle w:val="Heading1"/>
        <w:jc w:val="left"/>
      </w:pPr>
      <w:r>
        <w:rPr>
          <w:b/>
          <w:color w:val="1A56DB"/>
          <w:sz w:val="32"/>
        </w:rPr>
        <w:t>10. Analyse concurrentielle</w:t>
      </w:r>
    </w:p>
    <w:p>
      <w:pPr>
        <w:pBdr>
          <w:bottom w:val="single" w:sz="4" w:space="1" w:color="1A56DB"/>
        </w:pBdr>
        <w:spacing w:after="160"/>
      </w:pP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A56DB"/>
          </w:tcPr>
          <w:p>
            <w:r>
              <w:rPr>
                <w:b/>
                <w:color w:val="FFFFFF"/>
                <w:sz w:val="20"/>
              </w:rPr>
              <w:t>Concurrent</w:t>
            </w:r>
          </w:p>
        </w:tc>
        <w:tc>
          <w:tcPr>
            <w:tcW w:type="dxa" w:w="3402"/>
            <w:shd w:val="clear" w:color="auto" w:fill="1A56DB"/>
          </w:tcPr>
          <w:p>
            <w:r>
              <w:rPr>
                <w:b/>
                <w:color w:val="FFFFFF"/>
                <w:sz w:val="20"/>
              </w:rPr>
              <w:t>Forces</w:t>
            </w:r>
          </w:p>
        </w:tc>
        <w:tc>
          <w:tcPr>
            <w:tcW w:type="dxa" w:w="3685"/>
            <w:shd w:val="clear" w:color="auto" w:fill="1A56DB"/>
          </w:tcPr>
          <w:p>
            <w:r>
              <w:rPr>
                <w:b/>
                <w:color w:val="FFFFFF"/>
                <w:sz w:val="20"/>
              </w:rPr>
              <w:t>Faiblesses vs Multi-Agent Platform</w:t>
            </w:r>
          </w:p>
        </w:tc>
      </w:tr>
      <w:tr>
        <w:tc>
          <w:tcPr>
            <w:tcW w:type="dxa" w:w="2268"/>
          </w:tcPr>
          <w:p>
            <w:r>
              <w:rPr>
                <w:sz w:val="20"/>
              </w:rPr>
              <w:t>n8n</w:t>
            </w:r>
          </w:p>
        </w:tc>
        <w:tc>
          <w:tcPr>
            <w:tcW w:type="dxa" w:w="3402"/>
          </w:tcPr>
          <w:p>
            <w:r>
              <w:rPr>
                <w:sz w:val="20"/>
              </w:rPr>
              <w:t>Large écosystème, 400+ intégrations, open-source populaire</w:t>
            </w:r>
          </w:p>
        </w:tc>
        <w:tc>
          <w:tcPr>
            <w:tcW w:type="dxa" w:w="3685"/>
          </w:tcPr>
          <w:p>
            <w:r>
              <w:rPr>
                <w:sz w:val="20"/>
              </w:rPr>
              <w:t>Pas IA-native, auto-guérison absente, LLM = plugin ajouté</w:t>
            </w:r>
          </w:p>
        </w:tc>
      </w:tr>
      <w:tr>
        <w:tc>
          <w:tcPr>
            <w:tcW w:type="dxa" w:w="2268"/>
            <w:shd w:val="clear" w:color="auto" w:fill="EFF6FF"/>
          </w:tcPr>
          <w:p>
            <w:r>
              <w:rPr>
                <w:sz w:val="20"/>
              </w:rPr>
              <w:t>Zapier</w:t>
            </w:r>
          </w:p>
        </w:tc>
        <w:tc>
          <w:tcPr>
            <w:tcW w:type="dxa" w:w="3402"/>
            <w:shd w:val="clear" w:color="auto" w:fill="EFF6FF"/>
          </w:tcPr>
          <w:p>
            <w:r>
              <w:rPr>
                <w:sz w:val="20"/>
              </w:rPr>
              <w:t>Très simple, 5000+ intégrations, forte notoriété</w:t>
            </w:r>
          </w:p>
        </w:tc>
        <w:tc>
          <w:tcPr>
            <w:tcW w:type="dxa" w:w="3685"/>
            <w:shd w:val="clear" w:color="auto" w:fill="EFF6FF"/>
          </w:tcPr>
          <w:p>
            <w:r>
              <w:rPr>
                <w:sz w:val="20"/>
              </w:rPr>
              <w:t>Coûteux à l'échelle, fermé, pas d'agents IA autonomes, pas de RAG</w:t>
            </w:r>
          </w:p>
        </w:tc>
      </w:tr>
      <w:tr>
        <w:tc>
          <w:tcPr>
            <w:tcW w:type="dxa" w:w="2268"/>
          </w:tcPr>
          <w:p>
            <w:r>
              <w:rPr>
                <w:sz w:val="20"/>
              </w:rPr>
              <w:t>LangFlow / Flowise</w:t>
            </w:r>
          </w:p>
        </w:tc>
        <w:tc>
          <w:tcPr>
            <w:tcW w:type="dxa" w:w="3402"/>
          </w:tcPr>
          <w:p>
            <w:r>
              <w:rPr>
                <w:sz w:val="20"/>
              </w:rPr>
              <w:t>Orienté LLM, visual builder, communauté IA</w:t>
            </w:r>
          </w:p>
        </w:tc>
        <w:tc>
          <w:tcPr>
            <w:tcW w:type="dxa" w:w="3685"/>
          </w:tcPr>
          <w:p>
            <w:r>
              <w:rPr>
                <w:sz w:val="20"/>
              </w:rPr>
              <w:t>Pas de monitoring entreprise, scaling limité, sécurité basique</w:t>
            </w:r>
          </w:p>
        </w:tc>
      </w:tr>
      <w:tr>
        <w:tc>
          <w:tcPr>
            <w:tcW w:type="dxa" w:w="2268"/>
            <w:shd w:val="clear" w:color="auto" w:fill="EFF6FF"/>
          </w:tcPr>
          <w:p>
            <w:r>
              <w:rPr>
                <w:sz w:val="20"/>
              </w:rPr>
              <w:t>Dify.ai</w:t>
            </w:r>
          </w:p>
        </w:tc>
        <w:tc>
          <w:tcPr>
            <w:tcW w:type="dxa" w:w="3402"/>
            <w:shd w:val="clear" w:color="auto" w:fill="EFF6FF"/>
          </w:tcPr>
          <w:p>
            <w:r>
              <w:rPr>
                <w:sz w:val="20"/>
              </w:rPr>
              <w:t>LLM-native, RAG intégré, bon UX</w:t>
            </w:r>
          </w:p>
        </w:tc>
        <w:tc>
          <w:tcPr>
            <w:tcW w:type="dxa" w:w="3685"/>
            <w:shd w:val="clear" w:color="auto" w:fill="EFF6FF"/>
          </w:tcPr>
          <w:p>
            <w:r>
              <w:rPr>
                <w:sz w:val="20"/>
              </w:rPr>
              <w:t>Moins de types de nœuds, pas d'orchestration multi-services, MCP naissant</w:t>
            </w:r>
          </w:p>
        </w:tc>
      </w:tr>
      <w:tr>
        <w:tc>
          <w:tcPr>
            <w:tcW w:type="dxa" w:w="2268"/>
          </w:tcPr>
          <w:p>
            <w:r>
              <w:rPr>
                <w:sz w:val="20"/>
              </w:rPr>
              <w:t>Microsoft Copilot Studio</w:t>
            </w:r>
          </w:p>
        </w:tc>
        <w:tc>
          <w:tcPr>
            <w:tcW w:type="dxa" w:w="3402"/>
          </w:tcPr>
          <w:p>
            <w:r>
              <w:rPr>
                <w:sz w:val="20"/>
              </w:rPr>
              <w:t>Intégration M365, support enterprise, sécurité</w:t>
            </w:r>
          </w:p>
        </w:tc>
        <w:tc>
          <w:tcPr>
            <w:tcW w:type="dxa" w:w="3685"/>
          </w:tcPr>
          <w:p>
            <w:r>
              <w:rPr>
                <w:sz w:val="20"/>
              </w:rPr>
              <w:t>Lock-in Microsoft, coûteux, personnalisation limitée, pas self-hosted</w:t>
            </w:r>
          </w:p>
        </w:tc>
      </w:tr>
      <w:tr>
        <w:tc>
          <w:tcPr>
            <w:tcW w:type="dxa" w:w="2268"/>
            <w:shd w:val="clear" w:color="auto" w:fill="EFF6FF"/>
          </w:tcPr>
          <w:p>
            <w:r>
              <w:rPr>
                <w:sz w:val="20"/>
              </w:rPr>
              <w:t>AWS Step Functions + Bedrock</w:t>
            </w:r>
          </w:p>
        </w:tc>
        <w:tc>
          <w:tcPr>
            <w:tcW w:type="dxa" w:w="3402"/>
            <w:shd w:val="clear" w:color="auto" w:fill="EFF6FF"/>
          </w:tcPr>
          <w:p>
            <w:r>
              <w:rPr>
                <w:sz w:val="20"/>
              </w:rPr>
              <w:t>Scalabilité AWS, conformité, services managés</w:t>
            </w:r>
          </w:p>
        </w:tc>
        <w:tc>
          <w:tcPr>
            <w:tcW w:type="dxa" w:w="3685"/>
            <w:shd w:val="clear" w:color="auto" w:fill="EFF6FF"/>
          </w:tcPr>
          <w:p>
            <w:r>
              <w:rPr>
                <w:sz w:val="20"/>
              </w:rPr>
              <w:t>Complexité élevée, lock-in AWS, coût d'infrastructure, UX technique</w:t>
            </w:r>
          </w:p>
        </w:tc>
      </w:tr>
      <w:tr>
        <w:tc>
          <w:tcPr>
            <w:tcW w:type="dxa" w:w="2268"/>
          </w:tcPr>
          <w:p>
            <w:r>
              <w:rPr>
                <w:sz w:val="20"/>
              </w:rPr>
              <w:t>Vertex AI Pipelines (Google)</w:t>
            </w:r>
          </w:p>
        </w:tc>
        <w:tc>
          <w:tcPr>
            <w:tcW w:type="dxa" w:w="3402"/>
          </w:tcPr>
          <w:p>
            <w:r>
              <w:rPr>
                <w:sz w:val="20"/>
              </w:rPr>
              <w:t>Intégration GCP, Gemini natif, ML/IA avancé</w:t>
            </w:r>
          </w:p>
        </w:tc>
        <w:tc>
          <w:tcPr>
            <w:tcW w:type="dxa" w:w="3685"/>
          </w:tcPr>
          <w:p>
            <w:r>
              <w:rPr>
                <w:sz w:val="20"/>
              </w:rPr>
              <w:t>Lock-in GCP, courbe d'apprentissage, pas de workflow visuel métier</w:t>
            </w:r>
          </w:p>
        </w:tc>
      </w:tr>
    </w:tbl>
    <w:p/>
    <w:p>
      <w:pPr>
        <w:spacing w:after="120"/>
      </w:pPr>
      <w:r>
        <w:rPr>
          <w:sz w:val="21"/>
        </w:rPr>
      </w:r>
    </w:p>
    <w:p>
      <w:pPr>
        <w:spacing w:before="80" w:after="160"/>
        <w:ind w:left="283" w:right="283"/>
        <w:shd w:val="clear" w:color="auto" w:fill="F0F9FF"/>
      </w:pPr>
      <w:r>
        <w:rPr>
          <w:i/>
          <w:color w:val="1E40AF"/>
          <w:sz w:val="21"/>
        </w:rPr>
        <w:t>Positionnement unique : Multi-Agent Platform est la seule solution combinant orchestration IA visuelle + multi-LLM (dont self-hosted) + auto-guérison IA + MCP natif + déploiement on-premise — sans lock-in fournisseur.</w:t>
      </w:r>
    </w:p>
    <w:p>
      <w:r>
        <w:br w:type="page"/>
      </w:r>
    </w:p>
    <w:p>
      <w:pPr>
        <w:pStyle w:val="Heading1"/>
        <w:jc w:val="left"/>
      </w:pPr>
      <w:r>
        <w:rPr>
          <w:b/>
          <w:color w:val="1A56DB"/>
          <w:sz w:val="32"/>
        </w:rPr>
        <w:t>11. Risques et mitigations</w:t>
      </w:r>
    </w:p>
    <w:p>
      <w:pPr>
        <w:pBdr>
          <w:bottom w:val="single" w:sz="4" w:space="1" w:color="1A56DB"/>
        </w:pBdr>
        <w:spacing w:after="160"/>
      </w:pPr>
    </w:p>
    <w:tbl>
      <w:tblPr>
        <w:tblStyle w:val="TableGrid"/>
        <w:tblW w:type="auto" w:w="0"/>
        <w:tblLook w:firstColumn="1" w:firstRow="1" w:lastColumn="0" w:lastRow="0" w:noHBand="0" w:noVBand="1" w:val="04A0"/>
      </w:tblPr>
      <w:tblGrid>
        <w:gridCol w:w="2280"/>
        <w:gridCol w:w="2280"/>
        <w:gridCol w:w="2280"/>
        <w:gridCol w:w="2280"/>
      </w:tblGrid>
      <w:tr>
        <w:tc>
          <w:tcPr>
            <w:tcW w:type="dxa" w:w="2835"/>
            <w:shd w:val="clear" w:color="auto" w:fill="1A56DB"/>
          </w:tcPr>
          <w:p>
            <w:r>
              <w:rPr>
                <w:b/>
                <w:color w:val="FFFFFF"/>
                <w:sz w:val="20"/>
              </w:rPr>
              <w:t>Risque</w:t>
            </w:r>
          </w:p>
        </w:tc>
        <w:tc>
          <w:tcPr>
            <w:tcW w:type="dxa" w:w="1417"/>
            <w:shd w:val="clear" w:color="auto" w:fill="1A56DB"/>
          </w:tcPr>
          <w:p>
            <w:r>
              <w:rPr>
                <w:b/>
                <w:color w:val="FFFFFF"/>
                <w:sz w:val="20"/>
              </w:rPr>
              <w:t>Probabilité</w:t>
            </w:r>
          </w:p>
        </w:tc>
        <w:tc>
          <w:tcPr>
            <w:tcW w:type="dxa" w:w="1417"/>
            <w:shd w:val="clear" w:color="auto" w:fill="1A56DB"/>
          </w:tcPr>
          <w:p>
            <w:r>
              <w:rPr>
                <w:b/>
                <w:color w:val="FFFFFF"/>
                <w:sz w:val="20"/>
              </w:rPr>
              <w:t>Impact</w:t>
            </w:r>
          </w:p>
        </w:tc>
        <w:tc>
          <w:tcPr>
            <w:tcW w:type="dxa" w:w="3685"/>
            <w:shd w:val="clear" w:color="auto" w:fill="1A56DB"/>
          </w:tcPr>
          <w:p>
            <w:r>
              <w:rPr>
                <w:b/>
                <w:color w:val="FFFFFF"/>
                <w:sz w:val="20"/>
              </w:rPr>
              <w:t>Mitigation</w:t>
            </w:r>
          </w:p>
        </w:tc>
      </w:tr>
      <w:tr>
        <w:tc>
          <w:tcPr>
            <w:tcW w:type="dxa" w:w="2835"/>
          </w:tcPr>
          <w:p>
            <w:r>
              <w:rPr>
                <w:sz w:val="20"/>
              </w:rPr>
              <w:t>Dépendance aux LLM tiers (OpenAI, Anthropic)</w:t>
            </w:r>
          </w:p>
        </w:tc>
        <w:tc>
          <w:tcPr>
            <w:tcW w:type="dxa" w:w="1417"/>
          </w:tcPr>
          <w:p>
            <w:r>
              <w:rPr>
                <w:sz w:val="20"/>
              </w:rPr>
              <w:t>Haute</w:t>
            </w:r>
          </w:p>
        </w:tc>
        <w:tc>
          <w:tcPr>
            <w:tcW w:type="dxa" w:w="1417"/>
          </w:tcPr>
          <w:p>
            <w:r>
              <w:rPr>
                <w:sz w:val="20"/>
              </w:rPr>
              <w:t>Élevé</w:t>
            </w:r>
          </w:p>
        </w:tc>
        <w:tc>
          <w:tcPr>
            <w:tcW w:type="dxa" w:w="3685"/>
          </w:tcPr>
          <w:p>
            <w:r>
              <w:rPr>
                <w:sz w:val="20"/>
              </w:rPr>
              <w:t>Support Ollama (self-hosted), abstraction LangChain, multi-provider</w:t>
            </w:r>
          </w:p>
        </w:tc>
      </w:tr>
      <w:tr>
        <w:tc>
          <w:tcPr>
            <w:tcW w:type="dxa" w:w="2835"/>
            <w:shd w:val="clear" w:color="auto" w:fill="EFF6FF"/>
          </w:tcPr>
          <w:p>
            <w:r>
              <w:rPr>
                <w:sz w:val="20"/>
              </w:rPr>
              <w:t>Concurrence des géants tech (Microsoft, Google, AWS)</w:t>
            </w:r>
          </w:p>
        </w:tc>
        <w:tc>
          <w:tcPr>
            <w:tcW w:type="dxa" w:w="1417"/>
            <w:shd w:val="clear" w:color="auto" w:fill="EFF6FF"/>
          </w:tcPr>
          <w:p>
            <w:r>
              <w:rPr>
                <w:sz w:val="20"/>
              </w:rPr>
              <w:t>Haute</w:t>
            </w:r>
          </w:p>
        </w:tc>
        <w:tc>
          <w:tcPr>
            <w:tcW w:type="dxa" w:w="1417"/>
            <w:shd w:val="clear" w:color="auto" w:fill="EFF6FF"/>
          </w:tcPr>
          <w:p>
            <w:r>
              <w:rPr>
                <w:sz w:val="20"/>
              </w:rPr>
              <w:t>Élevé</w:t>
            </w:r>
          </w:p>
        </w:tc>
        <w:tc>
          <w:tcPr>
            <w:tcW w:type="dxa" w:w="3685"/>
            <w:shd w:val="clear" w:color="auto" w:fill="EFF6FF"/>
          </w:tcPr>
          <w:p>
            <w:r>
              <w:rPr>
                <w:sz w:val="20"/>
              </w:rPr>
              <w:t>Niche verticale, open-source partiel, self-hosted, focus PME/ETI</w:t>
            </w:r>
          </w:p>
        </w:tc>
      </w:tr>
      <w:tr>
        <w:tc>
          <w:tcPr>
            <w:tcW w:type="dxa" w:w="2835"/>
          </w:tcPr>
          <w:p>
            <w:r>
              <w:rPr>
                <w:sz w:val="20"/>
              </w:rPr>
              <w:t>Coûts tokens LLM non maîtrisés</w:t>
            </w:r>
          </w:p>
        </w:tc>
        <w:tc>
          <w:tcPr>
            <w:tcW w:type="dxa" w:w="1417"/>
          </w:tcPr>
          <w:p>
            <w:r>
              <w:rPr>
                <w:sz w:val="20"/>
              </w:rPr>
              <w:t>Moyenne</w:t>
            </w:r>
          </w:p>
        </w:tc>
        <w:tc>
          <w:tcPr>
            <w:tcW w:type="dxa" w:w="1417"/>
          </w:tcPr>
          <w:p>
            <w:r>
              <w:rPr>
                <w:sz w:val="20"/>
              </w:rPr>
              <w:t>Moyen</w:t>
            </w:r>
          </w:p>
        </w:tc>
        <w:tc>
          <w:tcPr>
            <w:tcW w:type="dxa" w:w="3685"/>
          </w:tcPr>
          <w:p>
            <w:r>
              <w:rPr>
                <w:sz w:val="20"/>
              </w:rPr>
              <w:t>Rate limiting, suivi granulaire, quotas par plan, cache de réponses</w:t>
            </w:r>
          </w:p>
        </w:tc>
      </w:tr>
      <w:tr>
        <w:tc>
          <w:tcPr>
            <w:tcW w:type="dxa" w:w="2835"/>
            <w:shd w:val="clear" w:color="auto" w:fill="EFF6FF"/>
          </w:tcPr>
          <w:p>
            <w:r>
              <w:rPr>
                <w:sz w:val="20"/>
              </w:rPr>
              <w:t>Failles de sécurité (injection, sandbox escape)</w:t>
            </w:r>
          </w:p>
        </w:tc>
        <w:tc>
          <w:tcPr>
            <w:tcW w:type="dxa" w:w="1417"/>
            <w:shd w:val="clear" w:color="auto" w:fill="EFF6FF"/>
          </w:tcPr>
          <w:p>
            <w:r>
              <w:rPr>
                <w:sz w:val="20"/>
              </w:rPr>
              <w:t>Moyenne</w:t>
            </w:r>
          </w:p>
        </w:tc>
        <w:tc>
          <w:tcPr>
            <w:tcW w:type="dxa" w:w="1417"/>
            <w:shd w:val="clear" w:color="auto" w:fill="EFF6FF"/>
          </w:tcPr>
          <w:p>
            <w:r>
              <w:rPr>
                <w:sz w:val="20"/>
              </w:rPr>
              <w:t>Très élevé</w:t>
            </w:r>
          </w:p>
        </w:tc>
        <w:tc>
          <w:tcPr>
            <w:tcW w:type="dxa" w:w="3685"/>
            <w:shd w:val="clear" w:color="auto" w:fill="EFF6FF"/>
          </w:tcPr>
          <w:p>
            <w:r>
              <w:rPr>
                <w:sz w:val="20"/>
              </w:rPr>
              <w:t>isolated-vm, SAST/DAST, audit sécurité trimestriel, bug bounty</w:t>
            </w:r>
          </w:p>
        </w:tc>
      </w:tr>
      <w:tr>
        <w:tc>
          <w:tcPr>
            <w:tcW w:type="dxa" w:w="2835"/>
          </w:tcPr>
          <w:p>
            <w:r>
              <w:rPr>
                <w:sz w:val="20"/>
              </w:rPr>
              <w:t>Changements de tarifs des API LLM</w:t>
            </w:r>
          </w:p>
        </w:tc>
        <w:tc>
          <w:tcPr>
            <w:tcW w:type="dxa" w:w="1417"/>
          </w:tcPr>
          <w:p>
            <w:r>
              <w:rPr>
                <w:sz w:val="20"/>
              </w:rPr>
              <w:t>Haute</w:t>
            </w:r>
          </w:p>
        </w:tc>
        <w:tc>
          <w:tcPr>
            <w:tcW w:type="dxa" w:w="1417"/>
          </w:tcPr>
          <w:p>
            <w:r>
              <w:rPr>
                <w:sz w:val="20"/>
              </w:rPr>
              <w:t>Moyen</w:t>
            </w:r>
          </w:p>
        </w:tc>
        <w:tc>
          <w:tcPr>
            <w:tcW w:type="dxa" w:w="3685"/>
          </w:tcPr>
          <w:p>
            <w:r>
              <w:rPr>
                <w:sz w:val="20"/>
              </w:rPr>
              <w:t>Contrats volume, multi-provider, modèles open-source (Ollama)</w:t>
            </w:r>
          </w:p>
        </w:tc>
      </w:tr>
      <w:tr>
        <w:tc>
          <w:tcPr>
            <w:tcW w:type="dxa" w:w="2835"/>
            <w:shd w:val="clear" w:color="auto" w:fill="EFF6FF"/>
          </w:tcPr>
          <w:p>
            <w:r>
              <w:rPr>
                <w:sz w:val="20"/>
              </w:rPr>
              <w:t>Réglementation IA (EU AI Act)</w:t>
            </w:r>
          </w:p>
        </w:tc>
        <w:tc>
          <w:tcPr>
            <w:tcW w:type="dxa" w:w="1417"/>
            <w:shd w:val="clear" w:color="auto" w:fill="EFF6FF"/>
          </w:tcPr>
          <w:p>
            <w:r>
              <w:rPr>
                <w:sz w:val="20"/>
              </w:rPr>
              <w:t>Haute</w:t>
            </w:r>
          </w:p>
        </w:tc>
        <w:tc>
          <w:tcPr>
            <w:tcW w:type="dxa" w:w="1417"/>
            <w:shd w:val="clear" w:color="auto" w:fill="EFF6FF"/>
          </w:tcPr>
          <w:p>
            <w:r>
              <w:rPr>
                <w:sz w:val="20"/>
              </w:rPr>
              <w:t>Élevé</w:t>
            </w:r>
          </w:p>
        </w:tc>
        <w:tc>
          <w:tcPr>
            <w:tcW w:type="dxa" w:w="3685"/>
            <w:shd w:val="clear" w:color="auto" w:fill="EFF6FF"/>
          </w:tcPr>
          <w:p>
            <w:r>
              <w:rPr>
                <w:sz w:val="20"/>
              </w:rPr>
              <w:t>Audit trail complet, explicabilité, RGPD dès la conception, DPO</w:t>
            </w:r>
          </w:p>
        </w:tc>
      </w:tr>
      <w:tr>
        <w:tc>
          <w:tcPr>
            <w:tcW w:type="dxa" w:w="2835"/>
          </w:tcPr>
          <w:p>
            <w:r>
              <w:rPr>
                <w:sz w:val="20"/>
              </w:rPr>
              <w:t>Difficulté à recruter des talents IA/TS</w:t>
            </w:r>
          </w:p>
        </w:tc>
        <w:tc>
          <w:tcPr>
            <w:tcW w:type="dxa" w:w="1417"/>
          </w:tcPr>
          <w:p>
            <w:r>
              <w:rPr>
                <w:sz w:val="20"/>
              </w:rPr>
              <w:t>Moyenne</w:t>
            </w:r>
          </w:p>
        </w:tc>
        <w:tc>
          <w:tcPr>
            <w:tcW w:type="dxa" w:w="1417"/>
          </w:tcPr>
          <w:p>
            <w:r>
              <w:rPr>
                <w:sz w:val="20"/>
              </w:rPr>
              <w:t>Moyen</w:t>
            </w:r>
          </w:p>
        </w:tc>
        <w:tc>
          <w:tcPr>
            <w:tcW w:type="dxa" w:w="3685"/>
          </w:tcPr>
          <w:p>
            <w:r>
              <w:rPr>
                <w:sz w:val="20"/>
              </w:rPr>
              <w:t>Remote-first, stack moderne attractive, communauté open-source</w:t>
            </w:r>
          </w:p>
        </w:tc>
      </w:tr>
      <w:tr>
        <w:tc>
          <w:tcPr>
            <w:tcW w:type="dxa" w:w="2835"/>
            <w:shd w:val="clear" w:color="auto" w:fill="EFF6FF"/>
          </w:tcPr>
          <w:p>
            <w:r>
              <w:rPr>
                <w:sz w:val="20"/>
              </w:rPr>
              <w:t>Churn élevé sur plan Free</w:t>
            </w:r>
          </w:p>
        </w:tc>
        <w:tc>
          <w:tcPr>
            <w:tcW w:type="dxa" w:w="1417"/>
            <w:shd w:val="clear" w:color="auto" w:fill="EFF6FF"/>
          </w:tcPr>
          <w:p>
            <w:r>
              <w:rPr>
                <w:sz w:val="20"/>
              </w:rPr>
              <w:t>Haute</w:t>
            </w:r>
          </w:p>
        </w:tc>
        <w:tc>
          <w:tcPr>
            <w:tcW w:type="dxa" w:w="1417"/>
            <w:shd w:val="clear" w:color="auto" w:fill="EFF6FF"/>
          </w:tcPr>
          <w:p>
            <w:r>
              <w:rPr>
                <w:sz w:val="20"/>
              </w:rPr>
              <w:t>Faible</w:t>
            </w:r>
          </w:p>
        </w:tc>
        <w:tc>
          <w:tcPr>
            <w:tcW w:type="dxa" w:w="3685"/>
            <w:shd w:val="clear" w:color="auto" w:fill="EFF6FF"/>
          </w:tcPr>
          <w:p>
            <w:r>
              <w:rPr>
                <w:sz w:val="20"/>
              </w:rPr>
              <w:t>Onboarding guidé, templates, engagement metrics, feature gating stratégique</w:t>
            </w:r>
          </w:p>
        </w:tc>
      </w:tr>
    </w:tbl>
    <w:p/>
    <w:p>
      <w:r>
        <w:br w:type="page"/>
      </w:r>
    </w:p>
    <w:p>
      <w:pPr>
        <w:pStyle w:val="Heading1"/>
        <w:jc w:val="left"/>
      </w:pPr>
      <w:r>
        <w:rPr>
          <w:b/>
          <w:color w:val="1A56DB"/>
          <w:sz w:val="32"/>
        </w:rPr>
        <w:t>12. Conclusion</w:t>
      </w:r>
    </w:p>
    <w:p>
      <w:pPr>
        <w:pBdr>
          <w:bottom w:val="single" w:sz="4" w:space="1" w:color="1A56DB"/>
        </w:pBdr>
        <w:spacing w:after="160"/>
      </w:pPr>
    </w:p>
    <w:p>
      <w:pPr>
        <w:spacing w:after="120"/>
      </w:pPr>
      <w:r>
        <w:rPr>
          <w:sz w:val="21"/>
        </w:rPr>
        <w:t>Multi-Agent Platform se positionne comme une infrastructure stratégique au moment où l'intelligence artificielle entre dans sa phase d'industrialisation. La tendance de fond est claire : chaque organisation devra orchestrer des agents IA pour rester compétitive. La question n'est plus de savoir si l'IA sera adoptée en entreprise, mais comment — et c'est précisément la réponse qu'apporte cette plateforme.</w:t>
      </w:r>
    </w:p>
    <w:p>
      <w:pPr>
        <w:spacing w:after="120"/>
      </w:pPr>
      <w:r>
        <w:rPr>
          <w:sz w:val="21"/>
        </w:rPr>
        <w:t>La base technique est solide : architecture microservices éprouvée, sécurité by design, support de l'ensemble des fournisseurs LLM majeurs, et des fonctionnalités différenciantes comme l'auto-guérison IA et l'intégration MCP. Ces éléments constituent une fondation difficile à répliquer rapidement par la concurrence.</w:t>
      </w:r>
    </w:p>
    <w:p>
      <w:pPr>
        <w:spacing w:after="120"/>
      </w:pPr>
      <w:r>
        <w:rPr>
          <w:sz w:val="21"/>
        </w:rPr>
        <w:t>Les trois axes prioritaires pour maximiser la valeur de la plateforme sont :</w:t>
      </w:r>
    </w:p>
    <w:p>
      <w:pPr>
        <w:pStyle w:val="ListBullet"/>
        <w:spacing w:after="60"/>
        <w:ind w:left="283"/>
      </w:pPr>
      <w:r>
        <w:rPr>
          <w:sz w:val="21"/>
        </w:rPr>
        <w:t>Exécution produit — finaliser le système de tests, l'observabilité et la marketplace pour atteindre la maturité enterprise</w:t>
      </w:r>
    </w:p>
    <w:p>
      <w:pPr>
        <w:pStyle w:val="ListBullet"/>
        <w:spacing w:after="60"/>
        <w:ind w:left="283"/>
      </w:pPr>
      <w:r>
        <w:rPr>
          <w:sz w:val="21"/>
        </w:rPr>
        <w:t>Distribution — lancer la stratégie product-led growth avec un plan Free attractif et une bibliothèque de templates démonstratifs</w:t>
      </w:r>
    </w:p>
    <w:p>
      <w:pPr>
        <w:pStyle w:val="ListBullet"/>
        <w:spacing w:after="60"/>
        <w:ind w:left="283"/>
      </w:pPr>
      <w:r>
        <w:rPr>
          <w:sz w:val="21"/>
        </w:rPr>
        <w:t>Monétisation enterprise — cibler activement les ETI et grandes entreprises via des contrats OEM et des partenariats intégrateurs</w:t>
      </w:r>
    </w:p>
    <w:p>
      <w:pPr>
        <w:spacing w:after="120"/>
      </w:pPr>
      <w:r>
        <w:rPr>
          <w:sz w:val="21"/>
        </w:rPr>
        <w:t>La fenêtre d'opportunité est ouverte. Le marché de l'orchestration d'agents IA est en pleine consolidation et les acteurs bien positionnés aujourd'hui captureront une part significative d'un marché estimé à plusieurs milliards d'euros d'ici 2028.</w:t>
      </w:r>
    </w:p>
    <w:p/>
    <w:p>
      <w:pPr>
        <w:spacing w:before="80" w:after="160"/>
        <w:ind w:left="283" w:right="283"/>
        <w:shd w:val="clear" w:color="auto" w:fill="EFF6FF"/>
      </w:pPr>
      <w:r>
        <w:rPr>
          <w:i/>
          <w:color w:val="1E40AF"/>
          <w:sz w:val="21"/>
        </w:rPr>
        <w:t>« L'avenir appartient aux entreprises capables d'orchestrer l'intelligence artificielle comme une ressource stratégique. Multi-Agent Platform est l'infrastructure qui rend cela possible. »</w:t>
      </w:r>
    </w:p>
    <w:p/>
    <w:p>
      <w:pPr>
        <w:spacing w:before="400"/>
        <w:jc w:val="center"/>
      </w:pPr>
      <w:r>
        <w:rPr>
          <w:i/>
          <w:color w:val="6B7280"/>
          <w:sz w:val="18"/>
        </w:rPr>
        <w:t>— Fin du document —</w:t>
      </w:r>
    </w:p>
    <w:p>
      <w:pPr>
        <w:jc w:val="center"/>
      </w:pPr>
      <w:r>
        <w:rPr>
          <w:color w:val="6B7280"/>
          <w:sz w:val="16"/>
        </w:rPr>
        <w:t>Multi-Agent Platform  ·  Dossier stratégique v1.0  ·  Avril 2026  ·  Confidentiel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