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jc w:val="center"/>
      </w:pPr>
      <w:r>
        <w:rPr>
          <w:rFonts w:ascii="Calibri" w:hAnsi="Calibri"/>
          <w:b/>
          <w:i w:val="0"/>
          <w:color w:val="1F497D"/>
          <w:sz w:val="60"/>
        </w:rPr>
        <w:t>STRATÉGIE DE MONÉTISATION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40"/>
        </w:rPr>
        <w:t>Plateforme Multi-Agent</w:t>
      </w:r>
    </w:p>
    <w:p>
      <w:pPr>
        <w:spacing w:after="160"/>
      </w:pPr>
    </w:p>
    <w:p>
      <w:pPr>
        <w:jc w:val="center"/>
      </w:pPr>
      <w:r>
        <w:rPr>
          <w:rFonts w:ascii="Calibri" w:hAnsi="Calibri"/>
          <w:b w:val="0"/>
          <w:i/>
          <w:color w:val="404040"/>
          <w:sz w:val="26"/>
        </w:rPr>
        <w:t>De la mise en production au produit SaaS rentable</w:t>
      </w:r>
    </w:p>
    <w:p>
      <w:pPr>
        <w:spacing w:after="80"/>
      </w:pPr>
    </w:p>
    <w:p>
      <w:pPr>
        <w:spacing w:before="20" w:after="20"/>
        <w:pBdr>
          <w:bottom w:val="single" w:sz="12" w:space="1" w:color="2E74B5"/>
        </w:pBdr>
      </w:pPr>
    </w:p>
    <w:p>
      <w:pPr>
        <w:spacing w:after="600"/>
      </w:pP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Document : </w:t>
      </w:r>
      <w:r>
        <w:rPr>
          <w:rFonts w:ascii="Calibri" w:hAnsi="Calibri"/>
          <w:b w:val="0"/>
          <w:i w:val="0"/>
          <w:color w:val="404040"/>
          <w:sz w:val="22"/>
        </w:rPr>
        <w:t>Plan de monétisation complet — confidentiel</w:t>
      </w: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Date : </w:t>
      </w:r>
      <w:r>
        <w:rPr>
          <w:rFonts w:ascii="Calibri" w:hAnsi="Calibri"/>
          <w:b w:val="0"/>
          <w:i w:val="0"/>
          <w:color w:val="404040"/>
          <w:sz w:val="22"/>
        </w:rPr>
        <w:t>30 April 2026</w:t>
      </w: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Version : </w:t>
      </w:r>
      <w:r>
        <w:rPr>
          <w:rFonts w:ascii="Calibri" w:hAnsi="Calibri"/>
          <w:b w:val="0"/>
          <w:i w:val="0"/>
          <w:color w:val="404040"/>
          <w:sz w:val="22"/>
        </w:rPr>
        <w:t>1.0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Table des matières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1.  </w:t>
      </w:r>
      <w:r>
        <w:rPr>
          <w:rFonts w:ascii="Calibri" w:hAnsi="Calibri"/>
          <w:b w:val="0"/>
          <w:i w:val="0"/>
          <w:color w:val="404040"/>
          <w:sz w:val="22"/>
        </w:rPr>
        <w:t>Positionnement marché &amp; avantages concurrentiels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2.  </w:t>
      </w:r>
      <w:r>
        <w:rPr>
          <w:rFonts w:ascii="Calibri" w:hAnsi="Calibri"/>
          <w:b w:val="0"/>
          <w:i w:val="0"/>
          <w:color w:val="404040"/>
          <w:sz w:val="22"/>
        </w:rPr>
        <w:t>Modèles de revenus détaillés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3.  </w:t>
      </w:r>
      <w:r>
        <w:rPr>
          <w:rFonts w:ascii="Calibri" w:hAnsi="Calibri"/>
          <w:b w:val="0"/>
          <w:i w:val="0"/>
          <w:color w:val="404040"/>
          <w:sz w:val="22"/>
        </w:rPr>
        <w:t>Structure tarifaire SaaS — paliers &amp; quotas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4.  </w:t>
      </w:r>
      <w:r>
        <w:rPr>
          <w:rFonts w:ascii="Calibri" w:hAnsi="Calibri"/>
          <w:b w:val="0"/>
          <w:i w:val="0"/>
          <w:color w:val="404040"/>
          <w:sz w:val="22"/>
        </w:rPr>
        <w:t>Modèle usage-based (pay-as-you-go)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5.  </w:t>
      </w:r>
      <w:r>
        <w:rPr>
          <w:rFonts w:ascii="Calibri" w:hAnsi="Calibri"/>
          <w:b w:val="0"/>
          <w:i w:val="0"/>
          <w:color w:val="404040"/>
          <w:sz w:val="22"/>
        </w:rPr>
        <w:t>Marketplace d'agents &amp; workflows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6.  </w:t>
      </w:r>
      <w:r>
        <w:rPr>
          <w:rFonts w:ascii="Calibri" w:hAnsi="Calibri"/>
          <w:b w:val="0"/>
          <w:i w:val="0"/>
          <w:color w:val="404040"/>
          <w:sz w:val="22"/>
        </w:rPr>
        <w:t>Services professionnels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7.  </w:t>
      </w:r>
      <w:r>
        <w:rPr>
          <w:rFonts w:ascii="Calibri" w:hAnsi="Calibri"/>
          <w:b w:val="0"/>
          <w:i w:val="0"/>
          <w:color w:val="404040"/>
          <w:sz w:val="22"/>
        </w:rPr>
        <w:t>Licence White-label &amp; OEM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8.  </w:t>
      </w:r>
      <w:r>
        <w:rPr>
          <w:rFonts w:ascii="Calibri" w:hAnsi="Calibri"/>
          <w:b w:val="0"/>
          <w:i w:val="0"/>
          <w:color w:val="404040"/>
          <w:sz w:val="22"/>
        </w:rPr>
        <w:t>Projections financières — 3 ans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9.  </w:t>
      </w:r>
      <w:r>
        <w:rPr>
          <w:rFonts w:ascii="Calibri" w:hAnsi="Calibri"/>
          <w:b w:val="0"/>
          <w:i w:val="0"/>
          <w:color w:val="404040"/>
          <w:sz w:val="22"/>
        </w:rPr>
        <w:t>Stratégie go-to-market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10.  </w:t>
      </w:r>
      <w:r>
        <w:rPr>
          <w:rFonts w:ascii="Calibri" w:hAnsi="Calibri"/>
          <w:b w:val="0"/>
          <w:i w:val="0"/>
          <w:color w:val="404040"/>
          <w:sz w:val="22"/>
        </w:rPr>
        <w:t>Acquisition clients &amp; canaux de distribution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11.  </w:t>
      </w:r>
      <w:r>
        <w:rPr>
          <w:rFonts w:ascii="Calibri" w:hAnsi="Calibri"/>
          <w:b w:val="0"/>
          <w:i w:val="0"/>
          <w:color w:val="404040"/>
          <w:sz w:val="22"/>
        </w:rPr>
        <w:t>Psychologie du pricing &amp; packaging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12.  </w:t>
      </w:r>
      <w:r>
        <w:rPr>
          <w:rFonts w:ascii="Calibri" w:hAnsi="Calibri"/>
          <w:b w:val="0"/>
          <w:i w:val="0"/>
          <w:color w:val="404040"/>
          <w:sz w:val="22"/>
        </w:rPr>
        <w:t>Structure juridique &amp; fiscale SaaS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13.  </w:t>
      </w:r>
      <w:r>
        <w:rPr>
          <w:rFonts w:ascii="Calibri" w:hAnsi="Calibri"/>
          <w:b w:val="0"/>
          <w:i w:val="0"/>
          <w:color w:val="404040"/>
          <w:sz w:val="22"/>
        </w:rPr>
        <w:t>Métriques SaaS &amp; KPIs à piloter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14.  </w:t>
      </w:r>
      <w:r>
        <w:rPr>
          <w:rFonts w:ascii="Calibri" w:hAnsi="Calibri"/>
          <w:b w:val="0"/>
          <w:i w:val="0"/>
          <w:color w:val="404040"/>
          <w:sz w:val="22"/>
        </w:rPr>
        <w:t>Risques &amp; mitigations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15.  </w:t>
      </w:r>
      <w:r>
        <w:rPr>
          <w:rFonts w:ascii="Calibri" w:hAnsi="Calibri"/>
          <w:b w:val="0"/>
          <w:i w:val="0"/>
          <w:color w:val="404040"/>
          <w:sz w:val="22"/>
        </w:rPr>
        <w:t>Feuille de route de monétisation — 24 mois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1. Positionnement marché &amp; avantages concurrentiels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Avant de fixer un prix, il faut comprendre dans quel marché on se trouve et ce qui rend la plateforme difficile à remplacer.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1.1 Taille du marché adressable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TAM mondial 2025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CAGR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Opportunité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Workflow Automation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$8,2 Mds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34 %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Cœur de cible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MLOps &amp; AI Platforms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$5,1 Mds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29 %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Adjacent direct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iPaaS / Automatisation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$16,4 Mds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22 %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Overlap partiel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LLM API Orchestration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$2,8 Mds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61 %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Segment émergent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1.2 Concurrents directs &amp; positionnement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Concurrent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Prix/mois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Multi-LLM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On-premise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Workflow DAG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Open Source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LangChain Cloud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$49–499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Oui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Limité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Partiel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n8n Cloud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$20–120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Oui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Oui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Oui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Zapier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$69–799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Make (Integromat)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$9–29/op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Partiel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Flowise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Gratuit/On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Oui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Oui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Oui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Oui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Notre plateforme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À définir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Oui ×5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Oui natif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Oui DAG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À décider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1.3 Avantages différenciants (USP)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Support de 5 fournisseurs LLM</w:t>
      </w:r>
      <w:r>
        <w:rPr>
          <w:rFonts w:ascii="Calibri" w:hAnsi="Calibri"/>
          <w:b w:val="0"/>
          <w:i w:val="0"/>
          <w:sz w:val="22"/>
        </w:rPr>
        <w:t xml:space="preserve"> dans une seule plateforme — aucun lock-in IA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Ollama on-premise natif</w:t>
      </w:r>
      <w:r>
        <w:rPr>
          <w:rFonts w:ascii="Calibri" w:hAnsi="Calibri"/>
          <w:b w:val="0"/>
          <w:i w:val="0"/>
          <w:sz w:val="22"/>
        </w:rPr>
        <w:t xml:space="preserve"> — seul acteur proposant cette option sans configuration complexe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Sandbox Rust isolé</w:t>
      </w:r>
      <w:r>
        <w:rPr>
          <w:rFonts w:ascii="Calibri" w:hAnsi="Calibri"/>
          <w:b w:val="0"/>
          <w:i w:val="0"/>
          <w:sz w:val="22"/>
        </w:rPr>
        <w:t xml:space="preserve"> — exécution des outils dans un bac à sable sécurisé, exigence réglementaire dans banque/santé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Orchestration DAG visuelle</w:t>
      </w:r>
      <w:r>
        <w:rPr>
          <w:rFonts w:ascii="Calibri" w:hAnsi="Calibri"/>
          <w:b w:val="0"/>
          <w:i w:val="0"/>
          <w:sz w:val="22"/>
        </w:rPr>
        <w:t xml:space="preserve"> avec suivi temps réel — au niveau de Temporal.io mais accessible aux non-devs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Architecture microservices production-ready</w:t>
      </w:r>
      <w:r>
        <w:rPr>
          <w:rFonts w:ascii="Calibri" w:hAnsi="Calibri"/>
          <w:b w:val="0"/>
          <w:i w:val="0"/>
          <w:sz w:val="22"/>
        </w:rPr>
        <w:t xml:space="preserve"> — montée en charge sans refonte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Chiffrement AES-256-GCM par utilisateur</w:t>
      </w:r>
      <w:r>
        <w:rPr>
          <w:rFonts w:ascii="Calibri" w:hAnsi="Calibri"/>
          <w:b w:val="0"/>
          <w:i w:val="0"/>
          <w:sz w:val="22"/>
        </w:rPr>
        <w:t xml:space="preserve"> — isolation cryptographique des secrets, standard bancaire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12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🎯  Positionnement à retenir dans tous les supports commerciaux : « La seule plateforme d'orchestration multi-LLM déployable dans votre infrastructure, avec un niveau de sécurité bancaire. »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2. Modèles de revenus détaillés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Cinq sources de revenus combinées, activées progressivement selon la phase de croissance.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2.1 Vue d'ensemble des cinq flux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57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Flux de revenu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Délai activation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Potentiel ARR an 3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SaaS par paliers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Récurrent mensuel/annuel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★★★★★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Usage-based (tokens + exec)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Variable sur consommation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★★★★☆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Commission 30 %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12–18 mois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★★★☆☆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Services pro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One-shot + récurrent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★★★☆☆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⑤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White-label / OEM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Licence annuelle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9–12 mois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★★★★☆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12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💡  Règle des 70/20/10 à viser en régime de croisière : 70 % SaaS récurrent + usage, 20 % white-label/enterprise, 10 % services &amp; marketplace. Les services sont un accélérateur d'adoption, pas un business principal.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3. Structure tarifaire SaaS — paliers &amp; quotas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3.1 Les quatre paliers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6C757D"/>
          </w:tcPr>
          <w:p>
            <w:pPr>
              <w:spacing w:before="120" w:after="4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FREE  </w:t>
            </w: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—  0 €/mois</w:t>
            </w:r>
          </w:p>
          <w:p>
            <w:pPr>
              <w:spacing w:after="120"/>
              <w:ind w:left="144"/>
            </w:pP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 xml:space="preserve">  Cible : Développeurs, évaluation, POC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2 agents actifs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100 exécutions de workflow / mois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1 utilisateur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3 modèles LLM (OpenAI, Anthropic, Ollama local)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Stockage documents : 500 Mo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Support : communauté uniquement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Branding plateforme visible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2E74B5"/>
          </w:tcPr>
          <w:p>
            <w:pPr>
              <w:spacing w:before="120" w:after="4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PRO  </w:t>
            </w: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—  49 € / mois  (ou 39 €/mois annuel)</w:t>
            </w:r>
          </w:p>
          <w:p>
            <w:pPr>
              <w:spacing w:after="120"/>
              <w:ind w:left="144"/>
            </w:pP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 xml:space="preserve">  Cible : Freelances, startups, petites équipes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10 agents actifs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5 000 exécutions / mois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3 utilisateurs (+ 9 €/utilisateur supplémentaire)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Tous les modèles LLM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Toutes les intégrations (GitHub, Trello, Drive…)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Stockage : 5 Go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Recherche vectorielle activée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Historique d'exécution : 30 jours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Support e-mail — réponse &lt; 48 h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D6A3E"/>
          </w:tcPr>
          <w:p>
            <w:pPr>
              <w:spacing w:before="120" w:after="4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BUSINESS  </w:t>
            </w: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—  199 € / mois  (ou 159 €/mois annuel)</w:t>
            </w:r>
          </w:p>
          <w:p>
            <w:pPr>
              <w:spacing w:after="120"/>
              <w:ind w:left="144"/>
            </w:pP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 xml:space="preserve">  Cible : PME, équipes métier, DSI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Agents illimités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50 000 exécutions / mois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20 utilisateurs (+ 8 €/utilisateur supplémentaire)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SSO (SAML 2.0 / OIDC)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Rôles personnalisés (RBAC avancé)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Analytics &amp; reporting détaillé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Webhooks sortants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Historique : 90 jours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SLA 99,5 % uptime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Support e-mail prioritaire — réponse &lt; 24 h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Onboarding guidé (1 session de 2 h)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F497D"/>
          </w:tcPr>
          <w:p>
            <w:pPr>
              <w:spacing w:before="120" w:after="4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ENTERPRISE  </w:t>
            </w: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—  Sur devis (min. ~1 500 €/mois)</w:t>
            </w:r>
          </w:p>
          <w:p>
            <w:pPr>
              <w:spacing w:after="120"/>
              <w:ind w:left="144"/>
            </w:pPr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 xml:space="preserve">  Cible : Grands comptes, secteurs réglementés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Tout BUSINESS inclus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Déploiement on-premise ou cloud privé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Ollama hébergé en interne (données jamais à l'extérieur)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Utilisateurs illimités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Exécutions illimitées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Audit logs complets (RGPD/SOC2)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SLA 99,9 % avec astreinte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Support dédié — réponse &lt; 4 h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Customer Success Manager attitré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Personnalisation de l'interface (logo, couleurs)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Formation équipe incluse (2 jours)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✓  Accès API de gestion (provisioning)</w:t>
      </w:r>
    </w:p>
    <w:p>
      <w:pPr>
        <w:spacing w:after="16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3.2 Tableau comparatif synthétique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Fonctionnalité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Business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Enterprise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Agents actifs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Illimité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Illimité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Exécutions / mois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50 000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Illimité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Utilisateurs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Illimité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Tous les LLMs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✓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✓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✓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Ollama on-premise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seul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✓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SSO / RBAC avancé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✓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✓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Analytics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Basique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Détaillé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Complet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SLA uptime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99,5 %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99,9 %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Support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Communauté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E-mail 48h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E-mail 24h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Dédié 4h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On-premise / air-gap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✓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Prix mensuel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Gratuit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49 €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7A78"/>
                <w:sz w:val="20"/>
              </w:rPr>
              <w:t>199 €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Devis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3.3 Règles de transition entre paliers (upgrade triggers)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Les utilisateurs passent naturellement au palier supérieur quand ils atteignent une limite. Il faut rendre ces transitions fluides et désirables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Free → Pro</w:t>
      </w:r>
      <w:r>
        <w:rPr>
          <w:rFonts w:ascii="Calibri" w:hAnsi="Calibri"/>
          <w:b w:val="0"/>
          <w:i w:val="0"/>
          <w:sz w:val="22"/>
        </w:rPr>
        <w:t xml:space="preserve"> : notification à 80 % des 100 exécutions + bannière « Passez au Pro pour 10× plus »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 → Business</w:t>
      </w:r>
      <w:r>
        <w:rPr>
          <w:rFonts w:ascii="Calibri" w:hAnsi="Calibri"/>
          <w:b w:val="0"/>
          <w:i w:val="0"/>
          <w:sz w:val="22"/>
        </w:rPr>
        <w:t xml:space="preserve"> : alerte quand le 3ᵉ utilisateur est invité, ou à 4 000 exécutions/mois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Business → Enterprise</w:t>
      </w:r>
      <w:r>
        <w:rPr>
          <w:rFonts w:ascii="Calibri" w:hAnsi="Calibri"/>
          <w:b w:val="0"/>
          <w:i w:val="0"/>
          <w:sz w:val="22"/>
        </w:rPr>
        <w:t xml:space="preserve"> : déclenchement sur demande SSO, volume &gt; 40 000 exécutions, ou demande de déploiement interne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EF9E7"/>
            <w:tcBorders>
              <w:top w:val="single" w:sz="4" w:space="0" w:color="F39C12"/>
              <w:left w:val="single" w:sz="12" w:space="0" w:color="F39C12"/>
              <w:bottom w:val="single" w:sz="4" w:space="0" w:color="F39C12"/>
              <w:right w:val="single" w:sz="4" w:space="0" w:color="F39C12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⚠️  Ne jamais bloquer brutalement — toujours offrir 7 jours de grâce avec notification progressive. Un utilisateur bloqué sans avertissement churne immédiatement.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4. Modèle usage-based (pay-as-you-go)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Le modèle usage-based s'active </w:t>
      </w:r>
      <w:r>
        <w:rPr>
          <w:rFonts w:ascii="Calibri" w:hAnsi="Calibri"/>
          <w:b/>
          <w:i w:val="0"/>
          <w:sz w:val="22"/>
        </w:rPr>
        <w:t>par-dessus</w:t>
      </w:r>
      <w:r>
        <w:rPr>
          <w:rFonts w:ascii="Calibri" w:hAnsi="Calibri"/>
          <w:b w:val="0"/>
          <w:i w:val="0"/>
          <w:sz w:val="22"/>
        </w:rPr>
        <w:t xml:space="preserve"> l'abonnement : les quotas du palier sont inclus, et chaque dépassement est facturé à l'unité. C'est le mécanisme le plus puissant pour capturer la valeur des clients qui génèrent beaucoup de volume.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4.1 Grille tarifaire usage-based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Ressource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Prix unitaire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Coût réel estimé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Marge brute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Exécution supplémentaire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0,01 €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~0,002 €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~80 %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Au-delà du quota mensuel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1 000 tokens IA (OpenAI)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0,002 €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~0,0012 €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~40 %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Markup 65 % sur GPT-4o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1 000 tokens IA (Claude)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0,003 €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~0,0018 €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~40 %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Markup 65 % sur Claude Sonnet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1 000 tokens IA (Gemini)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0,0015 €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~0,0008 €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~47 %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Markup 90 % sur Gemini Flash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Stockage doc (Go/mois)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0,10 €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~0,02 €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~80 %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Au-delà du quota inclus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Recherche vectorielle (1k)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0,005 €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~0,001 €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~80 %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Requêtes Qdrant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Appel outil externe (API)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0,002 €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~100 %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GitHub, Trello, Drive…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4.2 Exemple de facture mensuelle — client PME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Contexte : entreprise sur le palier Business (199 €/mois) qui dépasse ses quotas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Volume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Prix unitaire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Montant</w:t>
            </w:r>
          </w:p>
        </w:tc>
      </w:tr>
      <w:tr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Abonnement Business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mois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199,00 €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199,00 €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Exécutions supplémentaires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exec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0,01 €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120,00 €</w:t>
            </w:r>
          </w:p>
        </w:tc>
      </w:tr>
      <w:tr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Tokens IA (GPT-4o)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M tokens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0,002 €/k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10,00 €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Tokens IA (Claude Sonnet)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M tokens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0,003 €/k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6,00 €</w:t>
            </w:r>
          </w:p>
        </w:tc>
      </w:tr>
      <w:tr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Stockage supplémentaire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Go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0,10 €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0,80 €</w:t>
            </w:r>
          </w:p>
        </w:tc>
      </w:tr>
      <w:tr>
        <w:tc>
          <w:tcPr>
            <w:tcW w:type="dxa" w:w="345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TOTAL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335,80 €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4.3 Prépaides &amp; crédits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Option complémentaire : vendre des </w:t>
      </w:r>
      <w:r>
        <w:rPr>
          <w:rFonts w:ascii="Calibri" w:hAnsi="Calibri"/>
          <w:b/>
          <w:i w:val="0"/>
          <w:sz w:val="22"/>
        </w:rPr>
        <w:t>packs de crédits prépayés</w:t>
      </w:r>
      <w:r>
        <w:rPr>
          <w:rFonts w:ascii="Calibri" w:hAnsi="Calibri"/>
          <w:b w:val="0"/>
          <w:i w:val="0"/>
          <w:sz w:val="22"/>
        </w:rPr>
        <w:t xml:space="preserve"> avec remise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Pack 10 € → 1 100 crédits (10 % bonus)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Pack 50 € → 6 000 crédits (20 % bonus)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Pack 200 € → 26 000 crédits (30 % bonus)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1 crédit = 1 exécution ou 500 tokens. Les crédits n'expirent pas — réduit la friction d'achat.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12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📊  Benchmark sectoriel : Stripe charge 0,25 % + frais fixes, AWS facture à la milliseconde. L'usage-based augmente en moyenne l'ARPU (revenu par utilisateur) de 35–45 % par rapport à un abonnement pur, selon les études OpenView Partners 2024.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5. Marketplace d'agents &amp; workflows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La marketplace est un </w:t>
      </w:r>
      <w:r>
        <w:rPr>
          <w:rFonts w:ascii="Calibri" w:hAnsi="Calibri"/>
          <w:b/>
          <w:i w:val="0"/>
          <w:sz w:val="22"/>
        </w:rPr>
        <w:t>effet de réseau à deux faces</w:t>
      </w:r>
      <w:r>
        <w:rPr>
          <w:rFonts w:ascii="Calibri" w:hAnsi="Calibri"/>
          <w:b w:val="0"/>
          <w:i w:val="0"/>
          <w:sz w:val="22"/>
        </w:rPr>
        <w:t xml:space="preserve"> : plus il y a d'acheteurs, plus les créateurs publient ; plus les créateurs publient, plus les acheteurs viennent. C'est le mécanisme qui a construit Shopify App Store, Salesforce AppExchange, et Zapier Templates.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5.1 Ce que l'on vend dans la marketplace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 de produit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Prix indicatif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Exemple concret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 plateforme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Agent prêt à l'emploi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 – 99 €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Agent support client e-commerce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Template de workflow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– 49 €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Workflow veille concurrentielle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30 %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Pack vertical (bundle)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99 – 299 €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Pack RH complet (5 agents + 10 wf)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Connecteur tiers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Free ou 5–19 €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Connecteur Salesforce custom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30 %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Modèle de prompt fine-tuné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29 – 149 €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Prompts juridiques spécialisés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30 %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5.2 Programme créateurs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Revenus</w:t>
      </w:r>
      <w:r>
        <w:rPr>
          <w:rFonts w:ascii="Calibri" w:hAnsi="Calibri"/>
          <w:b w:val="0"/>
          <w:i w:val="0"/>
          <w:sz w:val="22"/>
        </w:rPr>
        <w:t xml:space="preserve"> : 70 % pour le créateur, 30 % pour la plateforme (ajustable à 75/25 pour attirer les premiers)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Certification</w:t>
      </w:r>
      <w:r>
        <w:rPr>
          <w:rFonts w:ascii="Calibri" w:hAnsi="Calibri"/>
          <w:b w:val="0"/>
          <w:i w:val="0"/>
          <w:sz w:val="22"/>
        </w:rPr>
        <w:t xml:space="preserve"> : badge « Vérifié plateforme » après revue technique et sécurité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Analytics</w:t>
      </w:r>
      <w:r>
        <w:rPr>
          <w:rFonts w:ascii="Calibri" w:hAnsi="Calibri"/>
          <w:b w:val="0"/>
          <w:i w:val="0"/>
          <w:sz w:val="22"/>
        </w:rPr>
        <w:t xml:space="preserve"> : dashboard créateur avec ventes, installations, avis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Support marketing</w:t>
      </w:r>
      <w:r>
        <w:rPr>
          <w:rFonts w:ascii="Calibri" w:hAnsi="Calibri"/>
          <w:b w:val="0"/>
          <w:i w:val="0"/>
          <w:sz w:val="22"/>
        </w:rPr>
        <w:t xml:space="preserve"> : mise en avant des meilleures créations dans la newsletter mensuelle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Programme partenaire</w:t>
      </w:r>
      <w:r>
        <w:rPr>
          <w:rFonts w:ascii="Calibri" w:hAnsi="Calibri"/>
          <w:b w:val="0"/>
          <w:i w:val="0"/>
          <w:sz w:val="22"/>
        </w:rPr>
        <w:t xml:space="preserve"> : partenaires agences gagnent 20 % de commission sur les ventes de leurs clients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5.3 Stratégie de lancement marketplace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Phase seeding</w:t>
      </w:r>
      <w:r>
        <w:rPr>
          <w:rFonts w:ascii="Calibri" w:hAnsi="Calibri"/>
          <w:b w:val="0"/>
          <w:i w:val="0"/>
          <w:sz w:val="22"/>
        </w:rPr>
        <w:t xml:space="preserve"> (mois 1–6) : créer 20 agents &amp; workflows internes couvrant les verticals les plus demandés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Phase bêta créateurs</w:t>
      </w:r>
      <w:r>
        <w:rPr>
          <w:rFonts w:ascii="Calibri" w:hAnsi="Calibri"/>
          <w:b w:val="0"/>
          <w:i w:val="0"/>
          <w:sz w:val="22"/>
        </w:rPr>
        <w:t xml:space="preserve"> (mois 6–9) : inviter 10 développeurs partenaires avec commissions à 80 %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Ouverture publique</w:t>
      </w:r>
      <w:r>
        <w:rPr>
          <w:rFonts w:ascii="Calibri" w:hAnsi="Calibri"/>
          <w:b w:val="0"/>
          <w:i w:val="0"/>
          <w:sz w:val="22"/>
        </w:rPr>
        <w:t xml:space="preserve"> (mois 9–12) : marketplace ouverte, retour à 70/30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Scale</w:t>
      </w:r>
      <w:r>
        <w:rPr>
          <w:rFonts w:ascii="Calibri" w:hAnsi="Calibri"/>
          <w:b w:val="0"/>
          <w:i w:val="0"/>
          <w:sz w:val="22"/>
        </w:rPr>
        <w:t xml:space="preserve"> (mois 12+) : catalogue &gt; 200 produits, section « tendances », intégration dans l'onboarding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AF1"/>
            <w:tcBorders>
              <w:top w:val="single" w:sz="4" w:space="0" w:color="27AE60"/>
              <w:left w:val="single" w:sz="12" w:space="0" w:color="27AE60"/>
              <w:bottom w:val="single" w:sz="4" w:space="0" w:color="27AE60"/>
              <w:right w:val="single" w:sz="4" w:space="0" w:color="27AE60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✅  Objectif an 1 : 50 produits en catalogue, 200 installations/mois, GMV (volume brut) de 5 000 €/mois → 1 500 € de commission plateforme/mois.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6. Services professionnels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Les services pro sont un </w:t>
      </w:r>
      <w:r>
        <w:rPr>
          <w:rFonts w:ascii="Calibri" w:hAnsi="Calibri"/>
          <w:b/>
          <w:i w:val="0"/>
          <w:sz w:val="22"/>
        </w:rPr>
        <w:t>accélérateur commercial</w:t>
      </w:r>
      <w:r>
        <w:rPr>
          <w:rFonts w:ascii="Calibri" w:hAnsi="Calibri"/>
          <w:b w:val="0"/>
          <w:i w:val="0"/>
          <w:sz w:val="22"/>
        </w:rPr>
        <w:t>, pas un centre de profit principal. Ils servent à closer les deals enterprise, à réduire le time-to-value des nouveaux clients, et à financer le développement produit en phase initiale.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6.1 Catalogue de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Durée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Prix HT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Livrable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Onboarding Standard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× 2h visio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800 €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Compte configuré + 3 workflows opérationnels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Onboarding Premium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jours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2 500 €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workflows + formation équipe + doc interne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Développement workflow sur mesure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1–5 jours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800 – 4 000 €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Workflow livré, testé, documenté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Intégration système client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3–10 jours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2 400 – 8 000 €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Connecteur custom + maintenance 3 mois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Atelier automatisation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journée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1 500 €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Audit processus + carte des automatisations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Formation équipe (½ journée)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h présentiel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800 €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Support de formation + accès vidéos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Formation équipe (journée)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h présentiel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1 500 €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Support + vidéos + Q&amp;A async 30 jours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Audit sécurité &amp; conformité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jours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Rapport + recommandations + checklist RGPD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Retainer mensuel (support prioritaire)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Continu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500 €/mois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8h d'assistance technique + hotline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6.2 Politique de services — règles importantes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Les services sont </w:t>
      </w:r>
      <w:r>
        <w:rPr>
          <w:rFonts w:ascii="Calibri" w:hAnsi="Calibri"/>
          <w:b/>
          <w:i w:val="0"/>
          <w:sz w:val="22"/>
        </w:rPr>
        <w:t>attachés à un contrat d'abonnement</w:t>
      </w:r>
      <w:r>
        <w:rPr>
          <w:rFonts w:ascii="Calibri" w:hAnsi="Calibri"/>
          <w:b w:val="0"/>
          <w:i w:val="0"/>
          <w:sz w:val="22"/>
        </w:rPr>
        <w:t xml:space="preserve"> Business ou Enterprise minimum — jamais vendus seuls à un client Free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Créer un </w:t>
      </w:r>
      <w:r>
        <w:rPr>
          <w:rFonts w:ascii="Calibri" w:hAnsi="Calibri"/>
          <w:b/>
          <w:i w:val="0"/>
          <w:sz w:val="22"/>
        </w:rPr>
        <w:t>catalogue de livrables standardisés</w:t>
      </w:r>
      <w:r>
        <w:rPr>
          <w:rFonts w:ascii="Calibri" w:hAnsi="Calibri"/>
          <w:b w:val="0"/>
          <w:i w:val="0"/>
          <w:sz w:val="22"/>
        </w:rPr>
        <w:t xml:space="preserve"> (templates de workflows, guides) pour réduire le coût de delivery à mesure que le volume augmente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Viser un ratio </w:t>
      </w:r>
      <w:r>
        <w:rPr>
          <w:rFonts w:ascii="Calibri" w:hAnsi="Calibri"/>
          <w:b/>
          <w:i w:val="0"/>
          <w:sz w:val="22"/>
        </w:rPr>
        <w:t>services / produit &lt; 30 %</w:t>
      </w:r>
      <w:r>
        <w:rPr>
          <w:rFonts w:ascii="Calibri" w:hAnsi="Calibri"/>
          <w:b w:val="0"/>
          <w:i w:val="0"/>
          <w:sz w:val="22"/>
        </w:rPr>
        <w:t xml:space="preserve"> du CA total en régime de croisière — trop de services signale un produit qui ne se vend pas seul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Les missions de développement permettent de </w:t>
      </w:r>
      <w:r>
        <w:rPr>
          <w:rFonts w:ascii="Calibri" w:hAnsi="Calibri"/>
          <w:b/>
          <w:i w:val="0"/>
          <w:sz w:val="22"/>
        </w:rPr>
        <w:t>financer des fonctionnalités</w:t>
      </w:r>
      <w:r>
        <w:rPr>
          <w:rFonts w:ascii="Calibri" w:hAnsi="Calibri"/>
          <w:b w:val="0"/>
          <w:i w:val="0"/>
          <w:sz w:val="22"/>
        </w:rPr>
        <w:t xml:space="preserve"> qui seront ensuite intégrées au produit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12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💰  Objectif an 1 : 3–5 missions/mois à 2 000 € en moyenne = 72 000–120 000 € de CA services. C'est suffisant pour financer un premier développeur ou un Customer Success Manager.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7. Licence White-label &amp; OEM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Le modèle white-label consiste à vendre la plateforme à d'autres entreprises qui la distribuent sous leur marque. C'est un </w:t>
      </w:r>
      <w:r>
        <w:rPr>
          <w:rFonts w:ascii="Calibri" w:hAnsi="Calibri"/>
          <w:b/>
          <w:i w:val="0"/>
          <w:sz w:val="22"/>
        </w:rPr>
        <w:t>multiplicateur de distribution</w:t>
      </w:r>
      <w:r>
        <w:rPr>
          <w:rFonts w:ascii="Calibri" w:hAnsi="Calibri"/>
          <w:b w:val="0"/>
          <w:i w:val="0"/>
          <w:sz w:val="22"/>
        </w:rPr>
        <w:t xml:space="preserve"> qui permet d'atteindre des marchés difficiles à adresser en direct.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7.1 Profils acheteurs white-label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ESN / Cabinets de conseil</w:t>
      </w:r>
      <w:r>
        <w:rPr>
          <w:rFonts w:ascii="Calibri" w:hAnsi="Calibri"/>
          <w:b w:val="0"/>
          <w:i w:val="0"/>
          <w:sz w:val="22"/>
        </w:rPr>
        <w:t xml:space="preserve"> (Capgemini, Sopra, boutiques IA) — veulent une solution IA packagée pour leurs clients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Éditeurs logiciels verticaux</w:t>
      </w:r>
      <w:r>
        <w:rPr>
          <w:rFonts w:ascii="Calibri" w:hAnsi="Calibri"/>
          <w:b w:val="0"/>
          <w:i w:val="0"/>
          <w:sz w:val="22"/>
        </w:rPr>
        <w:t xml:space="preserve"> (LegalTech, HealthTech, FinTech) — veulent ajouter l'IA à leur produit existant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Intégrateurs systèmes</w:t>
      </w:r>
      <w:r>
        <w:rPr>
          <w:rFonts w:ascii="Calibri" w:hAnsi="Calibri"/>
          <w:b w:val="0"/>
          <w:i w:val="0"/>
          <w:sz w:val="22"/>
        </w:rPr>
        <w:t xml:space="preserve"> — construisent des solutions sur mesure pour un secteur précis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Opérateurs télécom / cloud</w:t>
      </w:r>
      <w:r>
        <w:rPr>
          <w:rFonts w:ascii="Calibri" w:hAnsi="Calibri"/>
          <w:b w:val="0"/>
          <w:i w:val="0"/>
          <w:sz w:val="22"/>
        </w:rPr>
        <w:t xml:space="preserve"> — enrichissent leur catalogue de services managés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7.2 Offres de licence OEM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Offre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Inclus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Prix annuel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Engagement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Starter OEM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Jusqu'à 10 clients finaux, branding custom, support e-mail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an min.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Growth OEM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Jusqu'à 50 clients, API de provisioning, support prioritaire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36 000 €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an min.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Scale OEM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Clients illimités, source code escrow, SLA 99,9 %, CSM dédié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90 000 €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ans min.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Source License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Accès complet au code source, modification autorisée, updates 3 ans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Sur devis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ans min.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7.3 Conditions contractuelles clés OEM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Royaltie sur reventes</w:t>
      </w:r>
      <w:r>
        <w:rPr>
          <w:rFonts w:ascii="Calibri" w:hAnsi="Calibri"/>
          <w:b w:val="0"/>
          <w:i w:val="0"/>
          <w:sz w:val="22"/>
        </w:rPr>
        <w:t xml:space="preserve"> : 5–15 % du CA généré par le partenaire sur la plateforme (en sus de la licence)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Clause d'exclusivité sectorielle</w:t>
      </w:r>
      <w:r>
        <w:rPr>
          <w:rFonts w:ascii="Calibri" w:hAnsi="Calibri"/>
          <w:b w:val="0"/>
          <w:i w:val="0"/>
          <w:sz w:val="22"/>
        </w:rPr>
        <w:t xml:space="preserve"> : possible sur demande, avec surcoût de 50 %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Mises à jour</w:t>
      </w:r>
      <w:r>
        <w:rPr>
          <w:rFonts w:ascii="Calibri" w:hAnsi="Calibri"/>
          <w:b w:val="0"/>
          <w:i w:val="0"/>
          <w:sz w:val="22"/>
        </w:rPr>
        <w:t xml:space="preserve"> : incluses pendant la durée du contrat ; renouvellement obligatoire pour continuer à recevoir les updates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Interdit</w:t>
      </w:r>
      <w:r>
        <w:rPr>
          <w:rFonts w:ascii="Calibri" w:hAnsi="Calibri"/>
          <w:b w:val="0"/>
          <w:i w:val="0"/>
          <w:sz w:val="22"/>
        </w:rPr>
        <w:t xml:space="preserve"> : revente de la licence à un tiers, suppression des logs d'audit, modification de la sécurité sans validation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EF9E7"/>
            <w:tcBorders>
              <w:top w:val="single" w:sz="4" w:space="0" w:color="F39C12"/>
              <w:left w:val="single" w:sz="12" w:space="0" w:color="F39C12"/>
              <w:bottom w:val="single" w:sz="4" w:space="0" w:color="F39C12"/>
              <w:right w:val="single" w:sz="4" w:space="0" w:color="F39C12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⚠️  Toujours inclure une clause d'audit technique dans les contrats OEM — le droit de vérifier que la sécurité n'a pas été dégradée est non-négociable pour protéger la réputation de la plateforme.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8. Projections financières — 3 ans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Scénario de base (conservateur). Ces chiffres supposent 1 fondateur + 1 développeur en an 1, avec un budget marketing minimal.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8.1 Hypothèses de croissance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1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2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3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Clients Free actifs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800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2 500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Clients Pro (49 €/mois)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Clients Business (199 €/mois)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Contrats Enterprise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Partenaires OEM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conversion Free → Pro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18 %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churn mensuel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6 %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4 %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3 %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ARPU moyen (hors enterprise)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75 €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95 €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120 €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8.2 Projection du chiffre d'affaires mensuel récurrent (MRR)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 de revenu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1 (mois 12)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2 (mois 24)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3 (mois 36)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SaaS Pro (49 €)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1 470 €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7 350 €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24 500 €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SaaS Business (199 €)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995 €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7 960 €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29 850 €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Enterprise (avg 2 000 €)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30 000 €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Usage-based surplus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commissions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1 500 €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OEM licences (mensuel.)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9 000 €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Services pro (mensuel.)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10 000 €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MRR TOTAL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10 115 €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40 810 €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121 350 €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ARR TOTAL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121 380 €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489 720 €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1 456 200 €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8.3 Structure de coûts estimée (an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03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Poste de coût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Mensuel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Annuel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% CA</w:t>
            </w:r>
          </w:p>
        </w:tc>
      </w:tr>
      <w:tr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Infrastructure cloud (K8s, DB, NATS)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4 800 €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4 %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Coût IA passthrough (tokens clients)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800 €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9 600 €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8 %</w:t>
            </w:r>
          </w:p>
        </w:tc>
      </w:tr>
      <w:tr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Outils SaaS (monitoring, support, CRM)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3 600 €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3 %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Salaire développeur (si embauche an 1)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4 500 €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54 000 €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44 %</w:t>
            </w:r>
          </w:p>
        </w:tc>
      </w:tr>
      <w:tr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Marketing &amp; acquisition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5 %</w:t>
            </w:r>
          </w:p>
        </w:tc>
      </w:tr>
      <w:tr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Juridique &amp; comptabilité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200 €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2 400 €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2 %</w:t>
            </w:r>
          </w:p>
        </w:tc>
      </w:tr>
      <w:tr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TOTAL COÛTS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6 700 €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80 400 €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66 %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12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📈  Marge brute cible : 70–75 % (standard SaaS). Point d'équilibre (break-even) : autour du mois 9–10 en scénario de base. L'objectif an 3 d'ARR &gt; 1,4 M€ valorise la société à 7–14 M€ (multiple SaaS B2B de 5–10× l'ARR).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9. Stratégie go-to-market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9.1 Séquence de lancement en 4 phases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F497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Phase 1 — Validation (mois 1–3)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Déployer la plateforme sur un cloud public (Hetzner ou OVH — 3× moins cher qu'AWS)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Ouvrir l'accès en beta privée à 20–30 utilisateurs ciblés (LinkedIn, communautés IA)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Objectif : identifier les 3 cas d'usage les plus plébiscités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Pas de pricing public — tout est gratuit, collecte de feedback intensif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Livrable : liste de 10 use cases documentés + 5 témoignages clients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2E74B5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Phase 2 — Lancement SaaS (mois 3–6)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Publier le pricing public (Free / Pro / Business)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Lancer sur Product Hunt — préparer 3 semaines à l'avance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Publication d'un article de blog technique sur l'architecture (traction dev)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Démarcher 5 clients enterprise en parallèle pour des POC payants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Objectif : 50 clients Pro, 5 Business, MRR 3 000 €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D6A3E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Phase 3 — Croissance (mois 6–12)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Lancer le programme de partenaires (apporteurs d'affaires, 15 % commission récurrente)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Ouvrir la marketplace en bêta créateurs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Premier contrat Enterprise signé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Content marketing : 2 articles SEO / semaine sur l'automatisation IA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Objectif : MRR 10 000 €, 1 partenaire OEM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6C757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Phase 4 — Scale (mois 12–24)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Lever des fonds ou autofinancement selon la trajectoire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Embauche : 1 développeur + 1 commercial enterprise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Expansion géographique : marché anglophone (UK, Canada)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Certification SOC 2 Type II pour débloquer les comptes Fortune 500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Objectif : ARR 500 000 €, 5 contrats Enterprise, 2 partenaires OEM</w:t>
      </w:r>
    </w:p>
    <w:p>
      <w:pPr>
        <w:spacing w:after="16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9.2 Verticals prioritaires à cibler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Vertical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Douleur principale</w:t>
            </w:r>
          </w:p>
        </w:tc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Pourquoi la plateforme gagne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Ticket moyen</w:t>
            </w:r>
          </w:p>
        </w:tc>
      </w:tr>
      <w:tr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Juridique / LegalTech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Traitement manuel de contrats</w:t>
            </w:r>
          </w:p>
        </w:tc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Lecture + résumé PDF + recherche vectorielle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Enterprise 2 000 €+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RH &amp; Recrutement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Tri CV, onboarding répétitif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Workflows automatisés + agents spécialisés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Business 199 €</w:t>
            </w:r>
          </w:p>
        </w:tc>
      </w:tr>
      <w:tr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Finance / Comptabilité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Saisie, rapprochement, reporting</w:t>
            </w:r>
          </w:p>
        </w:tc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Connexion ERP + modèles analytiques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Enterprise 3 000 €+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E-commerce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Support client, fiches produits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Agents 24/7 + intégration CRM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Pro/Business</w:t>
            </w:r>
          </w:p>
        </w:tc>
      </w:tr>
      <w:tr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IT / DevOps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Monitoring, incidents, tickets</w:t>
            </w:r>
          </w:p>
        </w:tc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 + alertes + génération de réponse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Business 199 €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Marketing / Agences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Création de contenu, reporting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Workflows de génération + recherche web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 49 €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10. Acquisition clients &amp; canaux de distribution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10.1 Canaux organiques (coût faible)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Content marketing technique</w:t>
      </w:r>
      <w:r>
        <w:rPr>
          <w:rFonts w:ascii="Calibri" w:hAnsi="Calibri"/>
          <w:b w:val="0"/>
          <w:i w:val="0"/>
          <w:sz w:val="22"/>
        </w:rPr>
        <w:t xml:space="preserve"> : articles sur Medium, Dev.to, LinkedIn — sujets : « Automatiser X avec une IA », « Comparatif LangChain vs n8n vs notre plateforme »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SEO long-tail</w:t>
      </w:r>
      <w:r>
        <w:rPr>
          <w:rFonts w:ascii="Calibri" w:hAnsi="Calibri"/>
          <w:b w:val="0"/>
          <w:i w:val="0"/>
          <w:sz w:val="22"/>
        </w:rPr>
        <w:t xml:space="preserve"> : cibler les requêtes « automatisation workflow IA », « agent IA entreprise », « n8n alternative » — trafic qualifié à faible coût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Vidéos tutoriels YouTube</w:t>
      </w:r>
      <w:r>
        <w:rPr>
          <w:rFonts w:ascii="Calibri" w:hAnsi="Calibri"/>
          <w:b w:val="0"/>
          <w:i w:val="0"/>
          <w:sz w:val="22"/>
        </w:rPr>
        <w:t xml:space="preserve"> : démonstrations de cas d'usage (5–10 min) — algorithme YouTube favorise ce format, canal pérenne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Product Hunt &amp; Hacker News</w:t>
      </w:r>
      <w:r>
        <w:rPr>
          <w:rFonts w:ascii="Calibri" w:hAnsi="Calibri"/>
          <w:b w:val="0"/>
          <w:i w:val="0"/>
          <w:sz w:val="22"/>
        </w:rPr>
        <w:t xml:space="preserve"> : lancement produit — 24–48h de pic de trafic, potentiel de 500–2 000 signups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GitHub / Open source</w:t>
      </w:r>
      <w:r>
        <w:rPr>
          <w:rFonts w:ascii="Calibri" w:hAnsi="Calibri"/>
          <w:b w:val="0"/>
          <w:i w:val="0"/>
          <w:sz w:val="22"/>
        </w:rPr>
        <w:t xml:space="preserve"> : publier des composants open source (SDK client, connecteurs) pour attirer les développeurs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Communautés</w:t>
      </w:r>
      <w:r>
        <w:rPr>
          <w:rFonts w:ascii="Calibri" w:hAnsi="Calibri"/>
          <w:b w:val="0"/>
          <w:i w:val="0"/>
          <w:sz w:val="22"/>
        </w:rPr>
        <w:t xml:space="preserve"> : r/MachineLearning, Discord IA, Slack No-code, forums Make/Zapier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10.2 Canaux payants (ROI mesuré)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Google Ads</w:t>
      </w:r>
      <w:r>
        <w:rPr>
          <w:rFonts w:ascii="Calibri" w:hAnsi="Calibri"/>
          <w:b w:val="0"/>
          <w:i w:val="0"/>
          <w:sz w:val="22"/>
        </w:rPr>
        <w:t xml:space="preserve"> : cibler « LangChain alternative », « ai workflow automation pricing » — CPC 2–8 €, conversion attendue 3–5 %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LinkedIn Ads</w:t>
      </w:r>
      <w:r>
        <w:rPr>
          <w:rFonts w:ascii="Calibri" w:hAnsi="Calibri"/>
          <w:b w:val="0"/>
          <w:i w:val="0"/>
          <w:sz w:val="22"/>
        </w:rPr>
        <w:t xml:space="preserve"> : cibler DSI, CDO, directeurs opérations en France — CPC élevé (8–15 €) mais qualité lead élevée pour l'enterprise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Sponsoring newsletters IA</w:t>
      </w:r>
      <w:r>
        <w:rPr>
          <w:rFonts w:ascii="Calibri" w:hAnsi="Calibri"/>
          <w:b w:val="0"/>
          <w:i w:val="0"/>
          <w:sz w:val="22"/>
        </w:rPr>
        <w:t xml:space="preserve"> : The Rundown AI, TLDR AI, Lenny's Newsletter — audience ciblée, CPM 40–80 €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10.3 Programme partenaires &amp; apporteurs d'affaires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 de partenaire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Durée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Conditions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Apporteur d'affaires (individuel)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15 % MRR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mois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Signature NDA + contrat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Agence partenaire certifiée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20 % MRR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 mois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Formation obligatoire (4h)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Revendeur VAR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25 % sur licences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Continu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Volume min. 3 clients/an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Intégrateur systèmes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10 % + services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Continu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Certification technique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10.4 Entonnoir de conversion cible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Métriques SaaS B2B benchmarks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Visiteur → Signup Free : </w:t>
      </w:r>
      <w:r>
        <w:rPr>
          <w:rFonts w:ascii="Calibri" w:hAnsi="Calibri"/>
          <w:b/>
          <w:i w:val="0"/>
          <w:sz w:val="22"/>
        </w:rPr>
        <w:t>3–5 %</w:t>
      </w:r>
      <w:r>
        <w:rPr>
          <w:rFonts w:ascii="Calibri" w:hAnsi="Calibri"/>
          <w:b w:val="0"/>
          <w:i w:val="0"/>
          <w:sz w:val="22"/>
        </w:rPr>
        <w:t xml:space="preserve"> (objectif landing page optimisée)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Signup → Actif (au moins 1 workflow créé) : </w:t>
      </w:r>
      <w:r>
        <w:rPr>
          <w:rFonts w:ascii="Calibri" w:hAnsi="Calibri"/>
          <w:b/>
          <w:i w:val="0"/>
          <w:sz w:val="22"/>
        </w:rPr>
        <w:t>40 %</w:t>
      </w:r>
      <w:r>
        <w:rPr>
          <w:rFonts w:ascii="Calibri" w:hAnsi="Calibri"/>
          <w:b w:val="0"/>
          <w:i w:val="0"/>
          <w:sz w:val="22"/>
        </w:rPr>
        <w:t xml:space="preserve"> (onboarding guidé)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Actif Free → Pro (payant) : </w:t>
      </w:r>
      <w:r>
        <w:rPr>
          <w:rFonts w:ascii="Calibri" w:hAnsi="Calibri"/>
          <w:b/>
          <w:i w:val="0"/>
          <w:sz w:val="22"/>
        </w:rPr>
        <w:t>15–20 %</w:t>
      </w:r>
      <w:r>
        <w:rPr>
          <w:rFonts w:ascii="Calibri" w:hAnsi="Calibri"/>
          <w:b w:val="0"/>
          <w:i w:val="0"/>
          <w:sz w:val="22"/>
        </w:rPr>
        <w:t xml:space="preserve"> dans les 30 jours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Pro → Business : </w:t>
      </w:r>
      <w:r>
        <w:rPr>
          <w:rFonts w:ascii="Calibri" w:hAnsi="Calibri"/>
          <w:b/>
          <w:i w:val="0"/>
          <w:sz w:val="22"/>
        </w:rPr>
        <w:t>25 %</w:t>
      </w:r>
      <w:r>
        <w:rPr>
          <w:rFonts w:ascii="Calibri" w:hAnsi="Calibri"/>
          <w:b w:val="0"/>
          <w:i w:val="0"/>
          <w:sz w:val="22"/>
        </w:rPr>
        <w:t xml:space="preserve"> dans les 6 mois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Business → Enterprise : </w:t>
      </w:r>
      <w:r>
        <w:rPr>
          <w:rFonts w:ascii="Calibri" w:hAnsi="Calibri"/>
          <w:b/>
          <w:i w:val="0"/>
          <w:sz w:val="22"/>
        </w:rPr>
        <w:t>10 %</w:t>
      </w:r>
      <w:r>
        <w:rPr>
          <w:rFonts w:ascii="Calibri" w:hAnsi="Calibri"/>
          <w:b w:val="0"/>
          <w:i w:val="0"/>
          <w:sz w:val="22"/>
        </w:rPr>
        <w:t xml:space="preserve"> (cycle de vente 30–90 jours)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11. Psychologie du pricing &amp; packaging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Le prix n'est pas qu'un chiffre — c'est un message. Ces principes sont issus des meilleures pratiques de Stripe, HubSpot, et Linear.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11.1 Règles d'or du pricing SaaS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Ancrer le prix sur la valeur, pas les coûts</w:t>
      </w:r>
      <w:r>
        <w:rPr>
          <w:rFonts w:ascii="Calibri" w:hAnsi="Calibri"/>
          <w:b w:val="0"/>
          <w:i w:val="0"/>
          <w:sz w:val="22"/>
        </w:rPr>
        <w:t xml:space="preserve"> : si un workflow économise 10h/mois à un client, un abonnement à 199 €/mois est une évidence — mettez cela en avant explicitement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Toujours avoir une option annuelle avec remise 20 %</w:t>
      </w:r>
      <w:r>
        <w:rPr>
          <w:rFonts w:ascii="Calibri" w:hAnsi="Calibri"/>
          <w:b w:val="0"/>
          <w:i w:val="0"/>
          <w:sz w:val="22"/>
        </w:rPr>
        <w:t xml:space="preserve"> : réduit le churn, améliore la trésorerie, augmente la LTV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Mettre en valeur visuellement le palier recommandé</w:t>
      </w:r>
      <w:r>
        <w:rPr>
          <w:rFonts w:ascii="Calibri" w:hAnsi="Calibri"/>
          <w:b w:val="0"/>
          <w:i w:val="0"/>
          <w:sz w:val="22"/>
        </w:rPr>
        <w:t xml:space="preserve"> (badge « Le plus populaire » sur Business) — le palier du milieu capte naturellement 50–60 % des conversions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Le palier Enterprise doit être flou intentionnellement</w:t>
      </w:r>
      <w:r>
        <w:rPr>
          <w:rFonts w:ascii="Calibri" w:hAnsi="Calibri"/>
          <w:b w:val="0"/>
          <w:i w:val="0"/>
          <w:sz w:val="22"/>
        </w:rPr>
        <w:t xml:space="preserve"> : « contactez-nous » force la conversation commerciale et permet le pricing sur mesure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Limiter à 3–4 paliers maximum</w:t>
      </w:r>
      <w:r>
        <w:rPr>
          <w:rFonts w:ascii="Calibri" w:hAnsi="Calibri"/>
          <w:b w:val="0"/>
          <w:i w:val="0"/>
          <w:sz w:val="22"/>
        </w:rPr>
        <w:t xml:space="preserve"> : au-delà, la décision est paralysante (paradox of choice)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Framing mensuel/annuel</w:t>
      </w:r>
      <w:r>
        <w:rPr>
          <w:rFonts w:ascii="Calibri" w:hAnsi="Calibri"/>
          <w:b w:val="0"/>
          <w:i w:val="0"/>
          <w:sz w:val="22"/>
        </w:rPr>
        <w:t xml:space="preserve"> : toujours afficher le prix annuel en « X €/mois » (pas en total annuel) — 159 €/mois est plus digeste que 1 908 €/an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11.2 Mécaniques de conversion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Essai gratuit 14 jours Pro</w:t>
      </w:r>
      <w:r>
        <w:rPr>
          <w:rFonts w:ascii="Calibri" w:hAnsi="Calibri"/>
          <w:b w:val="0"/>
          <w:i w:val="0"/>
          <w:sz w:val="22"/>
        </w:rPr>
        <w:t xml:space="preserve"> sans carte bancaire — réduit la friction d'entrée, le taux de conversion est 2–3× supérieur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Freemium bien calibré</w:t>
      </w:r>
      <w:r>
        <w:rPr>
          <w:rFonts w:ascii="Calibri" w:hAnsi="Calibri"/>
          <w:b w:val="0"/>
          <w:i w:val="0"/>
          <w:sz w:val="22"/>
        </w:rPr>
        <w:t xml:space="preserve"> : le plan Free doit être assez bon pour attirer, pas assez pour satisfaire — la limite à 100 exécutions/mois est délibérément basse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Offre de lancement</w:t>
      </w:r>
      <w:r>
        <w:rPr>
          <w:rFonts w:ascii="Calibri" w:hAnsi="Calibri"/>
          <w:b w:val="0"/>
          <w:i w:val="0"/>
          <w:sz w:val="22"/>
        </w:rPr>
        <w:t xml:space="preserve"> : -50 % sur 3 mois pour les 100 premiers clients payants — crée l'urgence, remplit le funnel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Tarification par équipe</w:t>
      </w:r>
      <w:r>
        <w:rPr>
          <w:rFonts w:ascii="Calibri" w:hAnsi="Calibri"/>
          <w:b w:val="0"/>
          <w:i w:val="0"/>
          <w:sz w:val="22"/>
        </w:rPr>
        <w:t xml:space="preserve"> : ne pas facturer uniquement par utilisateur — ça punit la croissance de l'équipe. Préférer un palier inclus + supplément au-delà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ROI Calculator</w:t>
      </w:r>
      <w:r>
        <w:rPr>
          <w:rFonts w:ascii="Calibri" w:hAnsi="Calibri"/>
          <w:b w:val="0"/>
          <w:i w:val="0"/>
          <w:sz w:val="22"/>
        </w:rPr>
        <w:t xml:space="preserve"> sur le site web : l'utilisateur entre son secteur + taille équipe, la calculatrice affiche l'économie estimée en heures et euros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11.3 Tactiques anti-churn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Emails d'engagement</w:t>
      </w:r>
      <w:r>
        <w:rPr>
          <w:rFonts w:ascii="Calibri" w:hAnsi="Calibri"/>
          <w:b w:val="0"/>
          <w:i w:val="0"/>
          <w:sz w:val="22"/>
        </w:rPr>
        <w:t xml:space="preserve"> à J+3, J+7, J+14 après inscription avec des cas d'usage concrets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Score d'adoption produit</w:t>
      </w:r>
      <w:r>
        <w:rPr>
          <w:rFonts w:ascii="Calibri" w:hAnsi="Calibri"/>
          <w:b w:val="0"/>
          <w:i w:val="0"/>
          <w:sz w:val="22"/>
        </w:rPr>
        <w:t xml:space="preserve"> : détecter les comptes peu actifs avant qu'ils churent et déclencher un contact proactif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Pause au lieu d'annulation</w:t>
      </w:r>
      <w:r>
        <w:rPr>
          <w:rFonts w:ascii="Calibri" w:hAnsi="Calibri"/>
          <w:b w:val="0"/>
          <w:i w:val="0"/>
          <w:sz w:val="22"/>
        </w:rPr>
        <w:t xml:space="preserve"> : proposer 1 mois gratuit avant que le client ferme son compte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NPS trimestriel</w:t>
      </w:r>
      <w:r>
        <w:rPr>
          <w:rFonts w:ascii="Calibri" w:hAnsi="Calibri"/>
          <w:b w:val="0"/>
          <w:i w:val="0"/>
          <w:sz w:val="22"/>
        </w:rPr>
        <w:t xml:space="preserve"> : surveiller les détracteurs, les convertir ou les analyser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12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🧠  Insight clé : dans le SaaS B2B, 80 % du churn est décidé dans les 30 premiers jours. Investir massivement dans l'onboarding (templates, vidéos, chat proactif) rapporte plus que n'importe quel canal d'acquisition.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12. Structure juridique &amp; fiscale SaaS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12.1 Structure juridique recommandée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Pour un SaaS en France avec ambitions de croissance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SAS (Société par Actions Simplifiée)</w:t>
      </w:r>
      <w:r>
        <w:rPr>
          <w:rFonts w:ascii="Calibri" w:hAnsi="Calibri"/>
          <w:b w:val="0"/>
          <w:i w:val="0"/>
          <w:sz w:val="22"/>
        </w:rPr>
        <w:t xml:space="preserve"> — structure la plus adaptée : flexibilité des statuts, facilité de levée de fonds, régime fiscal optimisable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Capital social</w:t>
      </w:r>
      <w:r>
        <w:rPr>
          <w:rFonts w:ascii="Calibri" w:hAnsi="Calibri"/>
          <w:b w:val="0"/>
          <w:i w:val="0"/>
          <w:sz w:val="22"/>
        </w:rPr>
        <w:t xml:space="preserve"> : 1 000 € minimum recommandé pour signaler le sérieux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Pacte d'associés</w:t>
      </w:r>
      <w:r>
        <w:rPr>
          <w:rFonts w:ascii="Calibri" w:hAnsi="Calibri"/>
          <w:b w:val="0"/>
          <w:i w:val="0"/>
          <w:sz w:val="22"/>
        </w:rPr>
        <w:t xml:space="preserve"> : indispensable dès 2 associés — prévoir clauses de vesting (4 ans, cliff 1 an), drag-along, tag-along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BSPCE</w:t>
      </w:r>
      <w:r>
        <w:rPr>
          <w:rFonts w:ascii="Calibri" w:hAnsi="Calibri"/>
          <w:b w:val="0"/>
          <w:i w:val="0"/>
          <w:sz w:val="22"/>
        </w:rPr>
        <w:t xml:space="preserve"> (Bons de Souscription de Parts de Créateur d'Entreprise) : mécanisme français d'intéressement des employés clés, très avantageux fiscalement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12.2 Contrats &amp; CGV indispensables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</w:t>
            </w:r>
          </w:p>
        </w:tc>
        <w:tc>
          <w:tcPr>
            <w:tcW w:type="dxa" w:w="50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Contenu essentiel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Priorité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CGV SaaS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Prix, durée, résiliation, SLA, limitations de responsabilité, RGPD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Critique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DPA (Data Processing Agreement)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Rôles responsable/sous-traitant, mesures de sécurité, localisation des données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Critique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Contrat Enterprise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SLA personnalisé, pénalités, confidentialité, droit d'audit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Critique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Contrat partenaire/OEM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Droits de distribution, royalties, exclusivités, conditions de résiliation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Important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Politique de confidentialité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RGPD art. 13/14 : données collectées, finalités, droits utilisateurs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Critique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Mentions légales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Éditeur, hébergeur, propriété intellectuelle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Standard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12.3 Conformité RGPD — points clés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Registre des traitements</w:t>
      </w:r>
      <w:r>
        <w:rPr>
          <w:rFonts w:ascii="Calibri" w:hAnsi="Calibri"/>
          <w:b w:val="0"/>
          <w:i w:val="0"/>
          <w:sz w:val="22"/>
        </w:rPr>
        <w:t xml:space="preserve"> : obligatoire, recenser toutes les données collectées et leur finalité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Localisation des données</w:t>
      </w:r>
      <w:r>
        <w:rPr>
          <w:rFonts w:ascii="Calibri" w:hAnsi="Calibri"/>
          <w:b w:val="0"/>
          <w:i w:val="0"/>
          <w:sz w:val="22"/>
        </w:rPr>
        <w:t xml:space="preserve"> : hébergement UE obligatoire pour les clients UE (Hetzner DE, OVH FR — éviter AWS us-east par défaut)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Durée de conservation</w:t>
      </w:r>
      <w:r>
        <w:rPr>
          <w:rFonts w:ascii="Calibri" w:hAnsi="Calibri"/>
          <w:b w:val="0"/>
          <w:i w:val="0"/>
          <w:sz w:val="22"/>
        </w:rPr>
        <w:t xml:space="preserve"> : définir et appliquer — les logs d'exécution ne doivent pas être gardés indéfiniment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Droit à l'effacement</w:t>
      </w:r>
      <w:r>
        <w:rPr>
          <w:rFonts w:ascii="Calibri" w:hAnsi="Calibri"/>
          <w:b w:val="0"/>
          <w:i w:val="0"/>
          <w:sz w:val="22"/>
        </w:rPr>
        <w:t xml:space="preserve"> : implémenter une procédure de suppression de compte en &lt; 30 jours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Sous-traitants</w:t>
      </w:r>
      <w:r>
        <w:rPr>
          <w:rFonts w:ascii="Calibri" w:hAnsi="Calibri"/>
          <w:b w:val="0"/>
          <w:i w:val="0"/>
          <w:sz w:val="22"/>
        </w:rPr>
        <w:t xml:space="preserve"> : lister et contractualiser avec chaque fournisseur IA (OpenAI, Anthropic ont leurs propres DPA)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12.4 Fiscalité SaaS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TVA SaaS</w:t>
      </w:r>
      <w:r>
        <w:rPr>
          <w:rFonts w:ascii="Calibri" w:hAnsi="Calibri"/>
          <w:b w:val="0"/>
          <w:i w:val="0"/>
          <w:sz w:val="22"/>
        </w:rPr>
        <w:t xml:space="preserve"> : services numériques vendus à des entreprises UE → autoliquidation TVA ; vendus à des particuliers UE → TVA du pays de l'acheteur (guichet OSS)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Crédit d'Impôt Recherche (CIR)</w:t>
      </w:r>
      <w:r>
        <w:rPr>
          <w:rFonts w:ascii="Calibri" w:hAnsi="Calibri"/>
          <w:b w:val="0"/>
          <w:i w:val="0"/>
          <w:sz w:val="22"/>
        </w:rPr>
        <w:t xml:space="preserve"> : les développements de la plateforme sont éligibles — jusqu'à 30 % des salaires R&amp;D remboursés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JEI (Jeune Entreprise Innovante)</w:t>
      </w:r>
      <w:r>
        <w:rPr>
          <w:rFonts w:ascii="Calibri" w:hAnsi="Calibri"/>
          <w:b w:val="0"/>
          <w:i w:val="0"/>
          <w:sz w:val="22"/>
        </w:rPr>
        <w:t xml:space="preserve"> : exonération de charges sociales patronales pendant 8 ans — très significatif pour les premiers recrutements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IP Box</w:t>
      </w:r>
      <w:r>
        <w:rPr>
          <w:rFonts w:ascii="Calibri" w:hAnsi="Calibri"/>
          <w:b w:val="0"/>
          <w:i w:val="0"/>
          <w:sz w:val="22"/>
        </w:rPr>
        <w:t xml:space="preserve"> : régime d'imposition réduit (10 %) sur les revenus issus de licences de logiciels — applicable aux revenus OEM/white-label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EF9E7"/>
            <w:tcBorders>
              <w:top w:val="single" w:sz="4" w:space="0" w:color="F39C12"/>
              <w:left w:val="single" w:sz="12" w:space="0" w:color="F39C12"/>
              <w:bottom w:val="single" w:sz="4" w:space="0" w:color="F39C12"/>
              <w:right w:val="single" w:sz="4" w:space="0" w:color="F39C12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⚠️  Ne pas négliger le DPA avec les clients enterprise — c'est souvent un bloqueur contractuel. Un modèle de DPA bien rédigé peut être réutilisé à coût marginal nul.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13. Métriques SaaS &amp; KPIs à piloter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Ces métriques sont le tableau de bord d'un SaaS sain. Les surveiller hebdomadairement dès le premier client payant.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13.1 Métriques de revenus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Définition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Objectif an 1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Alarme si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MRR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Revenu mensuel récurrent total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10 000 €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5 % de croissance/mois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ARR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MRR × 12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120 000 €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ARPU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MRR / nombre de clients payants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75 €/mois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40 €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Net Revenue Retention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(MRR t + expansions - churns) / MRR t-1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105 %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95 %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LTV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ARPU / taux de churn mensuel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1 200 €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LTV &lt; 3× CAC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13.2 Métriques d'acquisition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Définition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Objectif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Alarme si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CAC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Coût total acquisition / nouveaux clients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400 €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600 €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Ratio LTV/CAC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Rentabilité d'un client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3×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2×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Payback period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Mois pour récupérer le CAC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12 mois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18 mois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signup→payant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Conversions Free → paid dans 30 jours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≥ 15 %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8 %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13.3 Métriques de rétention &amp; engagement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Métrique</w:t>
            </w:r>
          </w:p>
        </w:tc>
        <w:tc>
          <w:tcPr>
            <w:tcW w:type="dxa" w:w="331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Définition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Objectif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Alarme si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Churn mensuel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% clients qui annulent/mois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4 %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7 %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Logo churn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% de comptes perdus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3 %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5 %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DAU/MAU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Ratio engagement quotidien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20 %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10 %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Workflows créés/compte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Adoption produit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3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1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NPS (Net Promoter Score)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Satisfaction globale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40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20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13.4 Outil de monitoring recommandé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ChartMogul ou Baremetrics</w:t>
      </w:r>
      <w:r>
        <w:rPr>
          <w:rFonts w:ascii="Calibri" w:hAnsi="Calibri"/>
          <w:b w:val="0"/>
          <w:i w:val="0"/>
          <w:sz w:val="22"/>
        </w:rPr>
        <w:t xml:space="preserve"> — automatise le calcul de toutes ces métriques depuis Stripe (&lt; 30 €/mois)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PostHog</w:t>
      </w:r>
      <w:r>
        <w:rPr>
          <w:rFonts w:ascii="Calibri" w:hAnsi="Calibri"/>
          <w:b w:val="0"/>
          <w:i w:val="0"/>
          <w:sz w:val="22"/>
        </w:rPr>
        <w:t xml:space="preserve"> — analytics produit open source, self-hostable (gratuit en auto-hébergement)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Customer.io</w:t>
      </w:r>
      <w:r>
        <w:rPr>
          <w:rFonts w:ascii="Calibri" w:hAnsi="Calibri"/>
          <w:b w:val="0"/>
          <w:i w:val="0"/>
          <w:sz w:val="22"/>
        </w:rPr>
        <w:t xml:space="preserve"> — automation emails basée sur les événements produit (plans gratuits disponibles)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Linear</w:t>
      </w:r>
      <w:r>
        <w:rPr>
          <w:rFonts w:ascii="Calibri" w:hAnsi="Calibri"/>
          <w:b w:val="0"/>
          <w:i w:val="0"/>
          <w:sz w:val="22"/>
        </w:rPr>
        <w:t xml:space="preserve"> — suivi des tickets et roadmap produit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14. Risques &amp; mitigations</w:t>
      </w:r>
    </w:p>
    <w:p>
      <w:pPr>
        <w:spacing w:before="20" w:after="20"/>
        <w:pBdr>
          <w:bottom w:val="single" w:sz="6" w:space="1" w:color="2E74B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Risque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Probabilité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403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OpenAI / Anthropic coupent l'accès ou augmentent les prix brutalement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Support multi-LLM natif — basculer vers Ollama/Gemini en cas de hausse. Renégocier des tarifs volume.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Concurrent bien financé copie l'offre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Construire la moat sur la communauté, les intégrations et les données clients. Accélérer le rythme produit.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Faille de sécurité (credentials clients exposés)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Critique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Chiffrement AES-256 par utilisateur déjà en place. Pen test annuel. Assurance cyber.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Churn élevé faute d'adoption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Investir dans l'onboarding (templates, vidéos, CS). Monitorer DAU/MAU dès J+1.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Problème de conformité RGPD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Hébergement UE, DPA client, registre des traitements, audit annuel DPO.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Dépendance à un seul fondateur (bus factor)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Documentation technique, recrutement précoce, partage des accès critiques.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Marché se consolide autour d'un seul standard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Positionner la plateforme comme couche d'orchestration agnostique — s'adapter à tout standard émergent.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15. Feuille de route de monétisation — 24 mois</w:t>
      </w:r>
    </w:p>
    <w:p>
      <w:pPr>
        <w:spacing w:before="20" w:after="20"/>
        <w:pBdr>
          <w:bottom w:val="single" w:sz="6" w:space="1" w:color="2E74B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Mois</w:t>
            </w:r>
          </w:p>
        </w:tc>
        <w:tc>
          <w:tcPr>
            <w:tcW w:type="dxa" w:w="50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Actions clés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Objectif MRR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Objectif clients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M1–M2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Finaliser CGV + DPA. Ouvrir beta privée 30 utilisateurs. Mettre en place Stripe.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Free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Lancer pricing public. Product Hunt. Premier client Pro.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Pro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M4–M5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Contenu SEO (8 articles). Programme partenaires v1. Cibler 3 prospects Enterprise.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Pro, 3 Business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Signer 1er contrat Enterprise. Lancer offre annuelle (-20 %).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 Pro, 5 Business, 1 Enterprise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M7–M9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bêta (20 agents internes). OEM discussions. YouTube tutoriels.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 Pro, 10 Business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M10–M12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1er partenaire OEM signé. 100 templates marketplace. Embauche CS ou dev.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10 000 €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 Pro, 20 Business, 2 Enterprise</w:t>
            </w:r>
          </w:p>
        </w:tc>
      </w:tr>
      <w:tr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M13–M18</w:t>
            </w:r>
          </w:p>
        </w:tc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Expansion UK/Canada. Certification SOC 2. 2ème contrat OEM.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300 Pro, 60 Business, 6 Enterprise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M19–M24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publique. Levée de fonds optionnelle. Embauche commercial enterprise.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60 000 €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Pro, 120 Business, 12 Enterprise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Check-list des 30 premiers jours (actions immédiates)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Créer la SAS (ou vérifier structure existante) et ouvrir un compte bancaire pro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Rédiger les CGV SaaS + politique de confidentialité (modèle avocat ou Legalstart + personnalisation)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Configurer Stripe avec les 3 paliers tarifaires (Free / Pro / Business)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Déployer la landing page avec pricing, FAQ, témoignages et ROI calculator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Mettre en place Google Analytics 4 + PostHog pour le tracking produit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Rédiger et publier le 1er article de blog SEO (comparatif « notre plateforme vs n8n »)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Identifier 10 prospects cibles sur LinkedIn et envoyer des messages de bêta test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Créer un canal Discord ou Slack communauté pour les premiers utilisateurs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Configurer les emails d'onboarding automatiques (J+1, J+3, J+7) via Customer.io ou Loops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☐  Ouvrir un compte ChartMogul ou Baremetrics connecté à Stripe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AF1"/>
            <w:tcBorders>
              <w:top w:val="single" w:sz="4" w:space="0" w:color="27AE60"/>
              <w:left w:val="single" w:sz="12" w:space="0" w:color="27AE60"/>
              <w:bottom w:val="single" w:sz="4" w:space="0" w:color="27AE60"/>
              <w:right w:val="single" w:sz="4" w:space="0" w:color="27AE60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🏁  Le premier euro récurrent est le plus difficile. Une fois les 10 premiers clients Pro signés, le moteur de croissance organique (référencement, bouche-à-oreille, contenu) prend le relais et le CAC chute significativement. Tout l'enjeu est de tenir jusqu'à ce seuil.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1F497D"/>
          <w:sz w:val="36"/>
        </w:rPr>
        <w:t>Conclusion</w:t>
      </w:r>
    </w:p>
    <w:p>
      <w:pPr>
        <w:spacing w:before="20" w:after="20"/>
        <w:pBdr>
          <w:bottom w:val="single" w:sz="6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 Plateforme Multi-Agent dispose de tous les fondamentaux techniques pour devenir un produit SaaS rentable : architecture de production, sécurité enterprise-grade, différenciation forte sur le multi-LLM et le déploiement on-premise.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La stratégie de monétisation recommandée s'articule autour de </w:t>
      </w:r>
      <w:r>
        <w:rPr>
          <w:rFonts w:ascii="Calibri" w:hAnsi="Calibri"/>
          <w:b/>
          <w:i w:val="0"/>
          <w:sz w:val="22"/>
        </w:rPr>
        <w:t>trois priorités séquencées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Court terme</w:t>
      </w:r>
      <w:r>
        <w:rPr>
          <w:rFonts w:ascii="Calibri" w:hAnsi="Calibri"/>
          <w:b w:val="0"/>
          <w:i w:val="0"/>
          <w:sz w:val="22"/>
        </w:rPr>
        <w:t xml:space="preserve"> : ouvrir le SaaS et signer les premiers contrats Enterprise par le haut du marché (services pro) — ces contrats financent la phase suivante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Moyen terme</w:t>
      </w:r>
      <w:r>
        <w:rPr>
          <w:rFonts w:ascii="Calibri" w:hAnsi="Calibri"/>
          <w:b w:val="0"/>
          <w:i w:val="0"/>
          <w:sz w:val="22"/>
        </w:rPr>
        <w:t xml:space="preserve"> : construire la machine de croissance self-service (SEO, contenu, Product Hunt) et les effets de réseau (marketplace, partenaires)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Long terme</w:t>
      </w:r>
      <w:r>
        <w:rPr>
          <w:rFonts w:ascii="Calibri" w:hAnsi="Calibri"/>
          <w:b w:val="0"/>
          <w:i w:val="0"/>
          <w:sz w:val="22"/>
        </w:rPr>
        <w:t xml:space="preserve"> : maximiser la LTV par l'expansion (usage-based, OEM) et réduire le churn par l'excellence produit</w:t>
      </w:r>
    </w:p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12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🎯  Le scénario de base projette un ARR de 1,4 M€ en an 3 avec une équipe de 2–3 personnes — ce qui valorise la société entre 7 et 14 M€. Ce n'est pas un plafond : avec un premier contrat OEM majeur ou une levée de fonds, l'ARR an 3 peut facilement doubler.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hAnsi="Calibri"/>
          <w:b w:val="0"/>
          <w:i/>
          <w:color w:val="707070"/>
          <w:sz w:val="20"/>
        </w:rPr>
        <w:t>— Fin du document —</w:t>
      </w:r>
    </w:p>
    <w:p>
      <w:pPr>
        <w:jc w:val="center"/>
      </w:pPr>
      <w:r>
        <w:rPr>
          <w:rFonts w:ascii="Calibri" w:hAnsi="Calibri"/>
          <w:b w:val="0"/>
          <w:i w:val="0"/>
          <w:color w:val="707070"/>
          <w:sz w:val="18"/>
        </w:rPr>
        <w:t>Document confidentiel · Plateforme Multi-Agent · 2026</w:t>
      </w:r>
    </w:p>
    <w:sectPr w:rsidR="00FC693F" w:rsidRPr="0006063C" w:rsidSect="00034616">
      <w:pgBorders w:offsetFrom="page">
        <w:top w:val="single" w:sz="4" w:space="24" w:color="2E74B5"/>
        <w:left w:val="single" w:sz="4" w:space="24" w:color="2E74B5"/>
        <w:bottom w:val="single" w:sz="4" w:space="24" w:color="2E74B5"/>
        <w:right w:val="single" w:sz="4" w:space="24" w:color="2E74B5"/>
      </w:pgBorders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