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Katleho Maqalika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