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40BC" w14:textId="77777777" w:rsidR="00B80E3E" w:rsidRPr="000E0D33" w:rsidRDefault="00000000">
      <w:pPr>
        <w:pStyle w:val="Heading1"/>
        <w:rPr>
          <w:color w:val="000000" w:themeColor="text1"/>
        </w:rPr>
      </w:pPr>
      <w:r w:rsidRPr="000E0D33">
        <w:rPr>
          <w:color w:val="000000" w:themeColor="text1"/>
        </w:rPr>
        <w:t xml:space="preserve">M6 — Prédiction du </w:t>
      </w:r>
      <w:proofErr w:type="spellStart"/>
      <w:r w:rsidRPr="000E0D33">
        <w:rPr>
          <w:color w:val="000000" w:themeColor="text1"/>
        </w:rPr>
        <w:t>churn</w:t>
      </w:r>
      <w:proofErr w:type="spellEnd"/>
      <w:r w:rsidRPr="000E0D33">
        <w:rPr>
          <w:color w:val="000000" w:themeColor="text1"/>
        </w:rPr>
        <w:t xml:space="preserve"> et de la valeur client (CLV)</w:t>
      </w:r>
    </w:p>
    <w:p w14:paraId="3CB82312" w14:textId="786E4687" w:rsidR="00B80E3E" w:rsidRDefault="00000000">
      <w:r>
        <w:rPr>
          <w:i/>
          <w:iCs/>
          <w:sz w:val="22"/>
          <w:szCs w:val="22"/>
        </w:rPr>
        <w:t>Rédigé par Câline — Master 1,</w:t>
      </w:r>
      <w:r w:rsidR="000E0D33">
        <w:rPr>
          <w:i/>
          <w:iCs/>
          <w:sz w:val="22"/>
          <w:szCs w:val="22"/>
        </w:rPr>
        <w:t xml:space="preserve"> OCC, N°4610,</w:t>
      </w:r>
      <w:r>
        <w:rPr>
          <w:i/>
          <w:iCs/>
          <w:sz w:val="22"/>
          <w:szCs w:val="22"/>
        </w:rPr>
        <w:t xml:space="preserve"> Stratégie Marketing Digitale, Groupe 15</w:t>
      </w:r>
    </w:p>
    <w:p w14:paraId="7F263AE8" w14:textId="77777777" w:rsidR="00B80E3E" w:rsidRDefault="00B80E3E"/>
    <w:p w14:paraId="78AEE085" w14:textId="77777777" w:rsidR="00B80E3E" w:rsidRPr="000E0D33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r w:rsidRPr="000E0D33">
        <w:rPr>
          <w:color w:val="000000" w:themeColor="text1"/>
          <w:sz w:val="28"/>
          <w:szCs w:val="28"/>
          <w:u w:val="single"/>
        </w:rPr>
        <w:t>1. Objectif</w:t>
      </w:r>
    </w:p>
    <w:p w14:paraId="67E85376" w14:textId="77777777" w:rsidR="00B80E3E" w:rsidRPr="000E0D33" w:rsidRDefault="00000000">
      <w:pPr>
        <w:rPr>
          <w:sz w:val="24"/>
          <w:szCs w:val="24"/>
        </w:rPr>
      </w:pPr>
      <w:r w:rsidRPr="000E0D33">
        <w:rPr>
          <w:sz w:val="24"/>
          <w:szCs w:val="24"/>
        </w:rPr>
        <w:t>Ce module répond à deux questions : quels clients présentent un risque de départ (</w:t>
      </w:r>
      <w:proofErr w:type="spellStart"/>
      <w:r w:rsidRPr="000E0D33">
        <w:rPr>
          <w:sz w:val="24"/>
          <w:szCs w:val="24"/>
        </w:rPr>
        <w:t>churn</w:t>
      </w:r>
      <w:proofErr w:type="spellEnd"/>
      <w:r w:rsidRPr="000E0D33">
        <w:rPr>
          <w:sz w:val="24"/>
          <w:szCs w:val="24"/>
        </w:rPr>
        <w:t xml:space="preserve">), et quelle est la valeur estimée de chaque client pour l'entreprise (Customer </w:t>
      </w:r>
      <w:proofErr w:type="spellStart"/>
      <w:r w:rsidRPr="000E0D33">
        <w:rPr>
          <w:sz w:val="24"/>
          <w:szCs w:val="24"/>
        </w:rPr>
        <w:t>Lifetime</w:t>
      </w:r>
      <w:proofErr w:type="spellEnd"/>
      <w:r w:rsidRPr="000E0D33">
        <w:rPr>
          <w:sz w:val="24"/>
          <w:szCs w:val="24"/>
        </w:rPr>
        <w:t xml:space="preserve"> Value, CLV). Ces résultats alimentent la définition de la stratégie marketing par segment (M7, Lalatiana) et le </w:t>
      </w:r>
      <w:proofErr w:type="spellStart"/>
      <w:r w:rsidRPr="000E0D33">
        <w:rPr>
          <w:sz w:val="24"/>
          <w:szCs w:val="24"/>
        </w:rPr>
        <w:t>dashboard</w:t>
      </w:r>
      <w:proofErr w:type="spellEnd"/>
      <w:r w:rsidRPr="000E0D33">
        <w:rPr>
          <w:sz w:val="24"/>
          <w:szCs w:val="24"/>
        </w:rPr>
        <w:t xml:space="preserve"> (M8, </w:t>
      </w:r>
      <w:proofErr w:type="spellStart"/>
      <w:r w:rsidRPr="000E0D33">
        <w:rPr>
          <w:sz w:val="24"/>
          <w:szCs w:val="24"/>
        </w:rPr>
        <w:t>Toky</w:t>
      </w:r>
      <w:proofErr w:type="spellEnd"/>
      <w:r w:rsidRPr="000E0D33">
        <w:rPr>
          <w:sz w:val="24"/>
          <w:szCs w:val="24"/>
        </w:rPr>
        <w:t>).</w:t>
      </w:r>
    </w:p>
    <w:p w14:paraId="56D6CD87" w14:textId="77777777" w:rsidR="00B80E3E" w:rsidRDefault="00B80E3E"/>
    <w:p w14:paraId="099790F5" w14:textId="77777777" w:rsidR="00B80E3E" w:rsidRPr="000E0D33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r w:rsidRPr="000E0D33">
        <w:rPr>
          <w:color w:val="000000" w:themeColor="text1"/>
          <w:sz w:val="28"/>
          <w:szCs w:val="28"/>
          <w:u w:val="single"/>
        </w:rPr>
        <w:t>2. Données utilisées</w:t>
      </w:r>
    </w:p>
    <w:p w14:paraId="16A0C379" w14:textId="77777777" w:rsidR="00B80E3E" w:rsidRPr="000E0D33" w:rsidRDefault="00000000">
      <w:pPr>
        <w:rPr>
          <w:sz w:val="24"/>
          <w:szCs w:val="24"/>
        </w:rPr>
      </w:pPr>
      <w:r w:rsidRPr="000E0D33">
        <w:rPr>
          <w:sz w:val="24"/>
          <w:szCs w:val="24"/>
        </w:rPr>
        <w:t>Le fichier clients_agreges.csv (data/</w:t>
      </w:r>
      <w:proofErr w:type="spellStart"/>
      <w:r w:rsidRPr="000E0D33">
        <w:rPr>
          <w:sz w:val="24"/>
          <w:szCs w:val="24"/>
        </w:rPr>
        <w:t>processed</w:t>
      </w:r>
      <w:proofErr w:type="spellEnd"/>
      <w:r w:rsidRPr="000E0D33">
        <w:rPr>
          <w:sz w:val="24"/>
          <w:szCs w:val="24"/>
        </w:rPr>
        <w:t xml:space="preserve">/), préparé par </w:t>
      </w:r>
      <w:proofErr w:type="spellStart"/>
      <w:r w:rsidRPr="000E0D33">
        <w:rPr>
          <w:sz w:val="24"/>
          <w:szCs w:val="24"/>
        </w:rPr>
        <w:t>Toky</w:t>
      </w:r>
      <w:proofErr w:type="spellEnd"/>
      <w:r w:rsidRPr="000E0D33">
        <w:rPr>
          <w:sz w:val="24"/>
          <w:szCs w:val="24"/>
        </w:rPr>
        <w:t xml:space="preserve"> (M2), fournit 805 clients avec les indicateurs RFM déjà calculés (</w:t>
      </w:r>
      <w:proofErr w:type="spellStart"/>
      <w:r w:rsidRPr="000E0D33">
        <w:rPr>
          <w:sz w:val="24"/>
          <w:szCs w:val="24"/>
        </w:rPr>
        <w:t>Nb_Achats</w:t>
      </w:r>
      <w:proofErr w:type="spellEnd"/>
      <w:r w:rsidRPr="000E0D33">
        <w:rPr>
          <w:sz w:val="24"/>
          <w:szCs w:val="24"/>
        </w:rPr>
        <w:t xml:space="preserve">, </w:t>
      </w:r>
      <w:proofErr w:type="spellStart"/>
      <w:r w:rsidRPr="000E0D33">
        <w:rPr>
          <w:sz w:val="24"/>
          <w:szCs w:val="24"/>
        </w:rPr>
        <w:t>Montant_Total</w:t>
      </w:r>
      <w:proofErr w:type="spellEnd"/>
      <w:r w:rsidRPr="000E0D33">
        <w:rPr>
          <w:sz w:val="24"/>
          <w:szCs w:val="24"/>
        </w:rPr>
        <w:t xml:space="preserve">, </w:t>
      </w:r>
      <w:proofErr w:type="spellStart"/>
      <w:r w:rsidRPr="000E0D33">
        <w:rPr>
          <w:sz w:val="24"/>
          <w:szCs w:val="24"/>
        </w:rPr>
        <w:t>Panier_Moyen</w:t>
      </w:r>
      <w:proofErr w:type="spellEnd"/>
      <w:r w:rsidRPr="000E0D33">
        <w:rPr>
          <w:sz w:val="24"/>
          <w:szCs w:val="24"/>
        </w:rPr>
        <w:t xml:space="preserve">, </w:t>
      </w:r>
      <w:proofErr w:type="spellStart"/>
      <w:r w:rsidRPr="000E0D33">
        <w:rPr>
          <w:sz w:val="24"/>
          <w:szCs w:val="24"/>
        </w:rPr>
        <w:t>Recence_Jours</w:t>
      </w:r>
      <w:proofErr w:type="spellEnd"/>
      <w:r w:rsidRPr="000E0D33">
        <w:rPr>
          <w:sz w:val="24"/>
          <w:szCs w:val="24"/>
        </w:rPr>
        <w:t>). Ce jeu de données étend les 5 clients d'origine du professeur à 805 clients, dont 79 n'ayant jamais acheté (voir docs/regles_donnees.md).</w:t>
      </w:r>
    </w:p>
    <w:p w14:paraId="3077C2D6" w14:textId="77777777" w:rsidR="00B80E3E" w:rsidRDefault="00B80E3E"/>
    <w:p w14:paraId="35AF9F54" w14:textId="2D801A52" w:rsidR="000E0D33" w:rsidRPr="000E0D33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r w:rsidRPr="000E0D33">
        <w:rPr>
          <w:color w:val="000000" w:themeColor="text1"/>
          <w:sz w:val="28"/>
          <w:szCs w:val="28"/>
          <w:u w:val="single"/>
        </w:rPr>
        <w:t>3. Méthodologie</w:t>
      </w:r>
    </w:p>
    <w:p w14:paraId="5C279055" w14:textId="77777777" w:rsidR="00B80E3E" w:rsidRPr="000E0D33" w:rsidRDefault="00000000">
      <w:pPr>
        <w:pStyle w:val="Heading3"/>
        <w:rPr>
          <w:color w:val="000000" w:themeColor="text1"/>
          <w:sz w:val="26"/>
          <w:szCs w:val="26"/>
        </w:rPr>
      </w:pPr>
      <w:r w:rsidRPr="000E0D33">
        <w:rPr>
          <w:color w:val="000000" w:themeColor="text1"/>
          <w:sz w:val="26"/>
          <w:szCs w:val="26"/>
        </w:rPr>
        <w:t xml:space="preserve">3.1 Définition du </w:t>
      </w:r>
      <w:proofErr w:type="spellStart"/>
      <w:r w:rsidRPr="000E0D33">
        <w:rPr>
          <w:color w:val="000000" w:themeColor="text1"/>
          <w:sz w:val="26"/>
          <w:szCs w:val="26"/>
        </w:rPr>
        <w:t>churn</w:t>
      </w:r>
      <w:proofErr w:type="spellEnd"/>
    </w:p>
    <w:p w14:paraId="74D8FE64" w14:textId="77777777" w:rsidR="00B80E3E" w:rsidRDefault="00000000">
      <w:pPr>
        <w:rPr>
          <w:sz w:val="24"/>
          <w:szCs w:val="24"/>
        </w:rPr>
      </w:pPr>
      <w:r w:rsidRPr="000E0D33">
        <w:rPr>
          <w:sz w:val="24"/>
          <w:szCs w:val="24"/>
        </w:rPr>
        <w:t xml:space="preserve">Un client est considéré comme </w:t>
      </w:r>
      <w:proofErr w:type="spellStart"/>
      <w:r w:rsidRPr="000E0D33">
        <w:rPr>
          <w:sz w:val="24"/>
          <w:szCs w:val="24"/>
        </w:rPr>
        <w:t>churné</w:t>
      </w:r>
      <w:proofErr w:type="spellEnd"/>
      <w:r w:rsidRPr="000E0D33">
        <w:rPr>
          <w:sz w:val="24"/>
          <w:szCs w:val="24"/>
        </w:rPr>
        <w:t xml:space="preserve"> s'il n'a effectué aucun achat depuis plus de 90 jours par rapport à la date de référence du jeu de données (2024-12-31, dernière vente enregistrée). Pour les 79 clients n'ayant jamais acheté, la récence est approximée par leur ancienneté depuis l'inscription (</w:t>
      </w:r>
      <w:proofErr w:type="spellStart"/>
      <w:r w:rsidRPr="000E0D33">
        <w:rPr>
          <w:sz w:val="24"/>
          <w:szCs w:val="24"/>
        </w:rPr>
        <w:t>Anciennete_Jours</w:t>
      </w:r>
      <w:proofErr w:type="spellEnd"/>
      <w:r w:rsidRPr="000E0D33">
        <w:rPr>
          <w:sz w:val="24"/>
          <w:szCs w:val="24"/>
        </w:rPr>
        <w:t>), en l'absence de date d'achat.</w:t>
      </w:r>
    </w:p>
    <w:p w14:paraId="5FA405A7" w14:textId="77777777" w:rsidR="000E0D33" w:rsidRPr="000E0D33" w:rsidRDefault="000E0D33">
      <w:pPr>
        <w:rPr>
          <w:sz w:val="24"/>
          <w:szCs w:val="24"/>
        </w:rPr>
      </w:pPr>
    </w:p>
    <w:p w14:paraId="43A449A6" w14:textId="77777777" w:rsidR="00B80E3E" w:rsidRPr="000E0D33" w:rsidRDefault="00000000">
      <w:pPr>
        <w:pStyle w:val="Heading3"/>
        <w:rPr>
          <w:color w:val="000000" w:themeColor="text1"/>
          <w:sz w:val="26"/>
          <w:szCs w:val="26"/>
        </w:rPr>
      </w:pPr>
      <w:r w:rsidRPr="000E0D33">
        <w:rPr>
          <w:color w:val="000000" w:themeColor="text1"/>
          <w:sz w:val="26"/>
          <w:szCs w:val="26"/>
        </w:rPr>
        <w:t>3.2 Estimation de la CLV</w:t>
      </w:r>
    </w:p>
    <w:p w14:paraId="10AA40F2" w14:textId="77777777" w:rsidR="00B80E3E" w:rsidRDefault="00000000">
      <w:pPr>
        <w:rPr>
          <w:sz w:val="24"/>
          <w:szCs w:val="24"/>
        </w:rPr>
      </w:pPr>
      <w:r w:rsidRPr="000E0D33">
        <w:rPr>
          <w:sz w:val="24"/>
          <w:szCs w:val="24"/>
        </w:rPr>
        <w:t xml:space="preserve">CLV = </w:t>
      </w:r>
      <w:proofErr w:type="spellStart"/>
      <w:r w:rsidRPr="000E0D33">
        <w:rPr>
          <w:sz w:val="24"/>
          <w:szCs w:val="24"/>
        </w:rPr>
        <w:t>Panier_Moyen</w:t>
      </w:r>
      <w:proofErr w:type="spellEnd"/>
      <w:r w:rsidRPr="000E0D33">
        <w:rPr>
          <w:sz w:val="24"/>
          <w:szCs w:val="24"/>
        </w:rPr>
        <w:t xml:space="preserve"> × fréquence d'achat mensuelle × durée de vie estimée (24 mois). La fréquence mensuelle est calculée sur la période complète couverte par les données (janvier 2023 à décembre 2024, soit environ 24 mois), pour refléter un rythme d'achat réaliste.</w:t>
      </w:r>
    </w:p>
    <w:p w14:paraId="64737EFD" w14:textId="77777777" w:rsidR="000E0D33" w:rsidRPr="000E0D33" w:rsidRDefault="000E0D33">
      <w:pPr>
        <w:rPr>
          <w:sz w:val="24"/>
          <w:szCs w:val="24"/>
        </w:rPr>
      </w:pPr>
    </w:p>
    <w:p w14:paraId="6E8A3D02" w14:textId="77777777" w:rsidR="00B80E3E" w:rsidRPr="000E0D33" w:rsidRDefault="00000000">
      <w:pPr>
        <w:pStyle w:val="Heading3"/>
        <w:rPr>
          <w:color w:val="000000" w:themeColor="text1"/>
          <w:sz w:val="26"/>
          <w:szCs w:val="26"/>
        </w:rPr>
      </w:pPr>
      <w:r w:rsidRPr="000E0D33">
        <w:rPr>
          <w:color w:val="000000" w:themeColor="text1"/>
          <w:sz w:val="26"/>
          <w:szCs w:val="26"/>
        </w:rPr>
        <w:t>3.3 Modèles prédictifs</w:t>
      </w:r>
    </w:p>
    <w:p w14:paraId="48535F4D" w14:textId="77777777" w:rsidR="00B80E3E" w:rsidRPr="000E0D33" w:rsidRDefault="00000000">
      <w:pPr>
        <w:rPr>
          <w:sz w:val="24"/>
          <w:szCs w:val="24"/>
        </w:rPr>
      </w:pPr>
      <w:r w:rsidRPr="000E0D33">
        <w:rPr>
          <w:sz w:val="24"/>
          <w:szCs w:val="24"/>
        </w:rPr>
        <w:t xml:space="preserve">Trois modèles de classification ont été entraînés pour prédire le </w:t>
      </w:r>
      <w:proofErr w:type="spellStart"/>
      <w:r w:rsidRPr="000E0D33">
        <w:rPr>
          <w:sz w:val="24"/>
          <w:szCs w:val="24"/>
        </w:rPr>
        <w:t>churn</w:t>
      </w:r>
      <w:proofErr w:type="spellEnd"/>
      <w:r w:rsidRPr="000E0D33">
        <w:rPr>
          <w:sz w:val="24"/>
          <w:szCs w:val="24"/>
        </w:rPr>
        <w:t xml:space="preserve"> à partir de la Récence, du Nombre d'achats, du Montant total et de l'Âge : régression logistique, Random Forest (200 arbres) et </w:t>
      </w:r>
      <w:proofErr w:type="spellStart"/>
      <w:r w:rsidRPr="000E0D33">
        <w:rPr>
          <w:sz w:val="24"/>
          <w:szCs w:val="24"/>
        </w:rPr>
        <w:t>XGBoost</w:t>
      </w:r>
      <w:proofErr w:type="spellEnd"/>
      <w:r w:rsidRPr="000E0D33">
        <w:rPr>
          <w:sz w:val="24"/>
          <w:szCs w:val="24"/>
        </w:rPr>
        <w:t>, avec une séparation stratifiée 70% entraînement / 30% test.</w:t>
      </w:r>
    </w:p>
    <w:p w14:paraId="417BE444" w14:textId="77777777" w:rsidR="00B80E3E" w:rsidRDefault="00B80E3E"/>
    <w:p w14:paraId="48F0CFA2" w14:textId="77777777" w:rsidR="00B80E3E" w:rsidRPr="000E0D33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r w:rsidRPr="000E0D33">
        <w:rPr>
          <w:color w:val="000000" w:themeColor="text1"/>
          <w:sz w:val="28"/>
          <w:szCs w:val="28"/>
          <w:u w:val="single"/>
        </w:rPr>
        <w:t>4. Résultats</w:t>
      </w:r>
    </w:p>
    <w:p w14:paraId="595A45E7" w14:textId="77777777" w:rsidR="00B80E3E" w:rsidRPr="000E0D33" w:rsidRDefault="00000000">
      <w:pPr>
        <w:pStyle w:val="Heading3"/>
        <w:rPr>
          <w:color w:val="000000" w:themeColor="text1"/>
          <w:sz w:val="26"/>
          <w:szCs w:val="26"/>
        </w:rPr>
      </w:pPr>
      <w:r w:rsidRPr="000E0D33">
        <w:rPr>
          <w:color w:val="000000" w:themeColor="text1"/>
          <w:sz w:val="26"/>
          <w:szCs w:val="26"/>
        </w:rPr>
        <w:t>4.1 Répartition des clients</w:t>
      </w:r>
    </w:p>
    <w:p w14:paraId="773896C4" w14:textId="77777777" w:rsidR="00B80E3E" w:rsidRPr="000E0D33" w:rsidRDefault="00000000">
      <w:pPr>
        <w:rPr>
          <w:sz w:val="24"/>
          <w:szCs w:val="24"/>
        </w:rPr>
      </w:pPr>
      <w:r w:rsidRPr="000E0D33">
        <w:rPr>
          <w:sz w:val="24"/>
          <w:szCs w:val="24"/>
        </w:rPr>
        <w:t xml:space="preserve">Sur 805 clients, 417 sont considérés comme </w:t>
      </w:r>
      <w:proofErr w:type="spellStart"/>
      <w:r w:rsidRPr="000E0D33">
        <w:rPr>
          <w:sz w:val="24"/>
          <w:szCs w:val="24"/>
        </w:rPr>
        <w:t>churnés</w:t>
      </w:r>
      <w:proofErr w:type="spellEnd"/>
      <w:r w:rsidRPr="000E0D33">
        <w:rPr>
          <w:sz w:val="24"/>
          <w:szCs w:val="24"/>
        </w:rPr>
        <w:t xml:space="preserve"> (51,8%) et 388 comme actifs (48,2%).</w:t>
      </w:r>
    </w:p>
    <w:p w14:paraId="50FCD3F7" w14:textId="77777777" w:rsidR="00B80E3E" w:rsidRDefault="00000000">
      <w:r>
        <w:rPr>
          <w:noProof/>
        </w:rPr>
        <w:lastRenderedPageBreak/>
        <w:drawing>
          <wp:inline distT="0" distB="0" distL="0" distR="0" wp14:anchorId="6B78A46A" wp14:editId="77508C60">
            <wp:extent cx="4772025" cy="35449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157" cy="356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80D4" w14:textId="77777777" w:rsidR="00B80E3E" w:rsidRDefault="00B80E3E"/>
    <w:p w14:paraId="0DC6ED2E" w14:textId="77777777" w:rsidR="00B80E3E" w:rsidRPr="000E0D33" w:rsidRDefault="00000000">
      <w:pPr>
        <w:pStyle w:val="Heading3"/>
        <w:rPr>
          <w:color w:val="000000" w:themeColor="text1"/>
          <w:sz w:val="26"/>
          <w:szCs w:val="26"/>
        </w:rPr>
      </w:pPr>
      <w:r w:rsidRPr="000E0D33">
        <w:rPr>
          <w:color w:val="000000" w:themeColor="text1"/>
          <w:sz w:val="26"/>
          <w:szCs w:val="26"/>
        </w:rPr>
        <w:t>4.2 Comparaison des modèles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000"/>
      </w:tblGrid>
      <w:tr w:rsidR="00B80E3E" w14:paraId="6C5F12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5090"/>
          </w:tcPr>
          <w:p w14:paraId="2385BEFA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b/>
                <w:bCs/>
                <w:color w:val="FFFFFF"/>
                <w:sz w:val="24"/>
                <w:szCs w:val="24"/>
              </w:rPr>
              <w:t>Modèle</w:t>
            </w:r>
          </w:p>
        </w:tc>
        <w:tc>
          <w:tcPr>
            <w:tcW w:w="2000" w:type="dxa"/>
            <w:shd w:val="clear" w:color="auto" w:fill="2E5090"/>
          </w:tcPr>
          <w:p w14:paraId="5CFC3850" w14:textId="77777777" w:rsidR="00B80E3E" w:rsidRPr="000E0D33" w:rsidRDefault="00000000">
            <w:pPr>
              <w:rPr>
                <w:sz w:val="24"/>
                <w:szCs w:val="24"/>
              </w:rPr>
            </w:pPr>
            <w:proofErr w:type="spellStart"/>
            <w:r w:rsidRPr="000E0D33">
              <w:rPr>
                <w:b/>
                <w:bCs/>
                <w:color w:val="FFFFFF"/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2000" w:type="dxa"/>
            <w:shd w:val="clear" w:color="auto" w:fill="2E5090"/>
          </w:tcPr>
          <w:p w14:paraId="53093771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b/>
                <w:bCs/>
                <w:color w:val="FFFFFF"/>
                <w:sz w:val="24"/>
                <w:szCs w:val="24"/>
              </w:rPr>
              <w:t>F1-score</w:t>
            </w:r>
          </w:p>
        </w:tc>
        <w:tc>
          <w:tcPr>
            <w:tcW w:w="2000" w:type="dxa"/>
            <w:shd w:val="clear" w:color="auto" w:fill="2E5090"/>
          </w:tcPr>
          <w:p w14:paraId="23A0D6D9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b/>
                <w:bCs/>
                <w:color w:val="FFFFFF"/>
                <w:sz w:val="24"/>
                <w:szCs w:val="24"/>
              </w:rPr>
              <w:t>AUC</w:t>
            </w:r>
          </w:p>
        </w:tc>
      </w:tr>
      <w:tr w:rsidR="00B80E3E" w14:paraId="653DF0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60553B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color w:val="000000"/>
                <w:sz w:val="24"/>
                <w:szCs w:val="24"/>
              </w:rPr>
              <w:t>Régression logistique</w:t>
            </w:r>
          </w:p>
        </w:tc>
        <w:tc>
          <w:tcPr>
            <w:tcW w:w="2000" w:type="dxa"/>
          </w:tcPr>
          <w:p w14:paraId="08B27282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color w:val="000000"/>
                <w:sz w:val="24"/>
                <w:szCs w:val="24"/>
              </w:rPr>
              <w:t>0.955</w:t>
            </w:r>
          </w:p>
        </w:tc>
        <w:tc>
          <w:tcPr>
            <w:tcW w:w="2000" w:type="dxa"/>
          </w:tcPr>
          <w:p w14:paraId="40DF8FF0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color w:val="000000"/>
                <w:sz w:val="24"/>
                <w:szCs w:val="24"/>
              </w:rPr>
              <w:t>0.954</w:t>
            </w:r>
          </w:p>
        </w:tc>
        <w:tc>
          <w:tcPr>
            <w:tcW w:w="2000" w:type="dxa"/>
          </w:tcPr>
          <w:p w14:paraId="5BA1B231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color w:val="000000"/>
                <w:sz w:val="24"/>
                <w:szCs w:val="24"/>
              </w:rPr>
              <w:t>0.956</w:t>
            </w:r>
          </w:p>
        </w:tc>
      </w:tr>
      <w:tr w:rsidR="00B80E3E" w14:paraId="0C3D3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4532F65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color w:val="000000"/>
                <w:sz w:val="24"/>
                <w:szCs w:val="24"/>
              </w:rPr>
              <w:t>Random Forest (retenu)</w:t>
            </w:r>
          </w:p>
        </w:tc>
        <w:tc>
          <w:tcPr>
            <w:tcW w:w="2000" w:type="dxa"/>
          </w:tcPr>
          <w:p w14:paraId="564DF77A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2000" w:type="dxa"/>
          </w:tcPr>
          <w:p w14:paraId="081BEF98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2000" w:type="dxa"/>
          </w:tcPr>
          <w:p w14:paraId="32C35FC1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color w:val="000000"/>
                <w:sz w:val="24"/>
                <w:szCs w:val="24"/>
              </w:rPr>
              <w:t>1.000</w:t>
            </w:r>
          </w:p>
        </w:tc>
      </w:tr>
      <w:tr w:rsidR="00B80E3E" w14:paraId="640923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3A0A749" w14:textId="77777777" w:rsidR="00B80E3E" w:rsidRPr="000E0D33" w:rsidRDefault="00000000">
            <w:pPr>
              <w:rPr>
                <w:sz w:val="24"/>
                <w:szCs w:val="24"/>
              </w:rPr>
            </w:pPr>
            <w:proofErr w:type="spellStart"/>
            <w:r w:rsidRPr="000E0D33">
              <w:rPr>
                <w:color w:val="000000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000" w:type="dxa"/>
          </w:tcPr>
          <w:p w14:paraId="653E50F1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2000" w:type="dxa"/>
          </w:tcPr>
          <w:p w14:paraId="22B41AF3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color w:val="000000"/>
                <w:sz w:val="24"/>
                <w:szCs w:val="24"/>
              </w:rPr>
              <w:t>1.000</w:t>
            </w:r>
          </w:p>
        </w:tc>
        <w:tc>
          <w:tcPr>
            <w:tcW w:w="2000" w:type="dxa"/>
          </w:tcPr>
          <w:p w14:paraId="727A973E" w14:textId="77777777" w:rsidR="00B80E3E" w:rsidRPr="000E0D33" w:rsidRDefault="00000000">
            <w:pPr>
              <w:rPr>
                <w:sz w:val="24"/>
                <w:szCs w:val="24"/>
              </w:rPr>
            </w:pPr>
            <w:r w:rsidRPr="000E0D33">
              <w:rPr>
                <w:color w:val="000000"/>
                <w:sz w:val="24"/>
                <w:szCs w:val="24"/>
              </w:rPr>
              <w:t>1.000</w:t>
            </w:r>
          </w:p>
        </w:tc>
      </w:tr>
    </w:tbl>
    <w:p w14:paraId="4DB145A0" w14:textId="77777777" w:rsidR="00B80E3E" w:rsidRDefault="00B80E3E"/>
    <w:p w14:paraId="24C8E664" w14:textId="77777777" w:rsidR="00B80E3E" w:rsidRDefault="00000000">
      <w:r>
        <w:rPr>
          <w:noProof/>
        </w:rPr>
        <w:drawing>
          <wp:inline distT="0" distB="0" distL="0" distR="0" wp14:anchorId="0B80A725" wp14:editId="600B2792">
            <wp:extent cx="4819650" cy="3424488"/>
            <wp:effectExtent l="0" t="0" r="0" b="5080"/>
            <wp:docPr id="981523966" name="Picture 981523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674" cy="343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46F2" w14:textId="77777777" w:rsidR="00B80E3E" w:rsidRPr="000E0D33" w:rsidRDefault="00000000">
      <w:pPr>
        <w:rPr>
          <w:sz w:val="24"/>
          <w:szCs w:val="24"/>
        </w:rPr>
      </w:pPr>
      <w:r w:rsidRPr="000E0D33">
        <w:rPr>
          <w:sz w:val="24"/>
          <w:szCs w:val="24"/>
        </w:rPr>
        <w:t>L'importance des variables confirme que la Récence domine la décision du modèle (84%), suivie du nombre d'achats (9%) et du montant total (6%). L'âge n'a quasiment aucun poids.</w:t>
      </w:r>
    </w:p>
    <w:p w14:paraId="5F1D89BA" w14:textId="77777777" w:rsidR="00B80E3E" w:rsidRDefault="00B80E3E"/>
    <w:p w14:paraId="0B39A048" w14:textId="77777777" w:rsidR="00B80E3E" w:rsidRPr="000E0D33" w:rsidRDefault="00000000">
      <w:pPr>
        <w:pStyle w:val="Heading3"/>
        <w:rPr>
          <w:color w:val="000000" w:themeColor="text1"/>
          <w:sz w:val="26"/>
          <w:szCs w:val="26"/>
        </w:rPr>
      </w:pPr>
      <w:r w:rsidRPr="000E0D33">
        <w:rPr>
          <w:color w:val="000000" w:themeColor="text1"/>
          <w:sz w:val="26"/>
          <w:szCs w:val="26"/>
        </w:rPr>
        <w:lastRenderedPageBreak/>
        <w:t>4.3 Valeur client par statut</w:t>
      </w:r>
    </w:p>
    <w:p w14:paraId="3CC6995D" w14:textId="77777777" w:rsidR="00B80E3E" w:rsidRDefault="00000000">
      <w:r>
        <w:rPr>
          <w:noProof/>
        </w:rPr>
        <w:drawing>
          <wp:inline distT="0" distB="0" distL="0" distR="0" wp14:anchorId="403EE5F8" wp14:editId="47E5B27A">
            <wp:extent cx="4923693" cy="3657600"/>
            <wp:effectExtent l="0" t="0" r="0" b="0"/>
            <wp:docPr id="1527292502" name="Picture 1527292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431" cy="366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48E6" w14:textId="77777777" w:rsidR="00B80E3E" w:rsidRPr="000E0D33" w:rsidRDefault="00000000">
      <w:pPr>
        <w:rPr>
          <w:sz w:val="24"/>
          <w:szCs w:val="24"/>
        </w:rPr>
      </w:pPr>
      <w:r w:rsidRPr="000E0D33">
        <w:rPr>
          <w:sz w:val="24"/>
          <w:szCs w:val="24"/>
        </w:rPr>
        <w:t xml:space="preserve">La CLV moyenne des clients actifs (903,65) est près de trois fois supérieure à celle des clients </w:t>
      </w:r>
      <w:proofErr w:type="spellStart"/>
      <w:r w:rsidRPr="000E0D33">
        <w:rPr>
          <w:sz w:val="24"/>
          <w:szCs w:val="24"/>
        </w:rPr>
        <w:t>churnés</w:t>
      </w:r>
      <w:proofErr w:type="spellEnd"/>
      <w:r w:rsidRPr="000E0D33">
        <w:rPr>
          <w:sz w:val="24"/>
          <w:szCs w:val="24"/>
        </w:rPr>
        <w:t xml:space="preserve"> (320,78). Ce résultat renforce la priorité identifiée pour la stratégie (M7) : concentrer les actions de fidélisation sur les clients à forte valeur montrant des signes de désengagement, plutôt que sur l'ensemble de la base.</w:t>
      </w:r>
    </w:p>
    <w:p w14:paraId="6857574D" w14:textId="77777777" w:rsidR="00B80E3E" w:rsidRDefault="00B80E3E"/>
    <w:p w14:paraId="79BD0434" w14:textId="77777777" w:rsidR="00B80E3E" w:rsidRPr="000E0D33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r w:rsidRPr="000E0D33">
        <w:rPr>
          <w:color w:val="000000" w:themeColor="text1"/>
          <w:sz w:val="28"/>
          <w:szCs w:val="28"/>
          <w:u w:val="single"/>
        </w:rPr>
        <w:t>5. Limites et points de vigilance</w:t>
      </w:r>
    </w:p>
    <w:p w14:paraId="635739EC" w14:textId="77777777" w:rsidR="00B80E3E" w:rsidRPr="000E0D33" w:rsidRDefault="00000000">
      <w:pPr>
        <w:rPr>
          <w:sz w:val="24"/>
          <w:szCs w:val="24"/>
        </w:rPr>
      </w:pPr>
      <w:r w:rsidRPr="000E0D33">
        <w:rPr>
          <w:sz w:val="24"/>
          <w:szCs w:val="24"/>
        </w:rPr>
        <w:t xml:space="preserve">Circularité de l'évaluation : la Récence définit à la fois la règle de </w:t>
      </w:r>
      <w:proofErr w:type="spellStart"/>
      <w:r w:rsidRPr="000E0D33">
        <w:rPr>
          <w:sz w:val="24"/>
          <w:szCs w:val="24"/>
        </w:rPr>
        <w:t>churn</w:t>
      </w:r>
      <w:proofErr w:type="spellEnd"/>
      <w:r w:rsidRPr="000E0D33">
        <w:rPr>
          <w:sz w:val="24"/>
          <w:szCs w:val="24"/>
        </w:rPr>
        <w:t xml:space="preserve"> et sert de variable prédictive principale. Les scores proches de 100% (Random Forest, </w:t>
      </w:r>
      <w:proofErr w:type="spellStart"/>
      <w:r w:rsidRPr="000E0D33">
        <w:rPr>
          <w:sz w:val="24"/>
          <w:szCs w:val="24"/>
        </w:rPr>
        <w:t>XGBoost</w:t>
      </w:r>
      <w:proofErr w:type="spellEnd"/>
      <w:r w:rsidRPr="000E0D33">
        <w:rPr>
          <w:sz w:val="24"/>
          <w:szCs w:val="24"/>
        </w:rPr>
        <w:t xml:space="preserve">) traduisent la cohérence interne de la règle plutôt qu'une capacité de prédiction sur des clients dont l'issue est réellement incertaine. En conditions réelles, un modèle de </w:t>
      </w:r>
      <w:proofErr w:type="spellStart"/>
      <w:r w:rsidRPr="000E0D33">
        <w:rPr>
          <w:sz w:val="24"/>
          <w:szCs w:val="24"/>
        </w:rPr>
        <w:t>churn</w:t>
      </w:r>
      <w:proofErr w:type="spellEnd"/>
      <w:r w:rsidRPr="000E0D33">
        <w:rPr>
          <w:sz w:val="24"/>
          <w:szCs w:val="24"/>
        </w:rPr>
        <w:t xml:space="preserve"> viserait à anticiper le départ avant qu'il ne soit déjà consommé par 90 jours d'inactivité, à partir de signaux plus précoces (baisse de fréquence, panier en diminution, etc.).</w:t>
      </w:r>
    </w:p>
    <w:p w14:paraId="2455F677" w14:textId="77777777" w:rsidR="00B80E3E" w:rsidRPr="000E0D33" w:rsidRDefault="00000000">
      <w:pPr>
        <w:rPr>
          <w:sz w:val="24"/>
          <w:szCs w:val="24"/>
        </w:rPr>
      </w:pPr>
      <w:r w:rsidRPr="000E0D33">
        <w:rPr>
          <w:sz w:val="24"/>
          <w:szCs w:val="24"/>
        </w:rPr>
        <w:t>Données synthétiques : conformément à docs/regles_donnees.md, le jeu de 805 clients est généré selon des profils de comportement simulés. Les conclusions sont valables sous ces hypothèses de génération, et démontrent la méthode plutôt qu'un comportement client réel.</w:t>
      </w:r>
    </w:p>
    <w:p w14:paraId="10DD0402" w14:textId="77777777" w:rsidR="00B80E3E" w:rsidRDefault="00B80E3E"/>
    <w:p w14:paraId="09EF6CDD" w14:textId="77777777" w:rsidR="00B80E3E" w:rsidRPr="000E0D33" w:rsidRDefault="00000000">
      <w:pPr>
        <w:pStyle w:val="Heading2"/>
        <w:rPr>
          <w:color w:val="000000" w:themeColor="text1"/>
          <w:sz w:val="28"/>
          <w:szCs w:val="28"/>
          <w:u w:val="single"/>
        </w:rPr>
      </w:pPr>
      <w:r w:rsidRPr="000E0D33">
        <w:rPr>
          <w:color w:val="000000" w:themeColor="text1"/>
          <w:sz w:val="28"/>
          <w:szCs w:val="28"/>
          <w:u w:val="single"/>
        </w:rPr>
        <w:t>6. Livrable</w:t>
      </w:r>
    </w:p>
    <w:p w14:paraId="41300D3D" w14:textId="77777777" w:rsidR="00B80E3E" w:rsidRPr="000E0D33" w:rsidRDefault="00000000">
      <w:pPr>
        <w:rPr>
          <w:sz w:val="24"/>
          <w:szCs w:val="24"/>
        </w:rPr>
      </w:pPr>
      <w:r w:rsidRPr="000E0D33">
        <w:rPr>
          <w:sz w:val="24"/>
          <w:szCs w:val="24"/>
        </w:rPr>
        <w:t>Fichier data/</w:t>
      </w:r>
      <w:proofErr w:type="spellStart"/>
      <w:r w:rsidRPr="000E0D33">
        <w:rPr>
          <w:sz w:val="24"/>
          <w:szCs w:val="24"/>
        </w:rPr>
        <w:t>results</w:t>
      </w:r>
      <w:proofErr w:type="spellEnd"/>
      <w:r w:rsidRPr="000E0D33">
        <w:rPr>
          <w:sz w:val="24"/>
          <w:szCs w:val="24"/>
        </w:rPr>
        <w:t>/predictions_churn.csv (</w:t>
      </w:r>
      <w:proofErr w:type="spellStart"/>
      <w:r w:rsidRPr="000E0D33">
        <w:rPr>
          <w:sz w:val="24"/>
          <w:szCs w:val="24"/>
        </w:rPr>
        <w:t>Customer_ID</w:t>
      </w:r>
      <w:proofErr w:type="spellEnd"/>
      <w:r w:rsidRPr="000E0D33">
        <w:rPr>
          <w:sz w:val="24"/>
          <w:szCs w:val="24"/>
        </w:rPr>
        <w:t xml:space="preserve">, </w:t>
      </w:r>
      <w:proofErr w:type="spellStart"/>
      <w:r w:rsidRPr="000E0D33">
        <w:rPr>
          <w:sz w:val="24"/>
          <w:szCs w:val="24"/>
        </w:rPr>
        <w:t>Proba_Churn</w:t>
      </w:r>
      <w:proofErr w:type="spellEnd"/>
      <w:r w:rsidRPr="000E0D33">
        <w:rPr>
          <w:sz w:val="24"/>
          <w:szCs w:val="24"/>
        </w:rPr>
        <w:t xml:space="preserve">, </w:t>
      </w:r>
      <w:proofErr w:type="spellStart"/>
      <w:r w:rsidRPr="000E0D33">
        <w:rPr>
          <w:sz w:val="24"/>
          <w:szCs w:val="24"/>
        </w:rPr>
        <w:t>Churn_Predicted</w:t>
      </w:r>
      <w:proofErr w:type="spellEnd"/>
      <w:r w:rsidRPr="000E0D33">
        <w:rPr>
          <w:sz w:val="24"/>
          <w:szCs w:val="24"/>
        </w:rPr>
        <w:t xml:space="preserve">, </w:t>
      </w:r>
      <w:proofErr w:type="spellStart"/>
      <w:r w:rsidRPr="000E0D33">
        <w:rPr>
          <w:sz w:val="24"/>
          <w:szCs w:val="24"/>
        </w:rPr>
        <w:t>CLV_estimee</w:t>
      </w:r>
      <w:proofErr w:type="spellEnd"/>
      <w:r w:rsidRPr="000E0D33">
        <w:rPr>
          <w:sz w:val="24"/>
          <w:szCs w:val="24"/>
        </w:rPr>
        <w:t xml:space="preserve">) transmis à </w:t>
      </w:r>
      <w:proofErr w:type="spellStart"/>
      <w:r w:rsidRPr="000E0D33">
        <w:rPr>
          <w:sz w:val="24"/>
          <w:szCs w:val="24"/>
        </w:rPr>
        <w:t>Toky</w:t>
      </w:r>
      <w:proofErr w:type="spellEnd"/>
      <w:r w:rsidRPr="000E0D33">
        <w:rPr>
          <w:sz w:val="24"/>
          <w:szCs w:val="24"/>
        </w:rPr>
        <w:t xml:space="preserve"> pour le </w:t>
      </w:r>
      <w:proofErr w:type="spellStart"/>
      <w:r w:rsidRPr="000E0D33">
        <w:rPr>
          <w:sz w:val="24"/>
          <w:szCs w:val="24"/>
        </w:rPr>
        <w:t>dashboard</w:t>
      </w:r>
      <w:proofErr w:type="spellEnd"/>
      <w:r w:rsidRPr="000E0D33">
        <w:rPr>
          <w:sz w:val="24"/>
          <w:szCs w:val="24"/>
        </w:rPr>
        <w:t xml:space="preserve"> (M8). Conclusions transmises à Lalatiana pour la stratégie (M7) : prioriser la fidélisation des clients à forte CLV présentant une récence en hausse.</w:t>
      </w:r>
    </w:p>
    <w:sectPr w:rsidR="00B80E3E" w:rsidRPr="000E0D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032"/>
    <w:multiLevelType w:val="hybridMultilevel"/>
    <w:tmpl w:val="83EA4384"/>
    <w:lvl w:ilvl="0" w:tplc="813413BA">
      <w:start w:val="1"/>
      <w:numFmt w:val="bullet"/>
      <w:lvlText w:val="●"/>
      <w:lvlJc w:val="left"/>
      <w:pPr>
        <w:ind w:left="720" w:hanging="360"/>
      </w:pPr>
    </w:lvl>
    <w:lvl w:ilvl="1" w:tplc="43FA4620">
      <w:start w:val="1"/>
      <w:numFmt w:val="bullet"/>
      <w:lvlText w:val="○"/>
      <w:lvlJc w:val="left"/>
      <w:pPr>
        <w:ind w:left="1440" w:hanging="360"/>
      </w:pPr>
    </w:lvl>
    <w:lvl w:ilvl="2" w:tplc="B01CAB22">
      <w:start w:val="1"/>
      <w:numFmt w:val="bullet"/>
      <w:lvlText w:val="■"/>
      <w:lvlJc w:val="left"/>
      <w:pPr>
        <w:ind w:left="2160" w:hanging="360"/>
      </w:pPr>
    </w:lvl>
    <w:lvl w:ilvl="3" w:tplc="DC6A4E48">
      <w:start w:val="1"/>
      <w:numFmt w:val="bullet"/>
      <w:lvlText w:val="●"/>
      <w:lvlJc w:val="left"/>
      <w:pPr>
        <w:ind w:left="2880" w:hanging="360"/>
      </w:pPr>
    </w:lvl>
    <w:lvl w:ilvl="4" w:tplc="A46EA38E">
      <w:start w:val="1"/>
      <w:numFmt w:val="bullet"/>
      <w:lvlText w:val="○"/>
      <w:lvlJc w:val="left"/>
      <w:pPr>
        <w:ind w:left="3600" w:hanging="360"/>
      </w:pPr>
    </w:lvl>
    <w:lvl w:ilvl="5" w:tplc="10CA594A">
      <w:start w:val="1"/>
      <w:numFmt w:val="bullet"/>
      <w:lvlText w:val="■"/>
      <w:lvlJc w:val="left"/>
      <w:pPr>
        <w:ind w:left="4320" w:hanging="360"/>
      </w:pPr>
    </w:lvl>
    <w:lvl w:ilvl="6" w:tplc="05366572">
      <w:start w:val="1"/>
      <w:numFmt w:val="bullet"/>
      <w:lvlText w:val="●"/>
      <w:lvlJc w:val="left"/>
      <w:pPr>
        <w:ind w:left="5040" w:hanging="360"/>
      </w:pPr>
    </w:lvl>
    <w:lvl w:ilvl="7" w:tplc="2EC83EA0">
      <w:start w:val="1"/>
      <w:numFmt w:val="bullet"/>
      <w:lvlText w:val="●"/>
      <w:lvlJc w:val="left"/>
      <w:pPr>
        <w:ind w:left="5760" w:hanging="360"/>
      </w:pPr>
    </w:lvl>
    <w:lvl w:ilvl="8" w:tplc="F984E434">
      <w:start w:val="1"/>
      <w:numFmt w:val="bullet"/>
      <w:lvlText w:val="●"/>
      <w:lvlJc w:val="left"/>
      <w:pPr>
        <w:ind w:left="6480" w:hanging="360"/>
      </w:pPr>
    </w:lvl>
  </w:abstractNum>
  <w:num w:numId="1" w16cid:durableId="20040473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E3E"/>
    <w:rsid w:val="000510EC"/>
    <w:rsid w:val="000E0D33"/>
    <w:rsid w:val="00B8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518A0"/>
  <w15:docId w15:val="{3DD27A7E-7B4A-4FAC-8BC6-AA971902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G" w:eastAsia="fr-M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undefined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Câline Fetison</cp:lastModifiedBy>
  <cp:revision>1</cp:revision>
  <dcterms:created xsi:type="dcterms:W3CDTF">2026-09-11T09:57:00Z</dcterms:created>
  <dcterms:modified xsi:type="dcterms:W3CDTF">2026-09-11T10:19:00Z</dcterms:modified>
</cp:coreProperties>
</file>