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7CED" w14:textId="77777777" w:rsidR="00FE48E1" w:rsidRPr="00597805" w:rsidRDefault="00000000">
      <w:pPr>
        <w:pStyle w:val="Heading1"/>
        <w:rPr>
          <w:color w:val="auto"/>
          <w:sz w:val="36"/>
          <w:szCs w:val="36"/>
        </w:rPr>
      </w:pPr>
      <w:r w:rsidRPr="00597805">
        <w:rPr>
          <w:color w:val="auto"/>
          <w:sz w:val="36"/>
          <w:szCs w:val="36"/>
        </w:rPr>
        <w:t xml:space="preserve">M6 — Prédiction du </w:t>
      </w:r>
      <w:proofErr w:type="spellStart"/>
      <w:r w:rsidRPr="00597805">
        <w:rPr>
          <w:color w:val="auto"/>
          <w:sz w:val="36"/>
          <w:szCs w:val="36"/>
        </w:rPr>
        <w:t>churn</w:t>
      </w:r>
      <w:proofErr w:type="spellEnd"/>
      <w:r w:rsidRPr="00597805">
        <w:rPr>
          <w:color w:val="auto"/>
          <w:sz w:val="36"/>
          <w:szCs w:val="36"/>
        </w:rPr>
        <w:t xml:space="preserve"> et de la valeur client (CLV)</w:t>
      </w:r>
    </w:p>
    <w:p w14:paraId="063347C6" w14:textId="2F6C7652" w:rsidR="00FE48E1" w:rsidRPr="00597805" w:rsidRDefault="00000000">
      <w:r w:rsidRPr="00597805">
        <w:rPr>
          <w:i/>
          <w:iCs/>
          <w:sz w:val="22"/>
          <w:szCs w:val="22"/>
        </w:rPr>
        <w:t>Rédigé par Câline — Master 1,</w:t>
      </w:r>
      <w:r w:rsidR="00597805" w:rsidRPr="00597805">
        <w:rPr>
          <w:i/>
          <w:iCs/>
          <w:sz w:val="22"/>
          <w:szCs w:val="22"/>
        </w:rPr>
        <w:t xml:space="preserve"> OCC, N°4610, ENI,</w:t>
      </w:r>
      <w:r w:rsidRPr="00597805">
        <w:rPr>
          <w:i/>
          <w:iCs/>
          <w:sz w:val="22"/>
          <w:szCs w:val="22"/>
        </w:rPr>
        <w:t xml:space="preserve"> Stratégie Marketing Digitale, Groupe 15</w:t>
      </w:r>
    </w:p>
    <w:p w14:paraId="785528D4" w14:textId="77777777" w:rsidR="00FE48E1" w:rsidRPr="00597805" w:rsidRDefault="00FE48E1"/>
    <w:p w14:paraId="760C4C2A" w14:textId="77777777" w:rsidR="00FE48E1" w:rsidRPr="00597805" w:rsidRDefault="00000000">
      <w:pPr>
        <w:pStyle w:val="Heading2"/>
        <w:rPr>
          <w:color w:val="auto"/>
          <w:sz w:val="28"/>
          <w:szCs w:val="28"/>
          <w:u w:val="single"/>
        </w:rPr>
      </w:pPr>
      <w:r w:rsidRPr="00597805">
        <w:rPr>
          <w:color w:val="auto"/>
          <w:sz w:val="28"/>
          <w:szCs w:val="28"/>
          <w:u w:val="single"/>
        </w:rPr>
        <w:t>1. Objectif</w:t>
      </w:r>
    </w:p>
    <w:p w14:paraId="50D2F0E6" w14:textId="77777777" w:rsidR="00FE48E1" w:rsidRPr="00597805" w:rsidRDefault="00000000">
      <w:pPr>
        <w:rPr>
          <w:sz w:val="24"/>
          <w:szCs w:val="24"/>
        </w:rPr>
      </w:pPr>
      <w:r w:rsidRPr="00597805">
        <w:rPr>
          <w:sz w:val="24"/>
          <w:szCs w:val="24"/>
        </w:rPr>
        <w:t>Ce module répond à deux questions : quels clients présentent un risque de départ (</w:t>
      </w:r>
      <w:proofErr w:type="spellStart"/>
      <w:r w:rsidRPr="00597805">
        <w:rPr>
          <w:sz w:val="24"/>
          <w:szCs w:val="24"/>
        </w:rPr>
        <w:t>churn</w:t>
      </w:r>
      <w:proofErr w:type="spellEnd"/>
      <w:r w:rsidRPr="00597805">
        <w:rPr>
          <w:sz w:val="24"/>
          <w:szCs w:val="24"/>
        </w:rPr>
        <w:t xml:space="preserve">), et quelle est la valeur estimée de chaque client (CLV). Ces résultats alimentent la stratégie marketing par segment (M7, Lalatiana) et le </w:t>
      </w:r>
      <w:proofErr w:type="spellStart"/>
      <w:r w:rsidRPr="00597805">
        <w:rPr>
          <w:sz w:val="24"/>
          <w:szCs w:val="24"/>
        </w:rPr>
        <w:t>dashboard</w:t>
      </w:r>
      <w:proofErr w:type="spellEnd"/>
      <w:r w:rsidRPr="00597805">
        <w:rPr>
          <w:sz w:val="24"/>
          <w:szCs w:val="24"/>
        </w:rPr>
        <w:t xml:space="preserve"> (M8, </w:t>
      </w:r>
      <w:proofErr w:type="spellStart"/>
      <w:r w:rsidRPr="00597805">
        <w:rPr>
          <w:sz w:val="24"/>
          <w:szCs w:val="24"/>
        </w:rPr>
        <w:t>Toky</w:t>
      </w:r>
      <w:proofErr w:type="spellEnd"/>
      <w:r w:rsidRPr="00597805">
        <w:rPr>
          <w:sz w:val="24"/>
          <w:szCs w:val="24"/>
        </w:rPr>
        <w:t>).</w:t>
      </w:r>
    </w:p>
    <w:p w14:paraId="47709B52" w14:textId="77777777" w:rsidR="00FE48E1" w:rsidRPr="00597805" w:rsidRDefault="00FE48E1"/>
    <w:p w14:paraId="4603649E" w14:textId="77777777" w:rsidR="00FE48E1" w:rsidRPr="00597805" w:rsidRDefault="00000000">
      <w:pPr>
        <w:pStyle w:val="Heading2"/>
        <w:rPr>
          <w:color w:val="auto"/>
          <w:sz w:val="28"/>
          <w:szCs w:val="28"/>
          <w:u w:val="single"/>
        </w:rPr>
      </w:pPr>
      <w:r w:rsidRPr="00597805">
        <w:rPr>
          <w:color w:val="auto"/>
          <w:sz w:val="28"/>
          <w:szCs w:val="28"/>
          <w:u w:val="single"/>
        </w:rPr>
        <w:t>2. Données utilisées</w:t>
      </w:r>
    </w:p>
    <w:p w14:paraId="0B37D459" w14:textId="77777777" w:rsidR="00FE48E1" w:rsidRPr="00597805" w:rsidRDefault="00000000">
      <w:pPr>
        <w:rPr>
          <w:sz w:val="24"/>
          <w:szCs w:val="24"/>
        </w:rPr>
      </w:pPr>
      <w:r w:rsidRPr="00597805">
        <w:rPr>
          <w:sz w:val="24"/>
          <w:szCs w:val="24"/>
        </w:rPr>
        <w:t>Le fichier ventes_fusionnees.csv (data/</w:t>
      </w:r>
      <w:proofErr w:type="spellStart"/>
      <w:r w:rsidRPr="00597805">
        <w:rPr>
          <w:sz w:val="24"/>
          <w:szCs w:val="24"/>
        </w:rPr>
        <w:t>processed</w:t>
      </w:r>
      <w:proofErr w:type="spellEnd"/>
      <w:r w:rsidRPr="00597805">
        <w:rPr>
          <w:sz w:val="24"/>
          <w:szCs w:val="24"/>
        </w:rPr>
        <w:t>/) fournit 5337 ventes réalisées entre le 2023-01-01 et le 2024-12-31, avec les informations du client et du produit pour chaque vente. Contrairement à clients_agreges.csv (agrégé sur toute la période), ce fichier permet de recalculer les indicateurs à n'importe quelle date de référence — nécessaire pour la méthode retenue (section 3.1).</w:t>
      </w:r>
    </w:p>
    <w:p w14:paraId="77DA10BA" w14:textId="77777777" w:rsidR="00FE48E1" w:rsidRPr="00597805" w:rsidRDefault="00FE48E1"/>
    <w:p w14:paraId="03C0AAD5" w14:textId="77777777" w:rsidR="00FE48E1" w:rsidRPr="00597805" w:rsidRDefault="00000000">
      <w:pPr>
        <w:pStyle w:val="Heading2"/>
        <w:rPr>
          <w:color w:val="auto"/>
          <w:sz w:val="28"/>
          <w:szCs w:val="28"/>
          <w:u w:val="single"/>
        </w:rPr>
      </w:pPr>
      <w:r w:rsidRPr="00597805">
        <w:rPr>
          <w:color w:val="auto"/>
          <w:sz w:val="28"/>
          <w:szCs w:val="28"/>
          <w:u w:val="single"/>
        </w:rPr>
        <w:t>3. Méthodologie</w:t>
      </w:r>
    </w:p>
    <w:p w14:paraId="11665937" w14:textId="77777777" w:rsidR="00FE48E1" w:rsidRPr="00597805" w:rsidRDefault="00000000">
      <w:pPr>
        <w:pStyle w:val="Heading3"/>
        <w:rPr>
          <w:color w:val="auto"/>
          <w:sz w:val="26"/>
          <w:szCs w:val="26"/>
        </w:rPr>
      </w:pPr>
      <w:r w:rsidRPr="00597805">
        <w:rPr>
          <w:color w:val="auto"/>
          <w:sz w:val="26"/>
          <w:szCs w:val="26"/>
        </w:rPr>
        <w:t xml:space="preserve">3.1 Éviter la fuite de données (data </w:t>
      </w:r>
      <w:proofErr w:type="spellStart"/>
      <w:r w:rsidRPr="00597805">
        <w:rPr>
          <w:color w:val="auto"/>
          <w:sz w:val="26"/>
          <w:szCs w:val="26"/>
        </w:rPr>
        <w:t>leakage</w:t>
      </w:r>
      <w:proofErr w:type="spellEnd"/>
      <w:r w:rsidRPr="00597805">
        <w:rPr>
          <w:color w:val="auto"/>
          <w:sz w:val="26"/>
          <w:szCs w:val="26"/>
        </w:rPr>
        <w:t>)</w:t>
      </w:r>
    </w:p>
    <w:p w14:paraId="1E79506D" w14:textId="77777777" w:rsidR="00FE48E1" w:rsidRPr="00597805" w:rsidRDefault="00000000">
      <w:r w:rsidRPr="00597805">
        <w:rPr>
          <w:sz w:val="24"/>
          <w:szCs w:val="24"/>
        </w:rPr>
        <w:t xml:space="preserve">Une première version de ce travail définissait le </w:t>
      </w:r>
      <w:proofErr w:type="spellStart"/>
      <w:r w:rsidRPr="00597805">
        <w:rPr>
          <w:sz w:val="24"/>
          <w:szCs w:val="24"/>
        </w:rPr>
        <w:t>churn</w:t>
      </w:r>
      <w:proofErr w:type="spellEnd"/>
      <w:r w:rsidRPr="00597805">
        <w:rPr>
          <w:sz w:val="24"/>
          <w:szCs w:val="24"/>
        </w:rPr>
        <w:t xml:space="preserve"> comme « aucun achat depuis plus de 90 jours » et utilisait la Récence comme variable prédictive. Cette approche crée une fuite de données (data </w:t>
      </w:r>
      <w:proofErr w:type="spellStart"/>
      <w:r w:rsidRPr="00597805">
        <w:rPr>
          <w:sz w:val="24"/>
          <w:szCs w:val="24"/>
        </w:rPr>
        <w:t>leakage</w:t>
      </w:r>
      <w:proofErr w:type="spellEnd"/>
      <w:r w:rsidRPr="00597805">
        <w:rPr>
          <w:sz w:val="24"/>
          <w:szCs w:val="24"/>
        </w:rPr>
        <w:t xml:space="preserve">) : la Récence détermine directement l'étiquette de </w:t>
      </w:r>
      <w:proofErr w:type="spellStart"/>
      <w:r w:rsidRPr="00597805">
        <w:rPr>
          <w:sz w:val="24"/>
          <w:szCs w:val="24"/>
        </w:rPr>
        <w:t>churn</w:t>
      </w:r>
      <w:proofErr w:type="spellEnd"/>
      <w:r w:rsidRPr="00597805">
        <w:rPr>
          <w:sz w:val="24"/>
          <w:szCs w:val="24"/>
        </w:rPr>
        <w:t>, si bien que le modèle atteint 100% de précision en se contentant de retrouver la règle, sans capacité de généralisation réelle. Ce problème a été identifié et corrigé avant la livraison finale</w:t>
      </w:r>
      <w:r w:rsidRPr="00597805">
        <w:t>.</w:t>
      </w:r>
    </w:p>
    <w:p w14:paraId="2F0F16FA" w14:textId="77777777" w:rsidR="00FE48E1" w:rsidRPr="00597805" w:rsidRDefault="00FE48E1"/>
    <w:p w14:paraId="70F14331" w14:textId="77777777" w:rsidR="00FE48E1" w:rsidRPr="00597805" w:rsidRDefault="00000000">
      <w:pPr>
        <w:pStyle w:val="Heading3"/>
        <w:rPr>
          <w:color w:val="auto"/>
          <w:sz w:val="26"/>
          <w:szCs w:val="26"/>
        </w:rPr>
      </w:pPr>
      <w:r w:rsidRPr="00597805">
        <w:rPr>
          <w:color w:val="auto"/>
          <w:sz w:val="26"/>
          <w:szCs w:val="26"/>
        </w:rPr>
        <w:t>3.2 Méthode retenue : validation temporelle</w:t>
      </w:r>
    </w:p>
    <w:p w14:paraId="72ABAEDA" w14:textId="77777777" w:rsidR="00FE48E1" w:rsidRPr="00597805" w:rsidRDefault="00000000">
      <w:pPr>
        <w:rPr>
          <w:sz w:val="24"/>
          <w:szCs w:val="24"/>
        </w:rPr>
      </w:pPr>
      <w:r w:rsidRPr="00597805">
        <w:rPr>
          <w:sz w:val="24"/>
          <w:szCs w:val="24"/>
        </w:rPr>
        <w:t>L'historique des ventes est coupé au 30 septembre 2024 :</w:t>
      </w:r>
    </w:p>
    <w:p w14:paraId="3F5FCB5E" w14:textId="77777777" w:rsidR="00FE48E1" w:rsidRPr="00597805" w:rsidRDefault="00000000">
      <w:pPr>
        <w:pStyle w:val="ListParagraph"/>
        <w:numPr>
          <w:ilvl w:val="0"/>
          <w:numId w:val="1"/>
        </w:numPr>
        <w:rPr>
          <w:sz w:val="24"/>
          <w:szCs w:val="24"/>
        </w:rPr>
      </w:pPr>
      <w:r w:rsidRPr="00597805">
        <w:rPr>
          <w:sz w:val="24"/>
          <w:szCs w:val="24"/>
        </w:rPr>
        <w:t>Les variables (Récence, Fréquence, Montant, Âge, Part des achats en ligne) sont calculées uniquement à partir des ventes antérieures ou égales au 30 septembre 2024.</w:t>
      </w:r>
    </w:p>
    <w:p w14:paraId="5909BDD2" w14:textId="77777777" w:rsidR="00FE48E1" w:rsidRPr="00597805" w:rsidRDefault="00000000">
      <w:pPr>
        <w:pStyle w:val="ListParagraph"/>
        <w:numPr>
          <w:ilvl w:val="0"/>
          <w:numId w:val="1"/>
        </w:numPr>
        <w:rPr>
          <w:sz w:val="24"/>
          <w:szCs w:val="24"/>
        </w:rPr>
      </w:pPr>
      <w:r w:rsidRPr="00597805">
        <w:rPr>
          <w:sz w:val="24"/>
          <w:szCs w:val="24"/>
        </w:rPr>
        <w:t>La cible Churn = 1 si le client n'effectue aucun achat entre le 1er octobre et le 31 décembre 2024, 0 sinon.</w:t>
      </w:r>
    </w:p>
    <w:p w14:paraId="65C417F9" w14:textId="77777777" w:rsidR="00FE48E1" w:rsidRPr="00597805" w:rsidRDefault="00000000">
      <w:pPr>
        <w:pStyle w:val="ListParagraph"/>
        <w:numPr>
          <w:ilvl w:val="0"/>
          <w:numId w:val="1"/>
        </w:numPr>
        <w:rPr>
          <w:sz w:val="24"/>
          <w:szCs w:val="24"/>
        </w:rPr>
      </w:pPr>
      <w:r w:rsidRPr="00597805">
        <w:rPr>
          <w:sz w:val="24"/>
          <w:szCs w:val="24"/>
        </w:rPr>
        <w:t>Seuls les clients ayant acheté au moins une fois avant la date de coupure sont conservés pour l'entraînement (709 clients). Les 79 clients n'ayant jamais acheté sont exclus, faute d'historique exploitable.</w:t>
      </w:r>
    </w:p>
    <w:p w14:paraId="2ED8A0DF" w14:textId="77777777" w:rsidR="00FE48E1" w:rsidRPr="00597805" w:rsidRDefault="00000000">
      <w:pPr>
        <w:rPr>
          <w:sz w:val="24"/>
          <w:szCs w:val="24"/>
        </w:rPr>
      </w:pPr>
      <w:r w:rsidRPr="00597805">
        <w:rPr>
          <w:sz w:val="24"/>
          <w:szCs w:val="24"/>
        </w:rPr>
        <w:t>Le modèle ne connaît donc jamais la réponse au moment de faire sa prédiction — il doit anticiper un comportement futur à partir de signaux passés, ce qui correspond à un cas d'usage réel.</w:t>
      </w:r>
    </w:p>
    <w:p w14:paraId="47A056B0" w14:textId="77777777" w:rsidR="00FE48E1" w:rsidRPr="00597805" w:rsidRDefault="00FE48E1"/>
    <w:p w14:paraId="6D2A894F" w14:textId="77777777" w:rsidR="00FE48E1" w:rsidRPr="00597805" w:rsidRDefault="00000000">
      <w:pPr>
        <w:pStyle w:val="Heading3"/>
        <w:rPr>
          <w:color w:val="auto"/>
          <w:sz w:val="26"/>
          <w:szCs w:val="26"/>
        </w:rPr>
      </w:pPr>
      <w:r w:rsidRPr="00597805">
        <w:rPr>
          <w:color w:val="auto"/>
          <w:sz w:val="26"/>
          <w:szCs w:val="26"/>
        </w:rPr>
        <w:t>3.3 Estimation de la CLV</w:t>
      </w:r>
    </w:p>
    <w:p w14:paraId="13E280B5" w14:textId="77777777" w:rsidR="00FE48E1" w:rsidRPr="00597805" w:rsidRDefault="00000000">
      <w:pPr>
        <w:rPr>
          <w:sz w:val="24"/>
          <w:szCs w:val="24"/>
        </w:rPr>
      </w:pPr>
      <w:r w:rsidRPr="00597805">
        <w:rPr>
          <w:sz w:val="24"/>
          <w:szCs w:val="24"/>
        </w:rPr>
        <w:t>CLV = Panier moyen × fréquence d'achat mensuelle × durée de vie estimée (24 mois), calculée sur l'historique complet (2023-01-01 à 2024-12-31).</w:t>
      </w:r>
    </w:p>
    <w:p w14:paraId="73704D88" w14:textId="77777777" w:rsidR="00FE48E1" w:rsidRPr="00597805" w:rsidRDefault="00FE48E1"/>
    <w:p w14:paraId="365B59EF" w14:textId="77777777" w:rsidR="00FE48E1" w:rsidRPr="00597805" w:rsidRDefault="00000000">
      <w:pPr>
        <w:pStyle w:val="Heading3"/>
        <w:rPr>
          <w:color w:val="auto"/>
          <w:sz w:val="26"/>
          <w:szCs w:val="26"/>
        </w:rPr>
      </w:pPr>
      <w:r w:rsidRPr="00597805">
        <w:rPr>
          <w:color w:val="auto"/>
          <w:sz w:val="26"/>
          <w:szCs w:val="26"/>
        </w:rPr>
        <w:t>3.4 Modèles entraînés</w:t>
      </w:r>
    </w:p>
    <w:p w14:paraId="699605A8" w14:textId="77777777" w:rsidR="00FE48E1" w:rsidRPr="00597805" w:rsidRDefault="00000000">
      <w:pPr>
        <w:rPr>
          <w:sz w:val="24"/>
          <w:szCs w:val="24"/>
        </w:rPr>
      </w:pPr>
      <w:r w:rsidRPr="00597805">
        <w:rPr>
          <w:sz w:val="24"/>
          <w:szCs w:val="24"/>
        </w:rPr>
        <w:t xml:space="preserve">Régression logistique, Random Forest (200 arbres, profondeur max. 6) et </w:t>
      </w:r>
      <w:proofErr w:type="spellStart"/>
      <w:r w:rsidRPr="00597805">
        <w:rPr>
          <w:sz w:val="24"/>
          <w:szCs w:val="24"/>
        </w:rPr>
        <w:t>XGBoost</w:t>
      </w:r>
      <w:proofErr w:type="spellEnd"/>
      <w:r w:rsidRPr="00597805">
        <w:rPr>
          <w:sz w:val="24"/>
          <w:szCs w:val="24"/>
        </w:rPr>
        <w:t xml:space="preserve"> (profondeur max. 4), avec séparation stratifiée 70% entraînement / 30% test sur les 709 clients éligibles.</w:t>
      </w:r>
    </w:p>
    <w:p w14:paraId="3B63E416" w14:textId="77777777" w:rsidR="00FE48E1" w:rsidRPr="00597805" w:rsidRDefault="00FE48E1"/>
    <w:p w14:paraId="0231E29C" w14:textId="77777777" w:rsidR="00FE48E1" w:rsidRPr="00597805" w:rsidRDefault="00000000">
      <w:pPr>
        <w:pStyle w:val="Heading2"/>
        <w:rPr>
          <w:color w:val="auto"/>
          <w:sz w:val="28"/>
          <w:szCs w:val="28"/>
          <w:u w:val="single"/>
        </w:rPr>
      </w:pPr>
      <w:r w:rsidRPr="00597805">
        <w:rPr>
          <w:color w:val="auto"/>
          <w:sz w:val="28"/>
          <w:szCs w:val="28"/>
          <w:u w:val="single"/>
        </w:rPr>
        <w:t>4. Résultats</w:t>
      </w:r>
    </w:p>
    <w:p w14:paraId="4ECF1A24" w14:textId="77777777" w:rsidR="00FE48E1" w:rsidRPr="00597805" w:rsidRDefault="00000000">
      <w:pPr>
        <w:pStyle w:val="Heading3"/>
        <w:rPr>
          <w:color w:val="auto"/>
          <w:sz w:val="26"/>
          <w:szCs w:val="26"/>
        </w:rPr>
      </w:pPr>
      <w:r w:rsidRPr="00597805">
        <w:rPr>
          <w:color w:val="auto"/>
          <w:sz w:val="26"/>
          <w:szCs w:val="26"/>
        </w:rPr>
        <w:t xml:space="preserve">4.1 Répartition du </w:t>
      </w:r>
      <w:proofErr w:type="spellStart"/>
      <w:r w:rsidRPr="00597805">
        <w:rPr>
          <w:color w:val="auto"/>
          <w:sz w:val="26"/>
          <w:szCs w:val="26"/>
        </w:rPr>
        <w:t>churn</w:t>
      </w:r>
      <w:proofErr w:type="spellEnd"/>
      <w:r w:rsidRPr="00597805">
        <w:rPr>
          <w:color w:val="auto"/>
          <w:sz w:val="26"/>
          <w:szCs w:val="26"/>
        </w:rPr>
        <w:t xml:space="preserve"> (fenêtre d'entraînement)</w:t>
      </w:r>
    </w:p>
    <w:p w14:paraId="7A2ABC01" w14:textId="77777777" w:rsidR="00FE48E1" w:rsidRPr="00597805" w:rsidRDefault="00000000">
      <w:pPr>
        <w:rPr>
          <w:sz w:val="24"/>
          <w:szCs w:val="24"/>
        </w:rPr>
      </w:pPr>
      <w:r w:rsidRPr="00597805">
        <w:rPr>
          <w:sz w:val="24"/>
          <w:szCs w:val="24"/>
        </w:rPr>
        <w:t>Sur les 709 clients actifs avant la coupure, 338 (47,7%) n'ont plus acheté sur les 3 mois suivants, contre 371 (52,3%) restés actifs — deux classes équilibrées, sans besoin de rééquilibrage artificiel.</w:t>
      </w:r>
    </w:p>
    <w:p w14:paraId="547B7CE8" w14:textId="77777777" w:rsidR="00FE48E1" w:rsidRPr="00597805" w:rsidRDefault="00FE48E1"/>
    <w:p w14:paraId="2073A494" w14:textId="77777777" w:rsidR="00FE48E1" w:rsidRPr="00597805" w:rsidRDefault="00000000">
      <w:pPr>
        <w:pStyle w:val="Heading3"/>
        <w:rPr>
          <w:color w:val="auto"/>
          <w:sz w:val="26"/>
          <w:szCs w:val="26"/>
        </w:rPr>
      </w:pPr>
      <w:r w:rsidRPr="00597805">
        <w:rPr>
          <w:color w:val="auto"/>
          <w:sz w:val="26"/>
          <w:szCs w:val="26"/>
        </w:rPr>
        <w:t>4.2 Comparaison des modèles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FE48E1" w:rsidRPr="00597805" w14:paraId="6BE1E0A0" w14:textId="77777777">
        <w:tblPrEx>
          <w:tblCellMar>
            <w:top w:w="0" w:type="dxa"/>
            <w:bottom w:w="0" w:type="dxa"/>
          </w:tblCellMar>
        </w:tblPrEx>
        <w:tc>
          <w:tcPr>
            <w:tcW w:w="3000" w:type="dxa"/>
            <w:shd w:val="clear" w:color="auto" w:fill="2E5090"/>
          </w:tcPr>
          <w:p w14:paraId="0F7D8282" w14:textId="77777777" w:rsidR="00FE48E1" w:rsidRPr="00597805" w:rsidRDefault="00000000">
            <w:pPr>
              <w:rPr>
                <w:sz w:val="24"/>
                <w:szCs w:val="24"/>
              </w:rPr>
            </w:pPr>
            <w:r w:rsidRPr="00597805">
              <w:rPr>
                <w:b/>
                <w:bCs/>
                <w:sz w:val="24"/>
                <w:szCs w:val="24"/>
              </w:rPr>
              <w:t>Modèle</w:t>
            </w:r>
          </w:p>
        </w:tc>
        <w:tc>
          <w:tcPr>
            <w:tcW w:w="2000" w:type="dxa"/>
            <w:shd w:val="clear" w:color="auto" w:fill="2E5090"/>
          </w:tcPr>
          <w:p w14:paraId="5D04664E" w14:textId="77777777" w:rsidR="00FE48E1" w:rsidRPr="00597805" w:rsidRDefault="00000000">
            <w:pPr>
              <w:rPr>
                <w:sz w:val="24"/>
                <w:szCs w:val="24"/>
              </w:rPr>
            </w:pPr>
            <w:proofErr w:type="spellStart"/>
            <w:r w:rsidRPr="00597805">
              <w:rPr>
                <w:b/>
                <w:bCs/>
                <w:sz w:val="24"/>
                <w:szCs w:val="24"/>
              </w:rPr>
              <w:t>Accuracy</w:t>
            </w:r>
            <w:proofErr w:type="spellEnd"/>
          </w:p>
        </w:tc>
        <w:tc>
          <w:tcPr>
            <w:tcW w:w="2000" w:type="dxa"/>
            <w:shd w:val="clear" w:color="auto" w:fill="2E5090"/>
          </w:tcPr>
          <w:p w14:paraId="0CD59734" w14:textId="77777777" w:rsidR="00FE48E1" w:rsidRPr="00597805" w:rsidRDefault="00000000">
            <w:pPr>
              <w:rPr>
                <w:sz w:val="24"/>
                <w:szCs w:val="24"/>
              </w:rPr>
            </w:pPr>
            <w:r w:rsidRPr="00597805">
              <w:rPr>
                <w:b/>
                <w:bCs/>
                <w:sz w:val="24"/>
                <w:szCs w:val="24"/>
              </w:rPr>
              <w:t>F1-score</w:t>
            </w:r>
          </w:p>
        </w:tc>
        <w:tc>
          <w:tcPr>
            <w:tcW w:w="2000" w:type="dxa"/>
            <w:shd w:val="clear" w:color="auto" w:fill="2E5090"/>
          </w:tcPr>
          <w:p w14:paraId="791669B3" w14:textId="77777777" w:rsidR="00FE48E1" w:rsidRPr="00597805" w:rsidRDefault="00000000">
            <w:pPr>
              <w:rPr>
                <w:sz w:val="24"/>
                <w:szCs w:val="24"/>
              </w:rPr>
            </w:pPr>
            <w:r w:rsidRPr="00597805">
              <w:rPr>
                <w:b/>
                <w:bCs/>
                <w:sz w:val="24"/>
                <w:szCs w:val="24"/>
              </w:rPr>
              <w:t>AUC</w:t>
            </w:r>
          </w:p>
        </w:tc>
      </w:tr>
      <w:tr w:rsidR="00FE48E1" w:rsidRPr="00597805" w14:paraId="506C144D" w14:textId="77777777">
        <w:tblPrEx>
          <w:tblCellMar>
            <w:top w:w="0" w:type="dxa"/>
            <w:bottom w:w="0" w:type="dxa"/>
          </w:tblCellMar>
        </w:tblPrEx>
        <w:tc>
          <w:tcPr>
            <w:tcW w:w="3000" w:type="dxa"/>
          </w:tcPr>
          <w:p w14:paraId="537349D8" w14:textId="77777777" w:rsidR="00FE48E1" w:rsidRPr="00597805" w:rsidRDefault="00000000">
            <w:pPr>
              <w:rPr>
                <w:sz w:val="24"/>
                <w:szCs w:val="24"/>
              </w:rPr>
            </w:pPr>
            <w:r w:rsidRPr="00597805">
              <w:rPr>
                <w:sz w:val="24"/>
                <w:szCs w:val="24"/>
              </w:rPr>
              <w:t>Régression logistique</w:t>
            </w:r>
          </w:p>
        </w:tc>
        <w:tc>
          <w:tcPr>
            <w:tcW w:w="2000" w:type="dxa"/>
          </w:tcPr>
          <w:p w14:paraId="08E4B6B8" w14:textId="77777777" w:rsidR="00FE48E1" w:rsidRPr="00597805" w:rsidRDefault="00000000">
            <w:pPr>
              <w:rPr>
                <w:sz w:val="24"/>
                <w:szCs w:val="24"/>
              </w:rPr>
            </w:pPr>
            <w:r w:rsidRPr="00597805">
              <w:rPr>
                <w:sz w:val="24"/>
                <w:szCs w:val="24"/>
              </w:rPr>
              <w:t>0.728</w:t>
            </w:r>
          </w:p>
        </w:tc>
        <w:tc>
          <w:tcPr>
            <w:tcW w:w="2000" w:type="dxa"/>
          </w:tcPr>
          <w:p w14:paraId="49425CC0" w14:textId="77777777" w:rsidR="00FE48E1" w:rsidRPr="00597805" w:rsidRDefault="00000000">
            <w:pPr>
              <w:rPr>
                <w:sz w:val="24"/>
                <w:szCs w:val="24"/>
              </w:rPr>
            </w:pPr>
            <w:r w:rsidRPr="00597805">
              <w:rPr>
                <w:sz w:val="24"/>
                <w:szCs w:val="24"/>
              </w:rPr>
              <w:t>0.674</w:t>
            </w:r>
          </w:p>
        </w:tc>
        <w:tc>
          <w:tcPr>
            <w:tcW w:w="2000" w:type="dxa"/>
          </w:tcPr>
          <w:p w14:paraId="11ED1C87" w14:textId="77777777" w:rsidR="00FE48E1" w:rsidRPr="00597805" w:rsidRDefault="00000000">
            <w:pPr>
              <w:rPr>
                <w:sz w:val="24"/>
                <w:szCs w:val="24"/>
              </w:rPr>
            </w:pPr>
            <w:r w:rsidRPr="00597805">
              <w:rPr>
                <w:sz w:val="24"/>
                <w:szCs w:val="24"/>
              </w:rPr>
              <w:t>0.722</w:t>
            </w:r>
          </w:p>
        </w:tc>
      </w:tr>
      <w:tr w:rsidR="00FE48E1" w:rsidRPr="00597805" w14:paraId="072B5CC6" w14:textId="77777777">
        <w:tblPrEx>
          <w:tblCellMar>
            <w:top w:w="0" w:type="dxa"/>
            <w:bottom w:w="0" w:type="dxa"/>
          </w:tblCellMar>
        </w:tblPrEx>
        <w:tc>
          <w:tcPr>
            <w:tcW w:w="3000" w:type="dxa"/>
          </w:tcPr>
          <w:p w14:paraId="5D539CB9" w14:textId="77777777" w:rsidR="00FE48E1" w:rsidRPr="00597805" w:rsidRDefault="00000000">
            <w:pPr>
              <w:rPr>
                <w:sz w:val="24"/>
                <w:szCs w:val="24"/>
              </w:rPr>
            </w:pPr>
            <w:r w:rsidRPr="00597805">
              <w:rPr>
                <w:sz w:val="24"/>
                <w:szCs w:val="24"/>
              </w:rPr>
              <w:t>Random Forest</w:t>
            </w:r>
          </w:p>
        </w:tc>
        <w:tc>
          <w:tcPr>
            <w:tcW w:w="2000" w:type="dxa"/>
          </w:tcPr>
          <w:p w14:paraId="6BB03B5F" w14:textId="77777777" w:rsidR="00FE48E1" w:rsidRPr="00597805" w:rsidRDefault="00000000">
            <w:pPr>
              <w:rPr>
                <w:sz w:val="24"/>
                <w:szCs w:val="24"/>
              </w:rPr>
            </w:pPr>
            <w:r w:rsidRPr="00597805">
              <w:rPr>
                <w:sz w:val="24"/>
                <w:szCs w:val="24"/>
              </w:rPr>
              <w:t>0.746</w:t>
            </w:r>
          </w:p>
        </w:tc>
        <w:tc>
          <w:tcPr>
            <w:tcW w:w="2000" w:type="dxa"/>
          </w:tcPr>
          <w:p w14:paraId="62E2A75E" w14:textId="77777777" w:rsidR="00FE48E1" w:rsidRPr="00597805" w:rsidRDefault="00000000">
            <w:pPr>
              <w:rPr>
                <w:sz w:val="24"/>
                <w:szCs w:val="24"/>
              </w:rPr>
            </w:pPr>
            <w:r w:rsidRPr="00597805">
              <w:rPr>
                <w:sz w:val="24"/>
                <w:szCs w:val="24"/>
              </w:rPr>
              <w:t>0.707</w:t>
            </w:r>
          </w:p>
        </w:tc>
        <w:tc>
          <w:tcPr>
            <w:tcW w:w="2000" w:type="dxa"/>
          </w:tcPr>
          <w:p w14:paraId="2C3BA4BB" w14:textId="77777777" w:rsidR="00FE48E1" w:rsidRPr="00597805" w:rsidRDefault="00000000">
            <w:pPr>
              <w:rPr>
                <w:sz w:val="24"/>
                <w:szCs w:val="24"/>
              </w:rPr>
            </w:pPr>
            <w:r w:rsidRPr="00597805">
              <w:rPr>
                <w:sz w:val="24"/>
                <w:szCs w:val="24"/>
              </w:rPr>
              <w:t>0.742</w:t>
            </w:r>
          </w:p>
        </w:tc>
      </w:tr>
      <w:tr w:rsidR="00FE48E1" w:rsidRPr="00597805" w14:paraId="0D8D4F09" w14:textId="77777777">
        <w:tblPrEx>
          <w:tblCellMar>
            <w:top w:w="0" w:type="dxa"/>
            <w:bottom w:w="0" w:type="dxa"/>
          </w:tblCellMar>
        </w:tblPrEx>
        <w:tc>
          <w:tcPr>
            <w:tcW w:w="3000" w:type="dxa"/>
          </w:tcPr>
          <w:p w14:paraId="2592CC4E" w14:textId="77777777" w:rsidR="00FE48E1" w:rsidRPr="00597805" w:rsidRDefault="00000000">
            <w:pPr>
              <w:rPr>
                <w:sz w:val="24"/>
                <w:szCs w:val="24"/>
              </w:rPr>
            </w:pPr>
            <w:proofErr w:type="spellStart"/>
            <w:r w:rsidRPr="00597805">
              <w:rPr>
                <w:sz w:val="24"/>
                <w:szCs w:val="24"/>
              </w:rPr>
              <w:t>XGBoost</w:t>
            </w:r>
            <w:proofErr w:type="spellEnd"/>
            <w:r w:rsidRPr="00597805">
              <w:rPr>
                <w:sz w:val="24"/>
                <w:szCs w:val="24"/>
              </w:rPr>
              <w:t xml:space="preserve"> (retenu)</w:t>
            </w:r>
          </w:p>
        </w:tc>
        <w:tc>
          <w:tcPr>
            <w:tcW w:w="2000" w:type="dxa"/>
          </w:tcPr>
          <w:p w14:paraId="0BB4A4E8" w14:textId="77777777" w:rsidR="00FE48E1" w:rsidRPr="00597805" w:rsidRDefault="00000000">
            <w:pPr>
              <w:rPr>
                <w:sz w:val="24"/>
                <w:szCs w:val="24"/>
              </w:rPr>
            </w:pPr>
            <w:r w:rsidRPr="00597805">
              <w:rPr>
                <w:sz w:val="24"/>
                <w:szCs w:val="24"/>
              </w:rPr>
              <w:t>0.732</w:t>
            </w:r>
          </w:p>
        </w:tc>
        <w:tc>
          <w:tcPr>
            <w:tcW w:w="2000" w:type="dxa"/>
          </w:tcPr>
          <w:p w14:paraId="2C270038" w14:textId="77777777" w:rsidR="00FE48E1" w:rsidRPr="00597805" w:rsidRDefault="00000000">
            <w:pPr>
              <w:rPr>
                <w:sz w:val="24"/>
                <w:szCs w:val="24"/>
              </w:rPr>
            </w:pPr>
            <w:r w:rsidRPr="00597805">
              <w:rPr>
                <w:sz w:val="24"/>
                <w:szCs w:val="24"/>
              </w:rPr>
              <w:t>0.708</w:t>
            </w:r>
          </w:p>
        </w:tc>
        <w:tc>
          <w:tcPr>
            <w:tcW w:w="2000" w:type="dxa"/>
          </w:tcPr>
          <w:p w14:paraId="6F403710" w14:textId="77777777" w:rsidR="00FE48E1" w:rsidRPr="00597805" w:rsidRDefault="00000000">
            <w:pPr>
              <w:rPr>
                <w:sz w:val="24"/>
                <w:szCs w:val="24"/>
              </w:rPr>
            </w:pPr>
            <w:r w:rsidRPr="00597805">
              <w:rPr>
                <w:sz w:val="24"/>
                <w:szCs w:val="24"/>
              </w:rPr>
              <w:t>0.730</w:t>
            </w:r>
          </w:p>
        </w:tc>
      </w:tr>
    </w:tbl>
    <w:p w14:paraId="011DC73E" w14:textId="77777777" w:rsidR="00FE48E1" w:rsidRPr="00597805" w:rsidRDefault="00FE48E1"/>
    <w:p w14:paraId="6E714720" w14:textId="77777777" w:rsidR="00FE48E1" w:rsidRPr="00597805" w:rsidRDefault="00000000">
      <w:r w:rsidRPr="00597805">
        <w:rPr>
          <w:noProof/>
        </w:rPr>
        <w:drawing>
          <wp:inline distT="0" distB="0" distL="0" distR="0" wp14:anchorId="751B0A9E" wp14:editId="73ACA6DC">
            <wp:extent cx="4686300" cy="332974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01812" cy="3340761"/>
                    </a:xfrm>
                    <a:prstGeom prst="rect">
                      <a:avLst/>
                    </a:prstGeom>
                  </pic:spPr>
                </pic:pic>
              </a:graphicData>
            </a:graphic>
          </wp:inline>
        </w:drawing>
      </w:r>
    </w:p>
    <w:p w14:paraId="0AC279E9" w14:textId="77777777" w:rsidR="00FE48E1" w:rsidRPr="00597805" w:rsidRDefault="00000000">
      <w:pPr>
        <w:rPr>
          <w:sz w:val="24"/>
          <w:szCs w:val="24"/>
        </w:rPr>
      </w:pPr>
      <w:proofErr w:type="spellStart"/>
      <w:r w:rsidRPr="00597805">
        <w:rPr>
          <w:sz w:val="24"/>
          <w:szCs w:val="24"/>
        </w:rPr>
        <w:t>XGBoost</w:t>
      </w:r>
      <w:proofErr w:type="spellEnd"/>
      <w:r w:rsidRPr="00597805">
        <w:rPr>
          <w:sz w:val="24"/>
          <w:szCs w:val="24"/>
        </w:rPr>
        <w:t xml:space="preserve"> est retenu (meilleur F1-score, à égalité quasi parfaite avec Random Forest). Des scores autour de 73-75% sont cohérents avec un vrai problème de prédiction — ni suspects (100%), ni inexploitables (proches de 50%, le hasard).</w:t>
      </w:r>
    </w:p>
    <w:p w14:paraId="61CB9238" w14:textId="77777777" w:rsidR="00FE48E1" w:rsidRPr="00597805" w:rsidRDefault="00FE48E1"/>
    <w:p w14:paraId="59B55F7C" w14:textId="77777777" w:rsidR="00FE48E1" w:rsidRPr="00597805" w:rsidRDefault="00000000">
      <w:pPr>
        <w:pStyle w:val="Heading3"/>
        <w:rPr>
          <w:color w:val="auto"/>
          <w:sz w:val="26"/>
          <w:szCs w:val="26"/>
        </w:rPr>
      </w:pPr>
      <w:r w:rsidRPr="00597805">
        <w:rPr>
          <w:color w:val="auto"/>
          <w:sz w:val="26"/>
          <w:szCs w:val="26"/>
        </w:rPr>
        <w:t>4.3 Importance des variables</w:t>
      </w:r>
    </w:p>
    <w:p w14:paraId="1E1CFC87" w14:textId="77777777" w:rsidR="00FE48E1" w:rsidRPr="00597805" w:rsidRDefault="00000000">
      <w:r w:rsidRPr="00597805">
        <w:rPr>
          <w:noProof/>
        </w:rPr>
        <w:drawing>
          <wp:inline distT="0" distB="0" distL="0" distR="0" wp14:anchorId="4565F3DA" wp14:editId="09C9313C">
            <wp:extent cx="4810125" cy="3417720"/>
            <wp:effectExtent l="0" t="0" r="0" b="0"/>
            <wp:docPr id="478865873" name="Picture 47886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25582" cy="3428702"/>
                    </a:xfrm>
                    <a:prstGeom prst="rect">
                      <a:avLst/>
                    </a:prstGeom>
                  </pic:spPr>
                </pic:pic>
              </a:graphicData>
            </a:graphic>
          </wp:inline>
        </w:drawing>
      </w:r>
    </w:p>
    <w:p w14:paraId="591090C5" w14:textId="77777777" w:rsidR="00FE48E1" w:rsidRPr="00597805" w:rsidRDefault="00000000">
      <w:pPr>
        <w:rPr>
          <w:sz w:val="24"/>
          <w:szCs w:val="24"/>
        </w:rPr>
      </w:pPr>
      <w:r w:rsidRPr="00597805">
        <w:rPr>
          <w:sz w:val="24"/>
          <w:szCs w:val="24"/>
        </w:rPr>
        <w:lastRenderedPageBreak/>
        <w:t>La Récence reste la variable la plus influente (36%), mais son poids est désormais partagé avec la part des achats en ligne (18%), le montant total (17%), la fréquence d'achats (15%) et l'âge (14%) — un profil de variables beaucoup plus équilibré et interprétable que dans la version précédente.</w:t>
      </w:r>
    </w:p>
    <w:p w14:paraId="6B8ECB93" w14:textId="77777777" w:rsidR="00FE48E1" w:rsidRPr="00597805" w:rsidRDefault="00FE48E1"/>
    <w:p w14:paraId="6024C9D3" w14:textId="77777777" w:rsidR="00FE48E1" w:rsidRPr="00597805" w:rsidRDefault="00000000">
      <w:pPr>
        <w:pStyle w:val="Heading3"/>
        <w:rPr>
          <w:color w:val="auto"/>
          <w:sz w:val="26"/>
          <w:szCs w:val="26"/>
        </w:rPr>
      </w:pPr>
      <w:r w:rsidRPr="00597805">
        <w:rPr>
          <w:color w:val="auto"/>
          <w:sz w:val="26"/>
          <w:szCs w:val="26"/>
        </w:rPr>
        <w:t xml:space="preserve">4.4 Risque de </w:t>
      </w:r>
      <w:proofErr w:type="spellStart"/>
      <w:r w:rsidRPr="00597805">
        <w:rPr>
          <w:color w:val="auto"/>
          <w:sz w:val="26"/>
          <w:szCs w:val="26"/>
        </w:rPr>
        <w:t>churn</w:t>
      </w:r>
      <w:proofErr w:type="spellEnd"/>
      <w:r w:rsidRPr="00597805">
        <w:rPr>
          <w:color w:val="auto"/>
          <w:sz w:val="26"/>
          <w:szCs w:val="26"/>
        </w:rPr>
        <w:t xml:space="preserve"> actuel et valeur client</w:t>
      </w:r>
    </w:p>
    <w:p w14:paraId="7E5F9491" w14:textId="77777777" w:rsidR="00FE48E1" w:rsidRPr="00597805" w:rsidRDefault="00000000">
      <w:pPr>
        <w:rPr>
          <w:sz w:val="24"/>
          <w:szCs w:val="24"/>
        </w:rPr>
      </w:pPr>
      <w:r w:rsidRPr="00597805">
        <w:rPr>
          <w:sz w:val="24"/>
          <w:szCs w:val="24"/>
        </w:rPr>
        <w:t xml:space="preserve">En appliquant le modèle retenu à l'historique complet (jusqu'au 31 décembre 2024), sur les 726 clients ayant un historique d'achat : 47,1% sont actuellement classés à risque de </w:t>
      </w:r>
      <w:proofErr w:type="spellStart"/>
      <w:r w:rsidRPr="00597805">
        <w:rPr>
          <w:sz w:val="24"/>
          <w:szCs w:val="24"/>
        </w:rPr>
        <w:t>churn</w:t>
      </w:r>
      <w:proofErr w:type="spellEnd"/>
      <w:r w:rsidRPr="00597805">
        <w:rPr>
          <w:sz w:val="24"/>
          <w:szCs w:val="24"/>
        </w:rPr>
        <w:t>.</w:t>
      </w:r>
    </w:p>
    <w:p w14:paraId="33D3749D" w14:textId="77777777" w:rsidR="00FE48E1" w:rsidRPr="00597805" w:rsidRDefault="00000000">
      <w:r w:rsidRPr="00597805">
        <w:rPr>
          <w:noProof/>
        </w:rPr>
        <w:drawing>
          <wp:inline distT="0" distB="0" distL="0" distR="0" wp14:anchorId="4938B8EB" wp14:editId="11D574CD">
            <wp:extent cx="4943475" cy="3672296"/>
            <wp:effectExtent l="0" t="0" r="0" b="4445"/>
            <wp:docPr id="989170265" name="Picture 98917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64261" cy="3687737"/>
                    </a:xfrm>
                    <a:prstGeom prst="rect">
                      <a:avLst/>
                    </a:prstGeom>
                  </pic:spPr>
                </pic:pic>
              </a:graphicData>
            </a:graphic>
          </wp:inline>
        </w:drawing>
      </w:r>
    </w:p>
    <w:p w14:paraId="522D8147" w14:textId="77777777" w:rsidR="00FE48E1" w:rsidRPr="00597805" w:rsidRDefault="00FE48E1"/>
    <w:p w14:paraId="36C55D41" w14:textId="77777777" w:rsidR="00FE48E1" w:rsidRPr="00597805" w:rsidRDefault="00000000">
      <w:r w:rsidRPr="00597805">
        <w:rPr>
          <w:noProof/>
        </w:rPr>
        <w:drawing>
          <wp:inline distT="0" distB="0" distL="0" distR="0" wp14:anchorId="42FE9376" wp14:editId="5B1AAA9B">
            <wp:extent cx="4886325" cy="3629841"/>
            <wp:effectExtent l="0" t="0" r="0" b="8890"/>
            <wp:docPr id="1509173255" name="Picture 150917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3549" cy="3635207"/>
                    </a:xfrm>
                    <a:prstGeom prst="rect">
                      <a:avLst/>
                    </a:prstGeom>
                  </pic:spPr>
                </pic:pic>
              </a:graphicData>
            </a:graphic>
          </wp:inline>
        </w:drawing>
      </w:r>
    </w:p>
    <w:p w14:paraId="4C9765FF" w14:textId="77777777" w:rsidR="00FE48E1" w:rsidRPr="00597805" w:rsidRDefault="00000000">
      <w:pPr>
        <w:rPr>
          <w:sz w:val="24"/>
          <w:szCs w:val="24"/>
        </w:rPr>
      </w:pPr>
      <w:r w:rsidRPr="00597805">
        <w:rPr>
          <w:sz w:val="24"/>
          <w:szCs w:val="24"/>
        </w:rPr>
        <w:lastRenderedPageBreak/>
        <w:t>La CLV moyenne des clients non à risque (907) est plus de 2 fois supérieure à celle des clients à risque (400) — un signal cohérent avec l'analyse précédente, qui confirme la priorité pour la stratégie (M7) : concentrer les actions de fidélisation sur les clients à forte valeur qui montrent des signes de désengagement.</w:t>
      </w:r>
    </w:p>
    <w:p w14:paraId="6730CA3E" w14:textId="77777777" w:rsidR="00FE48E1" w:rsidRPr="00597805" w:rsidRDefault="00FE48E1"/>
    <w:p w14:paraId="55CB87DC" w14:textId="77777777" w:rsidR="00FE48E1" w:rsidRPr="00597805" w:rsidRDefault="00000000">
      <w:pPr>
        <w:pStyle w:val="Heading2"/>
        <w:rPr>
          <w:color w:val="auto"/>
          <w:sz w:val="28"/>
          <w:szCs w:val="28"/>
          <w:u w:val="single"/>
        </w:rPr>
      </w:pPr>
      <w:r w:rsidRPr="00597805">
        <w:rPr>
          <w:color w:val="auto"/>
          <w:sz w:val="28"/>
          <w:szCs w:val="28"/>
          <w:u w:val="single"/>
        </w:rPr>
        <w:t>5. Limites</w:t>
      </w:r>
    </w:p>
    <w:p w14:paraId="7C27ECDE" w14:textId="77777777" w:rsidR="00FE48E1" w:rsidRPr="00597805" w:rsidRDefault="00000000">
      <w:pPr>
        <w:rPr>
          <w:sz w:val="24"/>
          <w:szCs w:val="24"/>
        </w:rPr>
      </w:pPr>
      <w:r w:rsidRPr="00597805">
        <w:rPr>
          <w:sz w:val="24"/>
          <w:szCs w:val="24"/>
        </w:rPr>
        <w:t>Données synthétiques : conformément à docs/regles_donnees.md, les 805 clients sont générés selon des profils de comportement simulés. Les conclusions sont valables sous ces hypothèses de génération.</w:t>
      </w:r>
    </w:p>
    <w:p w14:paraId="22B6FAB5" w14:textId="77777777" w:rsidR="00FE48E1" w:rsidRPr="00597805" w:rsidRDefault="00000000">
      <w:pPr>
        <w:rPr>
          <w:sz w:val="24"/>
          <w:szCs w:val="24"/>
        </w:rPr>
      </w:pPr>
      <w:r w:rsidRPr="00597805">
        <w:rPr>
          <w:sz w:val="24"/>
          <w:szCs w:val="24"/>
        </w:rPr>
        <w:t>Le seuil de coupure (30/09/2024) et la fenêtre d'observation future (3 mois) sont des choix méthodologiques ; un seuil différent donnerait une répartition de classes et des scores légèrement différents.</w:t>
      </w:r>
    </w:p>
    <w:p w14:paraId="60BCC78C" w14:textId="77777777" w:rsidR="00FE48E1" w:rsidRPr="00597805" w:rsidRDefault="00FE48E1"/>
    <w:p w14:paraId="45401EE0" w14:textId="77777777" w:rsidR="00FE48E1" w:rsidRPr="00597805" w:rsidRDefault="00000000">
      <w:pPr>
        <w:pStyle w:val="Heading2"/>
        <w:rPr>
          <w:color w:val="auto"/>
          <w:sz w:val="28"/>
          <w:szCs w:val="28"/>
          <w:u w:val="single"/>
        </w:rPr>
      </w:pPr>
      <w:r w:rsidRPr="00597805">
        <w:rPr>
          <w:color w:val="auto"/>
          <w:sz w:val="28"/>
          <w:szCs w:val="28"/>
          <w:u w:val="single"/>
        </w:rPr>
        <w:t>6. Livrable</w:t>
      </w:r>
    </w:p>
    <w:p w14:paraId="47ED491F" w14:textId="77777777" w:rsidR="00FE48E1" w:rsidRPr="00597805" w:rsidRDefault="00000000">
      <w:pPr>
        <w:rPr>
          <w:sz w:val="24"/>
          <w:szCs w:val="24"/>
        </w:rPr>
      </w:pPr>
      <w:r w:rsidRPr="00597805">
        <w:rPr>
          <w:sz w:val="24"/>
          <w:szCs w:val="24"/>
        </w:rPr>
        <w:t>Fichier data/</w:t>
      </w:r>
      <w:proofErr w:type="spellStart"/>
      <w:r w:rsidRPr="00597805">
        <w:rPr>
          <w:sz w:val="24"/>
          <w:szCs w:val="24"/>
        </w:rPr>
        <w:t>results</w:t>
      </w:r>
      <w:proofErr w:type="spellEnd"/>
      <w:r w:rsidRPr="00597805">
        <w:rPr>
          <w:sz w:val="24"/>
          <w:szCs w:val="24"/>
        </w:rPr>
        <w:t>/predictions_churn.csv (</w:t>
      </w:r>
      <w:proofErr w:type="spellStart"/>
      <w:r w:rsidRPr="00597805">
        <w:rPr>
          <w:sz w:val="24"/>
          <w:szCs w:val="24"/>
        </w:rPr>
        <w:t>Customer_ID</w:t>
      </w:r>
      <w:proofErr w:type="spellEnd"/>
      <w:r w:rsidRPr="00597805">
        <w:rPr>
          <w:sz w:val="24"/>
          <w:szCs w:val="24"/>
        </w:rPr>
        <w:t xml:space="preserve">, </w:t>
      </w:r>
      <w:proofErr w:type="spellStart"/>
      <w:r w:rsidRPr="00597805">
        <w:rPr>
          <w:sz w:val="24"/>
          <w:szCs w:val="24"/>
        </w:rPr>
        <w:t>Proba_Churn</w:t>
      </w:r>
      <w:proofErr w:type="spellEnd"/>
      <w:r w:rsidRPr="00597805">
        <w:rPr>
          <w:sz w:val="24"/>
          <w:szCs w:val="24"/>
        </w:rPr>
        <w:t xml:space="preserve">, </w:t>
      </w:r>
      <w:proofErr w:type="spellStart"/>
      <w:r w:rsidRPr="00597805">
        <w:rPr>
          <w:sz w:val="24"/>
          <w:szCs w:val="24"/>
        </w:rPr>
        <w:t>Churn_Predicted</w:t>
      </w:r>
      <w:proofErr w:type="spellEnd"/>
      <w:r w:rsidRPr="00597805">
        <w:rPr>
          <w:sz w:val="24"/>
          <w:szCs w:val="24"/>
        </w:rPr>
        <w:t xml:space="preserve">, </w:t>
      </w:r>
      <w:proofErr w:type="spellStart"/>
      <w:r w:rsidRPr="00597805">
        <w:rPr>
          <w:sz w:val="24"/>
          <w:szCs w:val="24"/>
        </w:rPr>
        <w:t>CLV_estimee</w:t>
      </w:r>
      <w:proofErr w:type="spellEnd"/>
      <w:r w:rsidRPr="00597805">
        <w:rPr>
          <w:sz w:val="24"/>
          <w:szCs w:val="24"/>
        </w:rPr>
        <w:t xml:space="preserve">), pour 726 clients ayant un historique d'achat, transmis à </w:t>
      </w:r>
      <w:proofErr w:type="spellStart"/>
      <w:r w:rsidRPr="00597805">
        <w:rPr>
          <w:sz w:val="24"/>
          <w:szCs w:val="24"/>
        </w:rPr>
        <w:t>Toky</w:t>
      </w:r>
      <w:proofErr w:type="spellEnd"/>
      <w:r w:rsidRPr="00597805">
        <w:rPr>
          <w:sz w:val="24"/>
          <w:szCs w:val="24"/>
        </w:rPr>
        <w:t xml:space="preserve"> (M8). Conclusions transmises à Lalatiana (M7) : prioriser la fidélisation des clients à forte CLV présentant une probabilité de </w:t>
      </w:r>
      <w:proofErr w:type="spellStart"/>
      <w:r w:rsidRPr="00597805">
        <w:rPr>
          <w:sz w:val="24"/>
          <w:szCs w:val="24"/>
        </w:rPr>
        <w:t>churn</w:t>
      </w:r>
      <w:proofErr w:type="spellEnd"/>
      <w:r w:rsidRPr="00597805">
        <w:rPr>
          <w:sz w:val="24"/>
          <w:szCs w:val="24"/>
        </w:rPr>
        <w:t xml:space="preserve"> élevée, cibler en particulier les canaux et montants d'achat identifiés comme signaux précoces.</w:t>
      </w:r>
    </w:p>
    <w:sectPr w:rsidR="00FE48E1" w:rsidRPr="005978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142E3"/>
    <w:multiLevelType w:val="hybridMultilevel"/>
    <w:tmpl w:val="CD942D0A"/>
    <w:lvl w:ilvl="0" w:tplc="5FDC10D6">
      <w:start w:val="1"/>
      <w:numFmt w:val="bullet"/>
      <w:lvlText w:val="●"/>
      <w:lvlJc w:val="left"/>
      <w:pPr>
        <w:ind w:left="720" w:hanging="360"/>
      </w:pPr>
    </w:lvl>
    <w:lvl w:ilvl="1" w:tplc="3C10935E">
      <w:start w:val="1"/>
      <w:numFmt w:val="bullet"/>
      <w:lvlText w:val="○"/>
      <w:lvlJc w:val="left"/>
      <w:pPr>
        <w:ind w:left="1440" w:hanging="360"/>
      </w:pPr>
    </w:lvl>
    <w:lvl w:ilvl="2" w:tplc="20441DC8">
      <w:start w:val="1"/>
      <w:numFmt w:val="bullet"/>
      <w:lvlText w:val="■"/>
      <w:lvlJc w:val="left"/>
      <w:pPr>
        <w:ind w:left="2160" w:hanging="360"/>
      </w:pPr>
    </w:lvl>
    <w:lvl w:ilvl="3" w:tplc="F5AEDF56">
      <w:start w:val="1"/>
      <w:numFmt w:val="bullet"/>
      <w:lvlText w:val="●"/>
      <w:lvlJc w:val="left"/>
      <w:pPr>
        <w:ind w:left="2880" w:hanging="360"/>
      </w:pPr>
    </w:lvl>
    <w:lvl w:ilvl="4" w:tplc="6AB653BE">
      <w:start w:val="1"/>
      <w:numFmt w:val="bullet"/>
      <w:lvlText w:val="○"/>
      <w:lvlJc w:val="left"/>
      <w:pPr>
        <w:ind w:left="3600" w:hanging="360"/>
      </w:pPr>
    </w:lvl>
    <w:lvl w:ilvl="5" w:tplc="0E24F4D6">
      <w:start w:val="1"/>
      <w:numFmt w:val="bullet"/>
      <w:lvlText w:val="■"/>
      <w:lvlJc w:val="left"/>
      <w:pPr>
        <w:ind w:left="4320" w:hanging="360"/>
      </w:pPr>
    </w:lvl>
    <w:lvl w:ilvl="6" w:tplc="51D4B0EE">
      <w:start w:val="1"/>
      <w:numFmt w:val="bullet"/>
      <w:lvlText w:val="●"/>
      <w:lvlJc w:val="left"/>
      <w:pPr>
        <w:ind w:left="5040" w:hanging="360"/>
      </w:pPr>
    </w:lvl>
    <w:lvl w:ilvl="7" w:tplc="2D28C770">
      <w:start w:val="1"/>
      <w:numFmt w:val="bullet"/>
      <w:lvlText w:val="●"/>
      <w:lvlJc w:val="left"/>
      <w:pPr>
        <w:ind w:left="5760" w:hanging="360"/>
      </w:pPr>
    </w:lvl>
    <w:lvl w:ilvl="8" w:tplc="91FA87EA">
      <w:start w:val="1"/>
      <w:numFmt w:val="bullet"/>
      <w:lvlText w:val="●"/>
      <w:lvlJc w:val="left"/>
      <w:pPr>
        <w:ind w:left="6480" w:hanging="360"/>
      </w:pPr>
    </w:lvl>
  </w:abstractNum>
  <w:num w:numId="1" w16cid:durableId="1388258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E1"/>
    <w:rsid w:val="00445349"/>
    <w:rsid w:val="00597805"/>
    <w:rsid w:val="00FE48E1"/>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EB40"/>
  <w15:docId w15:val="{8AB5DB78-C1D6-48E5-8055-51CF0BBF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MG" w:eastAsia="fr-M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Câline Fetison</cp:lastModifiedBy>
  <cp:revision>1</cp:revision>
  <dcterms:created xsi:type="dcterms:W3CDTF">2026-09-11T10:43:00Z</dcterms:created>
  <dcterms:modified xsi:type="dcterms:W3CDTF">2026-09-11T11:04:00Z</dcterms:modified>
</cp:coreProperties>
</file>