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CE55" w14:textId="77777777" w:rsidR="008E545E" w:rsidRDefault="008E545E">
      <w:pPr>
        <w:spacing w:after="40"/>
        <w:rPr>
          <w:b/>
          <w:bCs/>
          <w:sz w:val="34"/>
          <w:szCs w:val="34"/>
        </w:rPr>
      </w:pPr>
    </w:p>
    <w:p w14:paraId="51700233" w14:textId="77777777" w:rsidR="008E545E" w:rsidRDefault="008E545E">
      <w:pPr>
        <w:spacing w:after="40"/>
        <w:rPr>
          <w:b/>
          <w:bCs/>
          <w:sz w:val="34"/>
          <w:szCs w:val="34"/>
        </w:rPr>
      </w:pPr>
    </w:p>
    <w:p w14:paraId="191D7B1E" w14:textId="77777777" w:rsidR="008E545E" w:rsidRDefault="008E545E">
      <w:pPr>
        <w:spacing w:after="40"/>
        <w:rPr>
          <w:b/>
          <w:bCs/>
          <w:sz w:val="34"/>
          <w:szCs w:val="34"/>
        </w:rPr>
      </w:pPr>
      <w:r>
        <w:rPr>
          <w:b/>
          <w:bCs/>
          <w:sz w:val="34"/>
          <w:szCs w:val="34"/>
        </w:rPr>
        <w:t>COSC565</w:t>
      </w:r>
    </w:p>
    <w:p w14:paraId="52D11812" w14:textId="21641F9D" w:rsidR="008D109F" w:rsidRDefault="00000000">
      <w:pPr>
        <w:spacing w:after="40"/>
      </w:pPr>
      <w:proofErr w:type="spellStart"/>
      <w:r>
        <w:rPr>
          <w:b/>
          <w:bCs/>
          <w:sz w:val="34"/>
          <w:szCs w:val="34"/>
        </w:rPr>
        <w:t>EngageTrace</w:t>
      </w:r>
      <w:proofErr w:type="spellEnd"/>
    </w:p>
    <w:p w14:paraId="3A955C81" w14:textId="77777777" w:rsidR="008D109F" w:rsidRDefault="00000000">
      <w:pPr>
        <w:spacing w:after="200"/>
      </w:pPr>
      <w:r>
        <w:rPr>
          <w:i/>
          <w:iCs/>
          <w:color w:val="5B6B7A"/>
          <w:sz w:val="22"/>
          <w:szCs w:val="22"/>
        </w:rPr>
        <w:t>Course-Context-Aware Detection of Sustained LMS Activity Declines</w:t>
      </w:r>
    </w:p>
    <w:p w14:paraId="0F0AA545" w14:textId="77777777" w:rsidR="008D109F" w:rsidRDefault="00000000">
      <w:pPr>
        <w:pStyle w:val="Heading2"/>
        <w:spacing w:before="200" w:after="80"/>
      </w:pPr>
      <w:r>
        <w:t>What it does</w:t>
      </w:r>
    </w:p>
    <w:p w14:paraId="26730AD4" w14:textId="77777777" w:rsidR="008D109F" w:rsidRDefault="00000000">
      <w:pPr>
        <w:spacing w:after="100"/>
      </w:pPr>
      <w:proofErr w:type="spellStart"/>
      <w:r>
        <w:rPr>
          <w:sz w:val="21"/>
          <w:szCs w:val="21"/>
        </w:rPr>
        <w:t>EngageTrace</w:t>
      </w:r>
      <w:proofErr w:type="spellEnd"/>
      <w:r>
        <w:rPr>
          <w:sz w:val="21"/>
          <w:szCs w:val="21"/>
        </w:rPr>
        <w:t xml:space="preserve"> is a research software application that analyzes weekly student activity in a Learning Management System (LMS) and identifies when an individual learner's activity has declined and stayed low for a sustained period. Its core contribution is Contextual Activity Persistence (CAP), a detection method that flags a decline only when three conditions hold together: the drop is substantial relative to the student's own baseline, the drop is unusual compared to what the rest of the course is doing that same week, and the drop persists across multiple consecutive weeks rather than being a brief fluctuation.</w:t>
      </w:r>
    </w:p>
    <w:p w14:paraId="26733ACA" w14:textId="77777777" w:rsidR="008D109F" w:rsidRDefault="00000000">
      <w:pPr>
        <w:spacing w:after="100"/>
      </w:pPr>
      <w:r>
        <w:rPr>
          <w:sz w:val="21"/>
          <w:szCs w:val="21"/>
        </w:rPr>
        <w:t>This distinguishes an individual student's real decline from a shared, course-wide quiet period (e.g., a lull between assignments), which is the main source of false alerts in existing LMS early-warning systems. In testing on six real Open University Learning Analytics Dataset (OULAD) courses (13,600+ students), CAP produced 85–88% fewer flagged student-weeks than a naive fixed-threshold rule, while a documented case study confirms it also catches declines that fixed-threshold rules structurally miss.</w:t>
      </w:r>
    </w:p>
    <w:p w14:paraId="2DA30DB5" w14:textId="77777777" w:rsidR="008D109F" w:rsidRDefault="00000000">
      <w:pPr>
        <w:pStyle w:val="Heading2"/>
        <w:spacing w:before="200" w:after="80"/>
      </w:pPr>
      <w:r>
        <w:t>Who it's for</w:t>
      </w:r>
    </w:p>
    <w:p w14:paraId="6351A6AD" w14:textId="77777777" w:rsidR="008D109F" w:rsidRDefault="00000000">
      <w:pPr>
        <w:pStyle w:val="ListParagraph"/>
        <w:numPr>
          <w:ilvl w:val="0"/>
          <w:numId w:val="1"/>
        </w:numPr>
        <w:spacing w:after="40"/>
      </w:pPr>
      <w:r>
        <w:rPr>
          <w:sz w:val="21"/>
          <w:szCs w:val="21"/>
        </w:rPr>
        <w:t>Course instructors and academic advisors who need fewer, more trustworthy activity alerts instead of high-volume noisy notifications.</w:t>
      </w:r>
    </w:p>
    <w:p w14:paraId="4E743774" w14:textId="77777777" w:rsidR="008D109F" w:rsidRDefault="00000000">
      <w:pPr>
        <w:pStyle w:val="ListParagraph"/>
        <w:numPr>
          <w:ilvl w:val="0"/>
          <w:numId w:val="1"/>
        </w:numPr>
        <w:spacing w:after="40"/>
      </w:pPr>
      <w:r>
        <w:rPr>
          <w:sz w:val="21"/>
          <w:szCs w:val="21"/>
        </w:rPr>
        <w:t>Institutional learning-analytics teams evaluating or building early-warning systems for online courses.</w:t>
      </w:r>
    </w:p>
    <w:p w14:paraId="5B80399A" w14:textId="77777777" w:rsidR="008D109F" w:rsidRDefault="00000000">
      <w:pPr>
        <w:pStyle w:val="ListParagraph"/>
        <w:numPr>
          <w:ilvl w:val="0"/>
          <w:numId w:val="1"/>
        </w:numPr>
        <w:spacing w:after="40"/>
      </w:pPr>
      <w:r>
        <w:rPr>
          <w:sz w:val="21"/>
          <w:szCs w:val="21"/>
        </w:rPr>
        <w:t>Learning-analytics researchers studying temporal engagement patterns, change-point detection, or false-alert reduction in educational data mining.</w:t>
      </w:r>
    </w:p>
    <w:p w14:paraId="612EA854" w14:textId="77777777" w:rsidR="008D109F" w:rsidRDefault="00000000">
      <w:pPr>
        <w:pStyle w:val="Heading2"/>
        <w:spacing w:before="200" w:after="80"/>
      </w:pPr>
      <w:r>
        <w:t>Technology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0"/>
      </w:tblGrid>
      <w:tr w:rsidR="008D109F" w14:paraId="36FDA088" w14:textId="77777777">
        <w:tblPrEx>
          <w:tblCellMar>
            <w:top w:w="0" w:type="dxa"/>
            <w:bottom w:w="0" w:type="dxa"/>
          </w:tblCellMar>
        </w:tblPrEx>
        <w:tc>
          <w:tcPr>
            <w:tcW w:w="2200" w:type="dxa"/>
            <w:shd w:val="clear" w:color="auto" w:fill="EDEFEA"/>
            <w:tcMar>
              <w:top w:w="80" w:type="dxa"/>
              <w:left w:w="120" w:type="dxa"/>
              <w:bottom w:w="80" w:type="dxa"/>
              <w:right w:w="120" w:type="dxa"/>
            </w:tcMar>
          </w:tcPr>
          <w:p w14:paraId="55FC811F" w14:textId="77777777" w:rsidR="008D109F" w:rsidRDefault="00000000">
            <w:r>
              <w:rPr>
                <w:b/>
                <w:bCs/>
              </w:rPr>
              <w:t>Interface</w:t>
            </w:r>
          </w:p>
        </w:tc>
        <w:tc>
          <w:tcPr>
            <w:tcW w:w="7700" w:type="dxa"/>
            <w:tcMar>
              <w:top w:w="80" w:type="dxa"/>
              <w:left w:w="120" w:type="dxa"/>
              <w:bottom w:w="80" w:type="dxa"/>
              <w:right w:w="120" w:type="dxa"/>
            </w:tcMar>
          </w:tcPr>
          <w:p w14:paraId="52F25D99" w14:textId="77777777" w:rsidR="008D109F" w:rsidRDefault="00000000">
            <w:r>
              <w:t>Interactive web dashboard (React) with live threshold controls, per-student activity timelines plotted against the course cohort median, a method-comparison view across four detectors, and a cohort-wide false-alert summary.</w:t>
            </w:r>
          </w:p>
        </w:tc>
      </w:tr>
      <w:tr w:rsidR="008D109F" w14:paraId="6010C94D" w14:textId="77777777">
        <w:tblPrEx>
          <w:tblCellMar>
            <w:top w:w="0" w:type="dxa"/>
            <w:bottom w:w="0" w:type="dxa"/>
          </w:tblCellMar>
        </w:tblPrEx>
        <w:tc>
          <w:tcPr>
            <w:tcW w:w="2200" w:type="dxa"/>
            <w:shd w:val="clear" w:color="auto" w:fill="EDEFEA"/>
            <w:tcMar>
              <w:top w:w="80" w:type="dxa"/>
              <w:left w:w="120" w:type="dxa"/>
              <w:bottom w:w="80" w:type="dxa"/>
              <w:right w:w="120" w:type="dxa"/>
            </w:tcMar>
          </w:tcPr>
          <w:p w14:paraId="3B04551A" w14:textId="77777777" w:rsidR="008D109F" w:rsidRDefault="00000000">
            <w:r>
              <w:rPr>
                <w:b/>
                <w:bCs/>
              </w:rPr>
              <w:t>Database</w:t>
            </w:r>
          </w:p>
        </w:tc>
        <w:tc>
          <w:tcPr>
            <w:tcW w:w="7700" w:type="dxa"/>
            <w:tcMar>
              <w:top w:w="80" w:type="dxa"/>
              <w:left w:w="120" w:type="dxa"/>
              <w:bottom w:w="80" w:type="dxa"/>
              <w:right w:w="120" w:type="dxa"/>
            </w:tcMar>
          </w:tcPr>
          <w:p w14:paraId="30419C2A" w14:textId="77777777" w:rsidR="008D109F" w:rsidRDefault="00000000">
            <w:r>
              <w:t xml:space="preserve">Relational database (SQLite for local research use; </w:t>
            </w:r>
            <w:proofErr w:type="spellStart"/>
            <w:r>
              <w:t>Supabase</w:t>
            </w:r>
            <w:proofErr w:type="spellEnd"/>
            <w:r>
              <w:t>/Postgres for a hosted, browser-connected version) storing ingested weekly activity, every detection run's parameters, and every method's per-student, per-week results.</w:t>
            </w:r>
          </w:p>
        </w:tc>
      </w:tr>
      <w:tr w:rsidR="008D109F" w14:paraId="06774414" w14:textId="77777777">
        <w:tblPrEx>
          <w:tblCellMar>
            <w:top w:w="0" w:type="dxa"/>
            <w:bottom w:w="0" w:type="dxa"/>
          </w:tblCellMar>
        </w:tblPrEx>
        <w:tc>
          <w:tcPr>
            <w:tcW w:w="2200" w:type="dxa"/>
            <w:shd w:val="clear" w:color="auto" w:fill="EDEFEA"/>
            <w:tcMar>
              <w:top w:w="80" w:type="dxa"/>
              <w:left w:w="120" w:type="dxa"/>
              <w:bottom w:w="80" w:type="dxa"/>
              <w:right w:w="120" w:type="dxa"/>
            </w:tcMar>
          </w:tcPr>
          <w:p w14:paraId="7F078B33" w14:textId="77777777" w:rsidR="008D109F" w:rsidRDefault="00000000">
            <w:r>
              <w:rPr>
                <w:b/>
                <w:bCs/>
              </w:rPr>
              <w:t>Detection engine</w:t>
            </w:r>
          </w:p>
        </w:tc>
        <w:tc>
          <w:tcPr>
            <w:tcW w:w="7700" w:type="dxa"/>
            <w:tcMar>
              <w:top w:w="80" w:type="dxa"/>
              <w:left w:w="120" w:type="dxa"/>
              <w:bottom w:w="80" w:type="dxa"/>
              <w:right w:w="120" w:type="dxa"/>
            </w:tcMar>
          </w:tcPr>
          <w:p w14:paraId="5F7429DF" w14:textId="77777777" w:rsidR="008D109F" w:rsidRDefault="00000000">
            <w:r>
              <w:t>Python implementation of CAP and three baselines (fixed threshold, individual-history-only, CUSUM statistical change-point), shared identically between the offline research pipeline and the live dashboard.</w:t>
            </w:r>
          </w:p>
        </w:tc>
      </w:tr>
      <w:tr w:rsidR="008D109F" w14:paraId="483703D3" w14:textId="77777777">
        <w:tblPrEx>
          <w:tblCellMar>
            <w:top w:w="0" w:type="dxa"/>
            <w:bottom w:w="0" w:type="dxa"/>
          </w:tblCellMar>
        </w:tblPrEx>
        <w:tc>
          <w:tcPr>
            <w:tcW w:w="2200" w:type="dxa"/>
            <w:shd w:val="clear" w:color="auto" w:fill="EDEFEA"/>
            <w:tcMar>
              <w:top w:w="80" w:type="dxa"/>
              <w:left w:w="120" w:type="dxa"/>
              <w:bottom w:w="80" w:type="dxa"/>
              <w:right w:w="120" w:type="dxa"/>
            </w:tcMar>
          </w:tcPr>
          <w:p w14:paraId="287B749B" w14:textId="77777777" w:rsidR="008D109F" w:rsidRDefault="00000000">
            <w:r>
              <w:rPr>
                <w:b/>
                <w:bCs/>
              </w:rPr>
              <w:t>Data source</w:t>
            </w:r>
          </w:p>
        </w:tc>
        <w:tc>
          <w:tcPr>
            <w:tcW w:w="7700" w:type="dxa"/>
            <w:tcMar>
              <w:top w:w="80" w:type="dxa"/>
              <w:left w:w="120" w:type="dxa"/>
              <w:bottom w:w="80" w:type="dxa"/>
              <w:right w:w="120" w:type="dxa"/>
            </w:tcMar>
          </w:tcPr>
          <w:p w14:paraId="233520C6" w14:textId="77777777" w:rsidR="008D109F" w:rsidRDefault="00000000">
            <w:r>
              <w:t>Open University Learning Analytics Dataset (OULAD) — public, CC BY 4.0, 32,593 students across 22 course presentations.</w:t>
            </w:r>
          </w:p>
        </w:tc>
      </w:tr>
      <w:tr w:rsidR="008D109F" w14:paraId="5C17F498" w14:textId="77777777">
        <w:tblPrEx>
          <w:tblCellMar>
            <w:top w:w="0" w:type="dxa"/>
            <w:bottom w:w="0" w:type="dxa"/>
          </w:tblCellMar>
        </w:tblPrEx>
        <w:tc>
          <w:tcPr>
            <w:tcW w:w="2200" w:type="dxa"/>
            <w:shd w:val="clear" w:color="auto" w:fill="EDEFEA"/>
            <w:tcMar>
              <w:top w:w="80" w:type="dxa"/>
              <w:left w:w="120" w:type="dxa"/>
              <w:bottom w:w="80" w:type="dxa"/>
              <w:right w:w="120" w:type="dxa"/>
            </w:tcMar>
          </w:tcPr>
          <w:p w14:paraId="019AA2D4" w14:textId="77777777" w:rsidR="008D109F" w:rsidRDefault="00000000">
            <w:r>
              <w:rPr>
                <w:b/>
                <w:bCs/>
              </w:rPr>
              <w:t>Architecture</w:t>
            </w:r>
          </w:p>
        </w:tc>
        <w:tc>
          <w:tcPr>
            <w:tcW w:w="7700" w:type="dxa"/>
            <w:tcMar>
              <w:top w:w="80" w:type="dxa"/>
              <w:left w:w="120" w:type="dxa"/>
              <w:bottom w:w="80" w:type="dxa"/>
              <w:right w:w="120" w:type="dxa"/>
            </w:tcMar>
          </w:tcPr>
          <w:p w14:paraId="24654515" w14:textId="77777777" w:rsidR="008D109F" w:rsidRDefault="00000000">
            <w:r>
              <w:t>Python ingestion/detection scripts write to the database; the dashboard reads live via a REST API (or an exported data file), keeping write access separated from the browser-facing interface.</w:t>
            </w:r>
          </w:p>
        </w:tc>
      </w:tr>
    </w:tbl>
    <w:p w14:paraId="1E0F58E1" w14:textId="77777777" w:rsidR="008659C6" w:rsidRDefault="008659C6"/>
    <w:sectPr w:rsidR="008659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86C90"/>
    <w:multiLevelType w:val="hybridMultilevel"/>
    <w:tmpl w:val="5F4EB4F8"/>
    <w:lvl w:ilvl="0" w:tplc="3556B22C">
      <w:start w:val="1"/>
      <w:numFmt w:val="bullet"/>
      <w:lvlText w:val="●"/>
      <w:lvlJc w:val="left"/>
      <w:pPr>
        <w:ind w:left="720" w:hanging="360"/>
      </w:pPr>
    </w:lvl>
    <w:lvl w:ilvl="1" w:tplc="E3525B7A">
      <w:start w:val="1"/>
      <w:numFmt w:val="bullet"/>
      <w:lvlText w:val="○"/>
      <w:lvlJc w:val="left"/>
      <w:pPr>
        <w:ind w:left="1440" w:hanging="360"/>
      </w:pPr>
    </w:lvl>
    <w:lvl w:ilvl="2" w:tplc="C4245104">
      <w:start w:val="1"/>
      <w:numFmt w:val="bullet"/>
      <w:lvlText w:val="■"/>
      <w:lvlJc w:val="left"/>
      <w:pPr>
        <w:ind w:left="2160" w:hanging="360"/>
      </w:pPr>
    </w:lvl>
    <w:lvl w:ilvl="3" w:tplc="7B886D3E">
      <w:start w:val="1"/>
      <w:numFmt w:val="bullet"/>
      <w:lvlText w:val="●"/>
      <w:lvlJc w:val="left"/>
      <w:pPr>
        <w:ind w:left="2880" w:hanging="360"/>
      </w:pPr>
    </w:lvl>
    <w:lvl w:ilvl="4" w:tplc="78FE4688">
      <w:start w:val="1"/>
      <w:numFmt w:val="bullet"/>
      <w:lvlText w:val="○"/>
      <w:lvlJc w:val="left"/>
      <w:pPr>
        <w:ind w:left="3600" w:hanging="360"/>
      </w:pPr>
    </w:lvl>
    <w:lvl w:ilvl="5" w:tplc="2F5085AC">
      <w:start w:val="1"/>
      <w:numFmt w:val="bullet"/>
      <w:lvlText w:val="■"/>
      <w:lvlJc w:val="left"/>
      <w:pPr>
        <w:ind w:left="4320" w:hanging="360"/>
      </w:pPr>
    </w:lvl>
    <w:lvl w:ilvl="6" w:tplc="7E2A8320">
      <w:start w:val="1"/>
      <w:numFmt w:val="bullet"/>
      <w:lvlText w:val="●"/>
      <w:lvlJc w:val="left"/>
      <w:pPr>
        <w:ind w:left="5040" w:hanging="360"/>
      </w:pPr>
    </w:lvl>
    <w:lvl w:ilvl="7" w:tplc="E7B2484A">
      <w:start w:val="1"/>
      <w:numFmt w:val="bullet"/>
      <w:lvlText w:val="●"/>
      <w:lvlJc w:val="left"/>
      <w:pPr>
        <w:ind w:left="5760" w:hanging="360"/>
      </w:pPr>
    </w:lvl>
    <w:lvl w:ilvl="8" w:tplc="D4901F36">
      <w:start w:val="1"/>
      <w:numFmt w:val="bullet"/>
      <w:lvlText w:val="●"/>
      <w:lvlJc w:val="left"/>
      <w:pPr>
        <w:ind w:left="6480" w:hanging="360"/>
      </w:pPr>
    </w:lvl>
  </w:abstractNum>
  <w:num w:numId="1" w16cid:durableId="350184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09F"/>
    <w:rsid w:val="008659C6"/>
    <w:rsid w:val="008D109F"/>
    <w:rsid w:val="008E545E"/>
    <w:rsid w:val="00E7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11D7"/>
  <w15:docId w15:val="{62E508A4-42BE-430D-A16A-E8A09368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6d3b54-0d8d-4bfd-a2cb-b13b76d6acd6}" enabled="1" method="Standard" siteId="{94728e82-9ce4-4d91-99c9-4adbe58ed91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Tolulope Oladipo</cp:lastModifiedBy>
  <cp:revision>2</cp:revision>
  <dcterms:created xsi:type="dcterms:W3CDTF">2026-09-03T23:44:00Z</dcterms:created>
  <dcterms:modified xsi:type="dcterms:W3CDTF">2026-09-04T00:02:00Z</dcterms:modified>
</cp:coreProperties>
</file>