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60"/>
        <w:jc w:val="center"/>
      </w:pPr>
      <w:r>
        <w:rPr>
          <w:rFonts w:ascii="Arial" w:cs="Arial" w:eastAsia="Arial" w:hAnsi="Arial"/>
          <w:b/>
          <w:bCs/>
          <w:sz w:val="36"/>
          <w:szCs w:val="36"/>
        </w:rPr>
        <w:t xml:space="preserve">Blockchain-Backed UAV Flight Audit Log</w:t>
      </w:r>
    </w:p>
    <w:p>
      <w:pPr>
        <w:spacing w:after="80"/>
        <w:jc w:val="center"/>
      </w:pPr>
      <w:r>
        <w:rPr>
          <w:rFonts w:ascii="Arial" w:cs="Arial" w:eastAsia="Arial" w:hAnsi="Arial"/>
          <w:sz w:val="28"/>
          <w:szCs w:val="28"/>
        </w:rPr>
        <w:t xml:space="preserve">Technical Report</w:t>
      </w:r>
    </w:p>
    <w:p>
      <w:pPr>
        <w:spacing w:after="80"/>
        <w:jc w:val="center"/>
      </w:pPr>
      <w:r>
        <w:rPr>
          <w:rFonts w:ascii="Arial" w:cs="Arial" w:eastAsia="Arial" w:hAnsi="Arial"/>
          <w:sz w:val="22"/>
          <w:szCs w:val="22"/>
        </w:rPr>
        <w:t xml:space="preserve">City of Bloomington Drone Program</w:t>
      </w:r>
    </w:p>
    <w:p>
      <w:pPr>
        <w:spacing w:after="80"/>
        <w:jc w:val="center"/>
      </w:pPr>
      <w:r>
        <w:rPr>
          <w:rFonts w:ascii="Arial" w:cs="Arial" w:eastAsia="Arial" w:hAnsi="Arial"/>
          <w:i/>
          <w:iCs/>
          <w:color w:val="555555"/>
          <w:sz w:val="22"/>
          <w:szCs w:val="22"/>
        </w:rPr>
        <w:t xml:space="preserve">March 2026</w:t>
      </w:r>
    </w:p>
    <w:p>
      <w:pPr>
        <w:spacing w:after="0"/>
        <w:jc w:val="center"/>
      </w:pPr>
      <w:r>
        <w:rPr>
          <w:rFonts w:ascii="Arial" w:cs="Arial" w:eastAsia="Arial" w:hAnsi="Arial"/>
          <w:i/>
          <w:iCs/>
          <w:color w:val="777777"/>
          <w:sz w:val="20"/>
          <w:szCs w:val="20"/>
        </w:rPr>
        <w:t xml:space="preserve">Version 1.0.0</w:t>
      </w:r>
    </w:p>
    <w:p>
      <w:pPr>
        <w:spacing w:after="200"/>
      </w:pPr>
      <w:r>
        <w:t xml:space="preserve"/>
      </w:r>
    </w:p>
    <w:p>
      <w:pPr>
        <w:pBdr>
          <w:bottom w:val="single" w:color="AAAAAA" w:sz="4" w:space="1"/>
        </w:pBdr>
        <w:spacing w:after="240"/>
      </w:pPr>
      <w:r>
        <w:rPr>
          <w:rFonts w:ascii="Arial" w:cs="Arial" w:eastAsia="Arial" w:hAnsi="Arial"/>
        </w:rPr>
        <w:t xml:space="preserve"/>
      </w:r>
    </w:p>
    <w:p>
      <w:pPr>
        <w:pStyle w:val="Heading1"/>
        <w:spacing w:before="360" w:after="160"/>
      </w:pPr>
      <w:r>
        <w:rPr>
          <w:rFonts w:ascii="Arial" w:cs="Arial" w:eastAsia="Arial" w:hAnsi="Arial"/>
          <w:b/>
          <w:bCs/>
          <w:sz w:val="28"/>
          <w:szCs w:val="28"/>
        </w:rPr>
        <w:t xml:space="preserve">1. Introduction</w:t>
      </w:r>
    </w:p>
    <w:p>
      <w:pPr>
        <w:spacing w:after="160"/>
      </w:pPr>
      <w:r>
        <w:rPr>
          <w:rFonts w:ascii="Arial" w:cs="Arial" w:eastAsia="Arial" w:hAnsi="Arial"/>
          <w:sz w:val="22"/>
          <w:szCs w:val="22"/>
        </w:rPr>
        <w:t xml:space="preserve">This report documents the design and implementation of a blockchain-backed audit system for the City of Bloomington Unmanned Aerial Vehicle (UAV) flight program. The system ingests publicly available flight records, transforms them into canonically serialized transactions, signs them with an issuer identity, and anchors them into a custom proof-of-work blockchain. The resulting chain provides a tamper-evident, verifiable, and reproducible record of every logged drone operation.</w:t>
      </w:r>
    </w:p>
    <w:p>
      <w:pPr>
        <w:spacing w:after="160"/>
      </w:pPr>
      <w:r>
        <w:rPr>
          <w:rFonts w:ascii="Arial" w:cs="Arial" w:eastAsia="Arial" w:hAnsi="Arial"/>
          <w:sz w:val="22"/>
          <w:szCs w:val="22"/>
        </w:rPr>
        <w:t xml:space="preserve">The report covers four primary areas: the data model and canonicalization strategy that underpins hash reproducibility; the consensus mechanism and its associated threat model; a security analysis of the system's principal attack surfaces; and observed performance characteristics across key dimensions including block mining time and full-chain build duration.</w:t>
      </w:r>
    </w:p>
    <w:p>
      <w:pPr>
        <w:spacing w:after="160"/>
      </w:pPr>
      <w:r>
        <w:rPr>
          <w:rFonts w:ascii="Arial" w:cs="Arial" w:eastAsia="Arial" w:hAnsi="Arial"/>
          <w:sz w:val="22"/>
          <w:szCs w:val="22"/>
        </w:rPr>
        <w:t xml:space="preserve">The system was built from scratch on top of the anders94/blockchain-demo codebase — no blockchain framework was used. Standard cryptographic utilities (@noble/hashes, @noble/curves) were used as building blocks only.</w:t>
      </w:r>
    </w:p>
    <w:p>
      <w:pPr>
        <w:spacing w:after="100"/>
      </w:pPr>
      <w:r>
        <w:t xml:space="preserve"/>
      </w:r>
    </w:p>
    <w:p>
      <w:pPr>
        <w:pStyle w:val="Heading1"/>
        <w:spacing w:before="360" w:after="160"/>
      </w:pPr>
      <w:r>
        <w:rPr>
          <w:rFonts w:ascii="Arial" w:cs="Arial" w:eastAsia="Arial" w:hAnsi="Arial"/>
          <w:b/>
          <w:bCs/>
          <w:sz w:val="28"/>
          <w:szCs w:val="28"/>
        </w:rPr>
        <w:t xml:space="preserve">2. Data Model and Canonicalization</w:t>
      </w:r>
    </w:p>
    <w:p>
      <w:pPr>
        <w:pStyle w:val="Heading2"/>
        <w:spacing w:before="280" w:after="120"/>
      </w:pPr>
      <w:r>
        <w:rPr>
          <w:rFonts w:ascii="Arial" w:cs="Arial" w:eastAsia="Arial" w:hAnsi="Arial"/>
          <w:b/>
          <w:bCs/>
          <w:sz w:val="24"/>
          <w:szCs w:val="24"/>
        </w:rPr>
        <w:t xml:space="preserve">2.1 Source Dataset</w:t>
      </w:r>
    </w:p>
    <w:p>
      <w:pPr>
        <w:spacing w:after="160"/>
      </w:pPr>
      <w:r>
        <w:rPr>
          <w:rFonts w:ascii="Arial" w:cs="Arial" w:eastAsia="Arial" w:hAnsi="Arial"/>
          <w:sz w:val="22"/>
          <w:szCs w:val="22"/>
        </w:rPr>
        <w:t xml:space="preserve">The City of Bloomington publishes its UAV flight log as an open dataset through the Socrata platform (data.bloomington.in.gov). The dataset is available in XML, CSV, and JSON formats and is updated on a bi-monthly cadence. The implementation snapshot is dated July 24, 2024. The ingest pipeline supports all three formats via a command-line flag, with XML as the default.</w:t>
      </w:r>
    </w:p>
    <w:p>
      <w:pPr>
        <w:spacing w:after="160"/>
      </w:pPr>
      <w:r>
        <w:rPr>
          <w:rFonts w:ascii="Arial" w:cs="Arial" w:eastAsia="Arial" w:hAnsi="Arial"/>
          <w:sz w:val="22"/>
          <w:szCs w:val="22"/>
        </w:rPr>
        <w:t xml:space="preserve">The raw snapshot is downloaded once and cached under data/raw/ with a timestamped filename. A SHA-256 hash of the raw file is computed at ingest time and stored in data/raw/manifest.json. This hash is embedded into every derived transaction as the snapshot_hash field, permanently tying each on-chain record to the exact source snapshot from which it was produced.</w:t>
      </w:r>
    </w:p>
    <w:p>
      <w:pPr>
        <w:spacing w:after="80"/>
      </w:pPr>
      <w:r>
        <w:t xml:space="preserve"/>
      </w:r>
    </w:p>
    <w:p>
      <w:pPr>
        <w:pStyle w:val="Heading2"/>
        <w:spacing w:before="280" w:after="120"/>
      </w:pPr>
      <w:r>
        <w:rPr>
          <w:rFonts w:ascii="Arial" w:cs="Arial" w:eastAsia="Arial" w:hAnsi="Arial"/>
          <w:b/>
          <w:bCs/>
          <w:sz w:val="24"/>
          <w:szCs w:val="24"/>
        </w:rPr>
        <w:t xml:space="preserve">2.2 Canonical Transaction Schema</w:t>
      </w:r>
    </w:p>
    <w:p>
      <w:pPr>
        <w:spacing w:after="160"/>
      </w:pPr>
      <w:r>
        <w:rPr>
          <w:rFonts w:ascii="Arial" w:cs="Arial" w:eastAsia="Arial" w:hAnsi="Arial"/>
          <w:sz w:val="22"/>
          <w:szCs w:val="22"/>
        </w:rPr>
        <w:t xml:space="preserve">Each flight record is normalized into the following fixed schema before any hashing or signing occurs: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Field</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4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Source / Derivation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flight_id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Dataset _id field; fallback to row_&lt;index&gt;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 (ISO 8601 UTC)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Source date/time normalized to UTC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Direct field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drone_make_model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Direct field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faa_drone_reg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Direct field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pilot_certificate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Direct field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location_area_surveyed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Direct field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street_address_area_surveyed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Direct field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authorized_use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Direct field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source_url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Dataset endpoint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snapshot_hash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 (SHA-256 hex)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SHA-256 of raw snapshot file</w:t>
            </w:r>
          </w:p>
        </w:tc>
      </w:tr>
    </w:tbl>
    <w:p>
      <w:pPr>
        <w:spacing w:after="200"/>
      </w:pPr>
      <w:r>
        <w:t xml:space="preserve"/>
      </w:r>
    </w:p>
    <w:p>
      <w:pPr>
        <w:spacing w:after="160"/>
      </w:pPr>
      <w:r>
        <w:rPr>
          <w:rFonts w:ascii="Arial" w:cs="Arial" w:eastAsia="Arial" w:hAnsi="Arial"/>
          <w:sz w:val="22"/>
          <w:szCs w:val="22"/>
        </w:rPr>
        <w:t xml:space="preserve">The schema is deliberately flat. No nested objects are used. This is a design choice that simplifies both canonical serialization and future chain validation — there is no ambiguity about which level of nesting applies key-sorting rules.</w:t>
      </w:r>
    </w:p>
    <w:p>
      <w:pPr>
        <w:spacing w:after="160"/>
      </w:pPr>
      <w:r>
        <w:rPr>
          <w:rFonts w:ascii="Arial" w:cs="Arial" w:eastAsia="Arial" w:hAnsi="Arial"/>
          <w:sz w:val="22"/>
          <w:szCs w:val="22"/>
        </w:rPr>
        <w:t xml:space="preserve">Missing optional fields are written as null, never omitted. This guarantees that two normalizations of the same source record always produce JSON objects with the same set of keys, which is a prerequisite for hash reproducibility.</w:t>
      </w:r>
    </w:p>
    <w:p>
      <w:pPr>
        <w:spacing w:after="80"/>
      </w:pPr>
      <w:r>
        <w:t xml:space="preserve"/>
      </w:r>
    </w:p>
    <w:p>
      <w:pPr>
        <w:pStyle w:val="Heading2"/>
        <w:spacing w:before="280" w:after="120"/>
      </w:pPr>
      <w:r>
        <w:rPr>
          <w:rFonts w:ascii="Arial" w:cs="Arial" w:eastAsia="Arial" w:hAnsi="Arial"/>
          <w:b/>
          <w:bCs/>
          <w:sz w:val="24"/>
          <w:szCs w:val="24"/>
        </w:rPr>
        <w:t xml:space="preserve">2.3 Canonicalization Rules</w:t>
      </w:r>
    </w:p>
    <w:p>
      <w:pPr>
        <w:spacing w:after="160"/>
      </w:pPr>
      <w:r>
        <w:rPr>
          <w:rFonts w:ascii="Arial" w:cs="Arial" w:eastAsia="Arial" w:hAnsi="Arial"/>
          <w:sz w:val="22"/>
          <w:szCs w:val="22"/>
        </w:rPr>
        <w:t xml:space="preserve">Canonicalization is the process of producing a single, deterministic string representation of a transaction object so that the same record always hashes to the same value, regardless of when or where it is serialized. The following rules are enforced:</w:t>
      </w:r>
    </w:p>
    <w:p>
      <w:pPr>
        <w:spacing w:after="60"/>
      </w:pPr>
      <w:r>
        <w:t xml:space="preserve"/>
      </w:r>
    </w:p>
    <w:p>
      <w:pPr>
        <w:pStyle w:val="ListParagraph"/>
        <w:numPr>
          <w:ilvl w:val="0"/>
          <w:numId w:val="2"/>
        </w:numPr>
        <w:spacing w:after="80"/>
      </w:pPr>
      <w:r>
        <w:rPr>
          <w:rFonts w:ascii="Arial" w:cs="Arial" w:eastAsia="Arial" w:hAnsi="Arial"/>
          <w:sz w:val="22"/>
          <w:szCs w:val="22"/>
        </w:rPr>
        <w:t xml:space="preserve">Keys are sorted lexicographically at every level of the object. Because the schema is flat, this is a single-level sort.</w:t>
      </w:r>
    </w:p>
    <w:p>
      <w:pPr>
        <w:pStyle w:val="ListParagraph"/>
        <w:numPr>
          <w:ilvl w:val="0"/>
          <w:numId w:val="2"/>
        </w:numPr>
        <w:spacing w:after="80"/>
      </w:pPr>
      <w:r>
        <w:rPr>
          <w:rFonts w:ascii="Arial" w:cs="Arial" w:eastAsia="Arial" w:hAnsi="Arial"/>
          <w:sz w:val="22"/>
          <w:szCs w:val="22"/>
        </w:rPr>
        <w:t xml:space="preserve">The JSON string is produced with no indentation and no extra whitespace. This is equivalent to JSON.stringify(obj) with no formatting arguments.</w:t>
      </w:r>
    </w:p>
    <w:p>
      <w:pPr>
        <w:pStyle w:val="ListParagraph"/>
        <w:numPr>
          <w:ilvl w:val="0"/>
          <w:numId w:val="2"/>
        </w:numPr>
        <w:spacing w:after="80"/>
      </w:pPr>
      <w:r>
        <w:rPr>
          <w:rFonts w:ascii="Arial" w:cs="Arial" w:eastAsia="Arial" w:hAnsi="Arial"/>
          <w:sz w:val="22"/>
          <w:szCs w:val="22"/>
        </w:rPr>
        <w:t xml:space="preserve">All timestamps are normalized to ISO 8601 UTC (YYYY-MM-DDTHH:mm:ssZ) before serialization. Sources with no time component default to T00:00:00Z.</w:t>
      </w:r>
    </w:p>
    <w:p>
      <w:pPr>
        <w:pStyle w:val="ListParagraph"/>
        <w:numPr>
          <w:ilvl w:val="0"/>
          <w:numId w:val="2"/>
        </w:numPr>
        <w:spacing w:after="80"/>
      </w:pPr>
      <w:r>
        <w:rPr>
          <w:rFonts w:ascii="Arial" w:cs="Arial" w:eastAsia="Arial" w:hAnsi="Arial"/>
          <w:sz w:val="22"/>
          <w:szCs w:val="22"/>
        </w:rPr>
        <w:t xml:space="preserve">String fields are trimmed and internal whitespace is collapsed to a single space.</w:t>
      </w:r>
    </w:p>
    <w:p>
      <w:pPr>
        <w:pStyle w:val="ListParagraph"/>
        <w:numPr>
          <w:ilvl w:val="0"/>
          <w:numId w:val="2"/>
        </w:numPr>
        <w:spacing w:after="80"/>
      </w:pPr>
      <w:r>
        <w:rPr>
          <w:rFonts w:ascii="Arial" w:cs="Arial" w:eastAsia="Arial" w:hAnsi="Arial"/>
          <w:sz w:val="22"/>
          <w:szCs w:val="22"/>
        </w:rPr>
        <w:t xml:space="preserve">Null fields are explicitly included as "field": null.</w:t>
      </w:r>
    </w:p>
    <w:p>
      <w:pPr>
        <w:spacing w:after="120"/>
      </w:pPr>
      <w:r>
        <w:t xml:space="preserve"/>
      </w:r>
    </w:p>
    <w:p>
      <w:pPr>
        <w:spacing w:after="160"/>
      </w:pPr>
      <w:r>
        <w:rPr>
          <w:rFonts w:ascii="Arial" w:cs="Arial" w:eastAsia="Arial" w:hAnsi="Arial"/>
          <w:sz w:val="22"/>
          <w:szCs w:val="22"/>
        </w:rPr>
        <w:t xml:space="preserve">The canonical JSON string is the sole input to the transaction hash function: txHash = SHA-256(canonicalJsonString). The hash is produced as a lowercase hex-encoded 64-character string.</w:t>
      </w:r>
    </w:p>
    <w:p>
      <w:pPr>
        <w:spacing w:after="160"/>
      </w:pPr>
      <w:r>
        <w:rPr>
          <w:rFonts w:ascii="Arial" w:cs="Arial" w:eastAsia="Arial" w:hAnsi="Arial"/>
          <w:sz w:val="22"/>
          <w:szCs w:val="22"/>
        </w:rPr>
        <w:t xml:space="preserve">One implementation note from the build: the Bloomington XML endpoint uses mixed naming conventions depending on the endpoint format, including snake_case, Title Case, and camelCase variants of the same field names across different download formats. The normalizer maps all three conventions to the canonical schema. This was caught during field-mapping development and is documented in docs/data_dictionary.md.</w:t>
      </w:r>
    </w:p>
    <w:p>
      <w:pPr>
        <w:spacing w:after="80"/>
      </w:pPr>
      <w:r>
        <w:t xml:space="preserve"/>
      </w:r>
    </w:p>
    <w:p>
      <w:pPr>
        <w:pStyle w:val="Heading2"/>
        <w:spacing w:before="280" w:after="120"/>
      </w:pPr>
      <w:r>
        <w:rPr>
          <w:rFonts w:ascii="Arial" w:cs="Arial" w:eastAsia="Arial" w:hAnsi="Arial"/>
          <w:b/>
          <w:bCs/>
          <w:sz w:val="24"/>
          <w:szCs w:val="24"/>
        </w:rPr>
        <w:t xml:space="preserve">2.4 Block Structure</w:t>
      </w:r>
    </w:p>
    <w:p>
      <w:pPr>
        <w:spacing w:after="160"/>
      </w:pPr>
      <w:r>
        <w:rPr>
          <w:rFonts w:ascii="Arial" w:cs="Arial" w:eastAsia="Arial" w:hAnsi="Arial"/>
          <w:sz w:val="22"/>
          <w:szCs w:val="22"/>
        </w:rPr>
        <w:t xml:space="preserve">Each block contains the following header fields. The block hash is a SHA-256 digest of all header fields concatenated in the order specified below: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Field</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Sequential block number; genesis = 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 (ISO 8601 UTC)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Time of mining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prevHash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 (SHA-256 hex)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Hash of preceding block header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Incremented during proof-of-work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difficulty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Required leading hex zeros in blockHash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merkleRoot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 (SHA-256 hex)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Merkle root of all txHashes in block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txCount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Number of transactions in block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blockHash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 (SHA-256 hex)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SHA-256(index+timestamp+prevHash+nonce+difficulty+merkleRoot+txCount)</w:t>
            </w:r>
          </w:p>
        </w:tc>
      </w:tr>
    </w:tbl>
    <w:p>
      <w:pPr>
        <w:spacing w:after="200"/>
      </w:pPr>
      <w:r>
        <w:t xml:space="preserve"/>
      </w:r>
    </w:p>
    <w:p>
      <w:pPr>
        <w:spacing w:after="160"/>
      </w:pPr>
      <w:r>
        <w:rPr>
          <w:rFonts w:ascii="Arial" w:cs="Arial" w:eastAsia="Arial" w:hAnsi="Arial"/>
          <w:sz w:val="22"/>
          <w:szCs w:val="22"/>
        </w:rPr>
        <w:t xml:space="preserve">The concatenation order for blockHash computation is documented in docs/data_dictionary.md and must be treated as a protocol constant. Any deviation produces a different hash and breaks chain validation.</w:t>
      </w:r>
    </w:p>
    <w:p>
      <w:pPr>
        <w:spacing w:after="80"/>
      </w:pPr>
      <w:r>
        <w:t xml:space="preserve"/>
      </w:r>
    </w:p>
    <w:p>
      <w:pPr>
        <w:pStyle w:val="Heading2"/>
        <w:spacing w:before="280" w:after="120"/>
      </w:pPr>
      <w:r>
        <w:rPr>
          <w:rFonts w:ascii="Arial" w:cs="Arial" w:eastAsia="Arial" w:hAnsi="Arial"/>
          <w:b/>
          <w:bCs/>
          <w:sz w:val="24"/>
          <w:szCs w:val="24"/>
        </w:rPr>
        <w:t xml:space="preserve">2.5 Merkle Tree</w:t>
      </w:r>
    </w:p>
    <w:p>
      <w:pPr>
        <w:spacing w:after="160"/>
      </w:pPr>
      <w:r>
        <w:rPr>
          <w:rFonts w:ascii="Arial" w:cs="Arial" w:eastAsia="Arial" w:hAnsi="Arial"/>
          <w:sz w:val="22"/>
          <w:szCs w:val="22"/>
        </w:rPr>
        <w:t xml:space="preserve">Each block stores a Merkle root computed from the SHA-256 hashes of all transactions included in that block. The tree uses standard binary Merkle construction: leaves are transaction hashes; nodes are SHA-256 digests of their two children concatenated. If the number of leaves at any level is odd, the last leaf is duplicated before hashing.</w:t>
      </w:r>
    </w:p>
    <w:p>
      <w:pPr>
        <w:spacing w:after="160"/>
      </w:pPr>
      <w:r>
        <w:rPr>
          <w:rFonts w:ascii="Arial" w:cs="Arial" w:eastAsia="Arial" w:hAnsi="Arial"/>
          <w:sz w:val="22"/>
          <w:szCs w:val="22"/>
        </w:rPr>
        <w:t xml:space="preserve">Two functions are exposed: getMerkleProof(txHash) returns an ordered array of { hash, direction } sibling nodes tracing the path from the target leaf to the root. verifyMerkleProof(txHash, proof, merkleRoot) recomputes the root by walking the proof path and returns true or false. These functions are independently unit-tested against known Merkle trees before integration with the chain.</w:t>
      </w:r>
    </w:p>
    <w:p>
      <w:pPr>
        <w:spacing w:after="160"/>
      </w:pPr>
      <w:r>
        <w:rPr>
          <w:rFonts w:ascii="Arial" w:cs="Arial" w:eastAsia="Arial" w:hAnsi="Arial"/>
          <w:sz w:val="22"/>
          <w:szCs w:val="22"/>
        </w:rPr>
        <w:t xml:space="preserve">During development, a direction assignment bug (left/right assignment in proof generation) was identified through isolated fixture testing of the Merkle module. This confirms the value of building and testing this module before touching any chain code.</w:t>
      </w:r>
    </w:p>
    <w:p>
      <w:pPr>
        <w:spacing w:after="100"/>
      </w:pPr>
      <w:r>
        <w:t xml:space="preserve"/>
      </w:r>
    </w:p>
    <w:p>
      <w:pPr>
        <w:pStyle w:val="Heading1"/>
        <w:spacing w:before="360" w:after="160"/>
      </w:pPr>
      <w:r>
        <w:rPr>
          <w:rFonts w:ascii="Arial" w:cs="Arial" w:eastAsia="Arial" w:hAnsi="Arial"/>
          <w:b/>
          <w:bCs/>
          <w:sz w:val="28"/>
          <w:szCs w:val="28"/>
        </w:rPr>
        <w:t xml:space="preserve">3. Consensus Choice and Threat Model</w:t>
      </w:r>
    </w:p>
    <w:p>
      <w:pPr>
        <w:pStyle w:val="Heading2"/>
        <w:spacing w:before="280" w:after="120"/>
      </w:pPr>
      <w:r>
        <w:rPr>
          <w:rFonts w:ascii="Arial" w:cs="Arial" w:eastAsia="Arial" w:hAnsi="Arial"/>
          <w:b/>
          <w:bCs/>
          <w:sz w:val="24"/>
          <w:szCs w:val="24"/>
        </w:rPr>
        <w:t xml:space="preserve">3.1 Consensus Mechanism</w:t>
      </w:r>
    </w:p>
    <w:p>
      <w:pPr>
        <w:spacing w:after="160"/>
      </w:pPr>
      <w:r>
        <w:rPr>
          <w:rFonts w:ascii="Arial" w:cs="Arial" w:eastAsia="Arial" w:hAnsi="Arial"/>
          <w:sz w:val="22"/>
          <w:szCs w:val="22"/>
        </w:rPr>
        <w:t xml:space="preserve">The system uses Nakamoto-style Proof-of-Work (PoW) consensus. A block is considered valid only if its SHA-256 blockHash has a number of leading hexadecimal zeros equal to or greater than the current difficulty setting. The miner increments a nonce field until this condition is satisfied.</w:t>
      </w:r>
    </w:p>
    <w:p>
      <w:pPr>
        <w:spacing w:after="160"/>
      </w:pPr>
      <w:r>
        <w:rPr>
          <w:rFonts w:ascii="Arial" w:cs="Arial" w:eastAsia="Arial" w:hAnsi="Arial"/>
          <w:sz w:val="22"/>
          <w:szCs w:val="22"/>
        </w:rPr>
        <w:t xml:space="preserve">For the demonstration deployment, difficulty is set to 3 (three leading hex zeros). This equates to a target space of approximately 1 in 4,096 hashes, producing sub-second block times on typical hardware. The implementation supports a dynamic difficulty adjustment mechanism (FR-B08 bonus item) that retargets every RETARGET_INTERVAL blocks toward a TARGET_BLOCK_TIME_MS setting configured via environment variable. The genesis block uses a fixed timestamp for reproducibility and is excluded from retargeting calculations.</w:t>
      </w:r>
    </w:p>
    <w:p>
      <w:pPr>
        <w:spacing w:after="80"/>
      </w:pPr>
      <w:r>
        <w:t xml:space="preserve"/>
      </w:r>
    </w:p>
    <w:p>
      <w:pPr>
        <w:pStyle w:val="Heading2"/>
        <w:spacing w:before="280" w:after="120"/>
      </w:pPr>
      <w:r>
        <w:rPr>
          <w:rFonts w:ascii="Arial" w:cs="Arial" w:eastAsia="Arial" w:hAnsi="Arial"/>
          <w:b/>
          <w:bCs/>
          <w:sz w:val="24"/>
          <w:szCs w:val="24"/>
        </w:rPr>
        <w:t xml:space="preserve">3.2 Fork Choice Rule</w:t>
      </w:r>
    </w:p>
    <w:p>
      <w:pPr>
        <w:spacing w:after="160"/>
      </w:pPr>
      <w:r>
        <w:rPr>
          <w:rFonts w:ascii="Arial" w:cs="Arial" w:eastAsia="Arial" w:hAnsi="Arial"/>
          <w:sz w:val="22"/>
          <w:szCs w:val="22"/>
        </w:rPr>
        <w:t xml:space="preserve">The system implements a longest-chain rule for fork resolution. When a node receives a candidate chain from a peer that is longer than its current chain, it validates the candidate chain in full (prevHash links, PoW, Merkle roots, all signatures) and replaces its local chain if validation passes. The chain with more blocks wins.</w:t>
      </w:r>
    </w:p>
    <w:p>
      <w:pPr>
        <w:spacing w:after="160"/>
      </w:pPr>
      <w:r>
        <w:rPr>
          <w:rFonts w:ascii="Arial" w:cs="Arial" w:eastAsia="Arial" w:hAnsi="Arial"/>
          <w:sz w:val="22"/>
          <w:szCs w:val="22"/>
        </w:rPr>
        <w:t xml:space="preserve">One implementation subtlety encountered during P2P development: the replaceChain() function initially instantiated a temporary Blockchain object to validate foreign chains, which triggered signature verification against an empty transaction index. The fix separates structural validation (prevHash, PoW, Merkle) from signature validation and passes the source transaction index as an optional parameter when available.</w:t>
      </w:r>
    </w:p>
    <w:p>
      <w:pPr>
        <w:spacing w:after="160"/>
      </w:pPr>
      <w:r>
        <w:rPr>
          <w:rFonts w:ascii="Arial" w:cs="Arial" w:eastAsia="Arial" w:hAnsi="Arial"/>
          <w:sz w:val="22"/>
          <w:szCs w:val="22"/>
        </w:rPr>
        <w:t xml:space="preserve">Heaviest-chain (cumulative work) resolution is a documented extension option but was not implemented in this version. For the demonstration dataset and three-node simulation, longest-chain is functionally equivalent.</w:t>
      </w:r>
    </w:p>
    <w:p>
      <w:pPr>
        <w:spacing w:after="80"/>
      </w:pPr>
      <w:r>
        <w:t xml:space="preserve"/>
      </w:r>
    </w:p>
    <w:p>
      <w:pPr>
        <w:pStyle w:val="Heading2"/>
        <w:spacing w:before="280" w:after="120"/>
      </w:pPr>
      <w:r>
        <w:rPr>
          <w:rFonts w:ascii="Arial" w:cs="Arial" w:eastAsia="Arial" w:hAnsi="Arial"/>
          <w:b/>
          <w:bCs/>
          <w:sz w:val="24"/>
          <w:szCs w:val="24"/>
        </w:rPr>
        <w:t xml:space="preserve">3.3 Threat Model</w:t>
      </w:r>
    </w:p>
    <w:p>
      <w:pPr>
        <w:spacing w:after="160"/>
      </w:pPr>
      <w:r>
        <w:rPr>
          <w:rFonts w:ascii="Arial" w:cs="Arial" w:eastAsia="Arial" w:hAnsi="Arial"/>
          <w:sz w:val="22"/>
          <w:szCs w:val="22"/>
        </w:rPr>
        <w:t xml:space="preserve">The threat model for this system assumes a civic audit context: the primary adversary is an insider attempting to modify historical flight records, either to conceal unauthorized drone operations or to dispute liability after an incident. The secondary adversary is an external party attempting to forge new records.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Threat</w:t>
            </w:r>
          </w:p>
        </w:tc>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Actor</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4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Mitigation in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Record tampering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Insider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txHash re-derived on every validateChain() pass; any field change breaks the hash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Forged records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External / Insider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Transactions require valid CityIssuer Ed25519 signature; unsigned txs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Chain replacement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Network attacker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Requires outpacing the honest chain (&gt;50% hash power for sustained period)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Replay attack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External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snapshot_hash field ties each tx to a specific dataset snapshot; cross-chain replays detectable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Key compromise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Insider / Credential theft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Key rotation procedure documented; old blocks remain valid; new blocks require new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Eclipse / Sybil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Network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Low (demo scope)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mitigated in the 3-node demo; a future implementation could address this with peer authentication</w:t>
            </w:r>
          </w:p>
        </w:tc>
      </w:tr>
    </w:tbl>
    <w:p>
      <w:pPr>
        <w:spacing w:after="200"/>
      </w:pPr>
      <w:r>
        <w:t xml:space="preserve"/>
      </w:r>
    </w:p>
    <w:p>
      <w:pPr>
        <w:spacing w:after="100"/>
      </w:pPr>
      <w:r>
        <w:t xml:space="preserve"/>
      </w:r>
    </w:p>
    <w:p>
      <w:pPr>
        <w:pStyle w:val="Heading1"/>
        <w:spacing w:before="360" w:after="160"/>
      </w:pPr>
      <w:r>
        <w:rPr>
          <w:rFonts w:ascii="Arial" w:cs="Arial" w:eastAsia="Arial" w:hAnsi="Arial"/>
          <w:b/>
          <w:bCs/>
          <w:sz w:val="28"/>
          <w:szCs w:val="28"/>
        </w:rPr>
        <w:t xml:space="preserve">4. Security Analysis</w:t>
      </w:r>
    </w:p>
    <w:p>
      <w:pPr>
        <w:pStyle w:val="Heading2"/>
        <w:spacing w:before="280" w:after="120"/>
      </w:pPr>
      <w:r>
        <w:rPr>
          <w:rFonts w:ascii="Arial" w:cs="Arial" w:eastAsia="Arial" w:hAnsi="Arial"/>
          <w:b/>
          <w:bCs/>
          <w:sz w:val="24"/>
          <w:szCs w:val="24"/>
        </w:rPr>
        <w:t xml:space="preserve">4.1 Tamper Detection</w:t>
      </w:r>
    </w:p>
    <w:p>
      <w:pPr>
        <w:spacing w:after="160"/>
      </w:pPr>
      <w:r>
        <w:rPr>
          <w:rFonts w:ascii="Arial" w:cs="Arial" w:eastAsia="Arial" w:hAnsi="Arial"/>
          <w:sz w:val="22"/>
          <w:szCs w:val="22"/>
        </w:rPr>
        <w:t xml:space="preserve">The tamper detection guarantee is implemented at two layers. The first is the transaction hash: txHash is computed as SHA-256 of the canonical JSON string of the transaction's core fields. This hash is stored on-chain inside the block's Merkle tree and is recomputed from content on every validation pass. The second is the Merkle root: the block header stores the Merkle root of all txHashes, and validateChain() recomputes this root and compares it against the stored value.</w:t>
      </w:r>
    </w:p>
    <w:p>
      <w:pPr>
        <w:spacing w:after="160"/>
      </w:pPr>
      <w:r>
        <w:rPr>
          <w:rFonts w:ascii="Arial" w:cs="Arial" w:eastAsia="Arial" w:hAnsi="Arial"/>
          <w:sz w:val="22"/>
          <w:szCs w:val="22"/>
        </w:rPr>
        <w:t xml:space="preserve">Beyond the literal specification, the implementation adds a third layer: validateChain() strips issuerPublicKey and signature from the transaction object before recomputing txHash, then compares the result against the stored txHash value. This means that mutating any content field — including a single character in any string — breaks validation regardless of whether the signature over the hash is intact. The tamper guarantee is therefore not contingent on the signature check passing; it is independently enforced by hash re-derivation.</w:t>
      </w:r>
    </w:p>
    <w:p>
      <w:pPr>
        <w:spacing w:after="160"/>
      </w:pPr>
      <w:r>
        <w:rPr>
          <w:rFonts w:ascii="Arial" w:cs="Arial" w:eastAsia="Arial" w:hAnsi="Arial"/>
          <w:sz w:val="22"/>
          <w:szCs w:val="22"/>
        </w:rPr>
        <w:t xml:space="preserve">The practical consequence: any modification to chain.json, the on-disk chain state, can be detected by restarting the server and issuing a POST /verify request. The response will return FAIL with reason "Transaction content has been tampered" for any tx whose current content does not match its stored hash.</w:t>
      </w:r>
    </w:p>
    <w:p>
      <w:pPr>
        <w:spacing w:after="80"/>
      </w:pPr>
      <w:r>
        <w:t xml:space="preserve"/>
      </w:r>
    </w:p>
    <w:p>
      <w:pPr>
        <w:pStyle w:val="Heading2"/>
        <w:spacing w:before="280" w:after="120"/>
      </w:pPr>
      <w:r>
        <w:rPr>
          <w:rFonts w:ascii="Arial" w:cs="Arial" w:eastAsia="Arial" w:hAnsi="Arial"/>
          <w:b/>
          <w:bCs/>
          <w:sz w:val="24"/>
          <w:szCs w:val="24"/>
        </w:rPr>
        <w:t xml:space="preserve">4.2 Replay Attack Resistance</w:t>
      </w:r>
    </w:p>
    <w:p>
      <w:pPr>
        <w:spacing w:after="160"/>
      </w:pPr>
      <w:r>
        <w:rPr>
          <w:rFonts w:ascii="Arial" w:cs="Arial" w:eastAsia="Arial" w:hAnsi="Arial"/>
          <w:sz w:val="22"/>
          <w:szCs w:val="22"/>
        </w:rPr>
        <w:t xml:space="preserve">A replay attack in this context is the insertion of a legitimately signed transaction from one chain instance into a different chain instance, or the re-submission of an old transaction to pad a new chain. The primary mitigation is the snapshot_hash field embedded in every canonical transaction. This field contains the SHA-256 hash of the raw dataset snapshot file from which the transaction was derived.</w:t>
      </w:r>
    </w:p>
    <w:p>
      <w:pPr>
        <w:spacing w:after="160"/>
      </w:pPr>
      <w:r>
        <w:rPr>
          <w:rFonts w:ascii="Arial" w:cs="Arial" w:eastAsia="Arial" w:hAnsi="Arial"/>
          <w:sz w:val="22"/>
          <w:szCs w:val="22"/>
        </w:rPr>
        <w:t xml:space="preserve">Because different ingestion runs against different snapshot files will produce different snapshot_hash values, and because snapshot_hash is part of the canonical JSON that feeds into txHash, transactions from a different ingest run are structurally distinguishable. A validator auditing the chain can verify that the snapshot_hash in each transaction matches the known manifest entry for the ingestion that produced the chain.</w:t>
      </w:r>
    </w:p>
    <w:p>
      <w:pPr>
        <w:spacing w:after="160"/>
      </w:pPr>
      <w:r>
        <w:rPr>
          <w:rFonts w:ascii="Arial" w:cs="Arial" w:eastAsia="Arial" w:hAnsi="Arial"/>
          <w:sz w:val="22"/>
          <w:szCs w:val="22"/>
        </w:rPr>
        <w:t xml:space="preserve">This is not a cryptographic replay protection in the strict protocol sense — there is no chain-specific nonce or domain separator per transaction. For the scope of this demonstration, snapshot binding is considered sufficient. A natural extension worth exploring would be adding a chainId or genesis hash reference to each transaction to further strengthen cross-chain replay resistance.</w:t>
      </w:r>
    </w:p>
    <w:p>
      <w:pPr>
        <w:spacing w:after="80"/>
      </w:pPr>
      <w:r>
        <w:t xml:space="preserve"/>
      </w:r>
    </w:p>
    <w:p>
      <w:pPr>
        <w:pStyle w:val="Heading2"/>
        <w:spacing w:before="280" w:after="120"/>
      </w:pPr>
      <w:r>
        <w:rPr>
          <w:rFonts w:ascii="Arial" w:cs="Arial" w:eastAsia="Arial" w:hAnsi="Arial"/>
          <w:b/>
          <w:bCs/>
          <w:sz w:val="24"/>
          <w:szCs w:val="24"/>
        </w:rPr>
        <w:t xml:space="preserve">4.3 Key Compromise</w:t>
      </w:r>
    </w:p>
    <w:p>
      <w:pPr>
        <w:spacing w:after="160"/>
      </w:pPr>
      <w:r>
        <w:rPr>
          <w:rFonts w:ascii="Arial" w:cs="Arial" w:eastAsia="Arial" w:hAnsi="Arial"/>
          <w:sz w:val="22"/>
          <w:szCs w:val="22"/>
        </w:rPr>
        <w:t xml:space="preserve">The system defines two key roles. The CityIssuer keypair signs all official flight transactions. The Auditor keypair can verify and countersign audit events. Both are generated using Ed25519 via the @noble/curves library.</w:t>
      </w:r>
    </w:p>
    <w:p>
      <w:pPr>
        <w:spacing w:after="160"/>
      </w:pPr>
      <w:r>
        <w:rPr>
          <w:rFonts w:ascii="Arial" w:cs="Arial" w:eastAsia="Arial" w:hAnsi="Arial"/>
          <w:sz w:val="22"/>
          <w:szCs w:val="22"/>
        </w:rPr>
        <w:t xml:space="preserve">Ed25519 was chosen over P-256 (ECDSA) for the following reasons: the signing and verification operations are approximately 2-4x faster; the key and signature sizes are smaller (32-byte keys, 64-byte signatures vs. 64-byte keys, 70-72 byte DER signatures for P-256); and the algorithm is immune to the nonce-reuse vulnerability that affects ECDSA (a repeated or predictable nonce in ECDSA leaks the private key; Ed25519 uses deterministic nonces derived from the message).</w:t>
      </w:r>
    </w:p>
    <w:p>
      <w:pPr>
        <w:spacing w:after="160"/>
      </w:pPr>
      <w:r>
        <w:rPr>
          <w:rFonts w:ascii="Arial" w:cs="Arial" w:eastAsia="Arial" w:hAnsi="Arial"/>
          <w:sz w:val="22"/>
          <w:szCs w:val="22"/>
        </w:rPr>
        <w:t xml:space="preserve">In the event of CityIssuer key compromise, the documented rotation procedure is as follows: generate a new CityIssuer keypair using scripts/keygen.js; publish the new public key through the same out-of-band channel used for the original; re-ingest and re-sign all future records with the new key. Existing blocks signed with the old key remain valid because validateChain() verifies each transaction against the issuerPublicKey embedded in that transaction, not against a single global trusted key.</w:t>
      </w:r>
    </w:p>
    <w:p>
      <w:pPr>
        <w:spacing w:after="160"/>
      </w:pPr>
      <w:r>
        <w:rPr>
          <w:rFonts w:ascii="Arial" w:cs="Arial" w:eastAsia="Arial" w:hAnsi="Arial"/>
          <w:sz w:val="22"/>
          <w:szCs w:val="22"/>
        </w:rPr>
        <w:t xml:space="preserve">The risk of this design is that a compromised old key could be used to forge historical backdated transactions if an attacker also gains write access to the chain state. Future extensions worth noting include maintaining an append-only audit log of key publication events and considering a certificate transparency model for key history if the chain were deployed beyond the demo context.</w:t>
      </w:r>
    </w:p>
    <w:p>
      <w:pPr>
        <w:spacing w:after="160"/>
      </w:pPr>
      <w:r>
        <w:rPr>
          <w:rFonts w:ascii="Arial" w:cs="Arial" w:eastAsia="Arial" w:hAnsi="Arial"/>
          <w:sz w:val="22"/>
          <w:szCs w:val="22"/>
        </w:rPr>
        <w:t xml:space="preserve">Private keys are never written to disk by the key generation script — they are printed to stdout only, consistent with a workflow where the operator immediately writes the key to a secrets manager. The keys/ directory is gitignored, and .env.example documents the expected environment variable names without values.</w:t>
      </w:r>
    </w:p>
    <w:p>
      <w:pPr>
        <w:spacing w:after="80"/>
      </w:pPr>
      <w:r>
        <w:t xml:space="preserve"/>
      </w:r>
    </w:p>
    <w:p>
      <w:pPr>
        <w:pStyle w:val="Heading2"/>
        <w:spacing w:before="280" w:after="120"/>
      </w:pPr>
      <w:r>
        <w:rPr>
          <w:rFonts w:ascii="Arial" w:cs="Arial" w:eastAsia="Arial" w:hAnsi="Arial"/>
          <w:b/>
          <w:bCs/>
          <w:sz w:val="24"/>
          <w:szCs w:val="24"/>
        </w:rPr>
        <w:t xml:space="preserve">4.4 P2P Network Security</w:t>
      </w:r>
    </w:p>
    <w:p>
      <w:pPr>
        <w:spacing w:after="160"/>
      </w:pPr>
      <w:r>
        <w:rPr>
          <w:rFonts w:ascii="Arial" w:cs="Arial" w:eastAsia="Arial" w:hAnsi="Arial"/>
          <w:sz w:val="22"/>
          <w:szCs w:val="22"/>
        </w:rPr>
        <w:t xml:space="preserve">The three-node simulation uses WebSocket connections between nodes. In the current implementation, there is no authentication between nodes: any process that knows a node's port and message protocol can connect and submit blocks. For the purposes of a local simulation demonstrating fork resolution, this is acceptable.</w:t>
      </w:r>
    </w:p>
    <w:p>
      <w:pPr>
        <w:spacing w:after="160"/>
      </w:pPr>
      <w:r>
        <w:rPr>
          <w:rFonts w:ascii="Arial" w:cs="Arial" w:eastAsia="Arial" w:hAnsi="Arial"/>
          <w:sz w:val="22"/>
          <w:szCs w:val="22"/>
        </w:rPr>
        <w:t xml:space="preserve">For the purposes of the local simulation demonstrating fork resolution, the absence of node authentication is acceptable. A natural direction for extending the P2P layer would be mutual TLS authentication between node operators, rate limiting on block submission, and validation of node identity before processing inbound chains. The existing validateChain() function provides the content-level security guarantee; transport-level identity binding would be the logical next layer.</w:t>
      </w:r>
    </w:p>
    <w:p>
      <w:pPr>
        <w:spacing w:after="100"/>
      </w:pPr>
      <w:r>
        <w:t xml:space="preserve"/>
      </w:r>
    </w:p>
    <w:p>
      <w:pPr>
        <w:pStyle w:val="Heading1"/>
        <w:spacing w:before="360" w:after="160"/>
      </w:pPr>
      <w:r>
        <w:rPr>
          <w:rFonts w:ascii="Arial" w:cs="Arial" w:eastAsia="Arial" w:hAnsi="Arial"/>
          <w:b/>
          <w:bCs/>
          <w:sz w:val="28"/>
          <w:szCs w:val="28"/>
        </w:rPr>
        <w:t xml:space="preserve">5. Performance Metrics</w:t>
      </w:r>
    </w:p>
    <w:p>
      <w:pPr>
        <w:pStyle w:val="Heading2"/>
        <w:spacing w:before="280" w:after="120"/>
      </w:pPr>
      <w:r>
        <w:rPr>
          <w:rFonts w:ascii="Arial" w:cs="Arial" w:eastAsia="Arial" w:hAnsi="Arial"/>
          <w:b/>
          <w:bCs/>
          <w:sz w:val="24"/>
          <w:szCs w:val="24"/>
        </w:rPr>
        <w:t xml:space="preserve">5.1 Methodology</w:t>
      </w:r>
    </w:p>
    <w:p>
      <w:pPr>
        <w:spacing w:after="160"/>
      </w:pPr>
      <w:r>
        <w:rPr>
          <w:rFonts w:ascii="Arial" w:cs="Arial" w:eastAsia="Arial" w:hAnsi="Arial"/>
          <w:sz w:val="22"/>
          <w:szCs w:val="22"/>
        </w:rPr>
        <w:t xml:space="preserve">Performance measurements are representative order-of-magnitude benchmarks intended to characterize system behavior for the demonstration scenario. The dataset snapshot contains a fixed number of records and the chain is built in a single sequential ingest-and-mine pass.</w:t>
      </w:r>
    </w:p>
    <w:p>
      <w:pPr>
        <w:spacing w:after="80"/>
      </w:pPr>
      <w:r>
        <w:t xml:space="preserve"/>
      </w:r>
    </w:p>
    <w:p>
      <w:pPr>
        <w:pStyle w:val="Heading2"/>
        <w:spacing w:before="280" w:after="120"/>
      </w:pPr>
      <w:r>
        <w:rPr>
          <w:rFonts w:ascii="Arial" w:cs="Arial" w:eastAsia="Arial" w:hAnsi="Arial"/>
          <w:b/>
          <w:bCs/>
          <w:sz w:val="24"/>
          <w:szCs w:val="24"/>
        </w:rPr>
        <w:t xml:space="preserve">5.2 Block Mining Time vs. Difficulty</w:t>
      </w:r>
    </w:p>
    <w:p>
      <w:pPr>
        <w:spacing w:after="160"/>
      </w:pPr>
      <w:r>
        <w:rPr>
          <w:rFonts w:ascii="Arial" w:cs="Arial" w:eastAsia="Arial" w:hAnsi="Arial"/>
          <w:sz w:val="22"/>
          <w:szCs w:val="22"/>
        </w:rPr>
        <w:t xml:space="preserve">Block mining time is the dominant variable in chain build performance. The following table shows representative mining times at each difficulty level tested, expressed as approximate averages across multiple blocks on mid-range hardware (2023-era laptop, Node.js single-threaded execution):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400"/>
        <w:gridCol w:w="3200"/>
      </w:tblGrid>
      <w:tr>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Difficulty</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Leading Zeros Required</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Search Space (approx.)</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Avg. Mining Time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hex zero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in 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&lt; 1 ms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 hex zeros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in 256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&lt; 5 ms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 hex zeros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in 4,096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 – 50 ms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 hex zeros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in 65,536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80 – 800 ms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 hex zeros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in 1,048,576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 10 seconds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 hex zeros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in 16,777,216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15 – 150 seconds</w:t>
            </w:r>
          </w:p>
        </w:tc>
      </w:tr>
    </w:tbl>
    <w:p>
      <w:pPr>
        <w:spacing w:after="200"/>
      </w:pPr>
      <w:r>
        <w:t xml:space="preserve"/>
      </w:r>
    </w:p>
    <w:p>
      <w:pPr>
        <w:spacing w:after="160"/>
      </w:pPr>
      <w:r>
        <w:rPr>
          <w:rFonts w:ascii="Arial" w:cs="Arial" w:eastAsia="Arial" w:hAnsi="Arial"/>
          <w:sz w:val="22"/>
          <w:szCs w:val="22"/>
        </w:rPr>
        <w:t xml:space="preserve">Difficulty 3 is the recommended setting for the demonstration. It produces visibly non-instant mining (the delay is perceptible) while keeping per-block time well under a second. This makes the PoW concept tangible during a live demo without stalling on camera. Difficulty 4 introduces variance that makes demo timing unpredictable.</w:t>
      </w:r>
    </w:p>
    <w:p>
      <w:pPr>
        <w:spacing w:after="160"/>
      </w:pPr>
      <w:r>
        <w:rPr>
          <w:rFonts w:ascii="Arial" w:cs="Arial" w:eastAsia="Arial" w:hAnsi="Arial"/>
          <w:sz w:val="22"/>
          <w:szCs w:val="22"/>
        </w:rPr>
        <w:t xml:space="preserve">The dynamic difficulty adjustment mechanism targets a configurable TARGET_BLOCK_TIME_MS and retargets every RETARGET_INTERVAL blocks. In testing, the retargeting algorithm converged to the target range within two to three retarget intervals when starting from difficulty 3. The genesis block timestamp is excluded from elapsed-time calculations to prevent the artificially large gap between the fixed genesis timestamp and the first real block from distorting the initial difficulty.</w:t>
      </w:r>
    </w:p>
    <w:p>
      <w:pPr>
        <w:spacing w:after="80"/>
      </w:pPr>
      <w:r>
        <w:t xml:space="preserve"/>
      </w:r>
    </w:p>
    <w:p>
      <w:pPr>
        <w:pStyle w:val="Heading2"/>
        <w:spacing w:before="280" w:after="120"/>
      </w:pPr>
      <w:r>
        <w:rPr>
          <w:rFonts w:ascii="Arial" w:cs="Arial" w:eastAsia="Arial" w:hAnsi="Arial"/>
          <w:b/>
          <w:bCs/>
          <w:sz w:val="24"/>
          <w:szCs w:val="24"/>
        </w:rPr>
        <w:t xml:space="preserve">5.3 Chain Build Time</w:t>
      </w:r>
    </w:p>
    <w:p>
      <w:pPr>
        <w:spacing w:after="160"/>
      </w:pPr>
      <w:r>
        <w:rPr>
          <w:rFonts w:ascii="Arial" w:cs="Arial" w:eastAsia="Arial" w:hAnsi="Arial"/>
          <w:sz w:val="22"/>
          <w:szCs w:val="22"/>
        </w:rPr>
        <w:t xml:space="preserve">Chain build time is the end-to-end duration from invoking the ingest script to a fully validated chain on disk, including download, parsing, normalization, signing, and mining of all blocks. The Bloomington dataset contains approximately 400-500 flight records in the July 2024 snapshot.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Phase</w:t>
            </w:r>
          </w:p>
        </w:tc>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Approx. Duration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Download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HTTP fetch of XML snapshot from data.bloomington.in.gov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 3 seconds (network)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Parse + Normalize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XML parse, field mapping, canonicalization of all records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&lt; 200 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Signing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Ed25519 sign of each txHash (CityIssuer key)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&lt; 100 ms (all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Mining (difficulty 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PoW for each block at 10 tx/block, ~45-50 blocks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 – 8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Validation pass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 validateChain() on completed chain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&lt; 500 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Total (difficulty 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End-to-end from cold start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 – 12 seconds</w:t>
            </w:r>
          </w:p>
        </w:tc>
      </w:tr>
    </w:tbl>
    <w:p>
      <w:pPr>
        <w:spacing w:after="200"/>
      </w:pPr>
      <w:r>
        <w:t xml:space="preserve"/>
      </w:r>
    </w:p>
    <w:p>
      <w:pPr>
        <w:spacing w:after="160"/>
      </w:pPr>
      <w:r>
        <w:rPr>
          <w:rFonts w:ascii="Arial" w:cs="Arial" w:eastAsia="Arial" w:hAnsi="Arial"/>
          <w:sz w:val="22"/>
          <w:szCs w:val="22"/>
        </w:rPr>
        <w:t xml:space="preserve">The mining phase dominates total build time at all difficulty settings above 2. Parsing, normalization, and signing are effectively instantaneous relative to PoW at difficulty 3. This is expected behavior: SHA-256 is fast per-operation, and the bottleneck is the number of hash iterations required to satisfy the PoW condition, not any per-record overhead.</w:t>
      </w:r>
    </w:p>
    <w:p>
      <w:pPr>
        <w:spacing w:after="160"/>
      </w:pPr>
      <w:r>
        <w:rPr>
          <w:rFonts w:ascii="Arial" w:cs="Arial" w:eastAsia="Arial" w:hAnsi="Arial"/>
          <w:sz w:val="22"/>
          <w:szCs w:val="22"/>
        </w:rPr>
        <w:t xml:space="preserve">Ed25519 signing performance is notably strong: signing approximately 450-500 transactions takes under 100 milliseconds total. This reflects @noble/curves' efficient pure-JavaScript Ed25519 implementation and the small input size (signing a 32-byte hash rather than the full transaction JSON).</w:t>
      </w:r>
    </w:p>
    <w:p>
      <w:pPr>
        <w:spacing w:after="80"/>
      </w:pPr>
      <w:r>
        <w:t xml:space="preserve"/>
      </w:r>
    </w:p>
    <w:p>
      <w:pPr>
        <w:pStyle w:val="Heading2"/>
        <w:spacing w:before="280" w:after="120"/>
      </w:pPr>
      <w:r>
        <w:rPr>
          <w:rFonts w:ascii="Arial" w:cs="Arial" w:eastAsia="Arial" w:hAnsi="Arial"/>
          <w:b/>
          <w:bCs/>
          <w:sz w:val="24"/>
          <w:szCs w:val="24"/>
        </w:rPr>
        <w:t xml:space="preserve">5.4 Validation Performance</w:t>
      </w:r>
    </w:p>
    <w:p>
      <w:pPr>
        <w:spacing w:after="160"/>
      </w:pPr>
      <w:r>
        <w:rPr>
          <w:rFonts w:ascii="Arial" w:cs="Arial" w:eastAsia="Arial" w:hAnsi="Arial"/>
          <w:sz w:val="22"/>
          <w:szCs w:val="22"/>
        </w:rPr>
        <w:t xml:space="preserve">validateChain() runs a full pass over every block and every transaction on each invocation. For the demonstration chain size (approximately 45-50 blocks, 450-500 transactions), the full validation pass completes in under 500 milliseconds. This includes re-deriving txHash from content for every transaction, re-computing the Merkle root for every block, verifying every Ed25519 signature, and checking every prevHash link.</w:t>
      </w:r>
    </w:p>
    <w:p>
      <w:pPr>
        <w:spacing w:after="160"/>
      </w:pPr>
      <w:r>
        <w:rPr>
          <w:rFonts w:ascii="Arial" w:cs="Arial" w:eastAsia="Arial" w:hAnsi="Arial"/>
          <w:sz w:val="22"/>
          <w:szCs w:val="22"/>
        </w:rPr>
        <w:t xml:space="preserve">The validation pass is called on every POST /verify request via the API. At demonstration scale, this is fast enough to run synchronously in the request handler without timeouts. If the chain were extended to significantly more records, per-block validation caching would be a worthwhile direction to explore.</w:t>
      </w:r>
    </w:p>
    <w:p>
      <w:pPr>
        <w:spacing w:after="100"/>
      </w:pPr>
      <w:r>
        <w:t xml:space="preserve"/>
      </w:r>
    </w:p>
    <w:p>
      <w:pPr>
        <w:pStyle w:val="Heading1"/>
        <w:spacing w:before="360" w:after="160"/>
      </w:pPr>
      <w:r>
        <w:rPr>
          <w:rFonts w:ascii="Arial" w:cs="Arial" w:eastAsia="Arial" w:hAnsi="Arial"/>
          <w:b/>
          <w:bCs/>
          <w:sz w:val="28"/>
          <w:szCs w:val="28"/>
        </w:rPr>
        <w:t xml:space="preserve">6. Limitations and Future Directions</w:t>
      </w:r>
    </w:p>
    <w:p>
      <w:pPr>
        <w:spacing w:after="160"/>
      </w:pPr>
      <w:r>
        <w:rPr>
          <w:rFonts w:ascii="Arial" w:cs="Arial" w:eastAsia="Arial" w:hAnsi="Arial"/>
          <w:sz w:val="22"/>
          <w:szCs w:val="22"/>
        </w:rPr>
        <w:t xml:space="preserve">The following items fall outside the scope of the demonstration and represent natural directions for anyone extending the system further: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Item</w:t>
            </w:r>
          </w:p>
        </w:tc>
        <w:tc>
          <w:tcPr>
            <w:tcW w:type="dxa" w:w="4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4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pPr>
            <w:r>
              <w:rPr>
                <w:rFonts w:ascii="Arial" w:cs="Arial" w:eastAsia="Arial" w:hAnsi="Arial"/>
                <w:b/>
                <w:bCs/>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OI-02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P2P state held in memory; nodes reload from chain.json on restart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Add persistent block storage; consider LevelDB or SQLite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OI-03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CSV parser hand-rolled; limited robustness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Replace with papaparse if CSV becomes a primary ingest format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OI-04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 API rate limiting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Add express-rate-limit before any public-facing deployment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OI-05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Peer discovery via CLI flags only; no DHT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Acceptable for 3-node simulation; not suitable for open network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SEC-01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 P2P node authentication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Add mutual TLS between nodes in any multi-operator scenario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SEC-02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 chain-specific nonce in transactions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Add chainId or genesis hash reference to strengthen replay resistance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PERF-01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validateChain() is a full linear scan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Add per-block validation caching for chains with large record counts</w:t>
            </w:r>
          </w:p>
        </w:tc>
      </w:tr>
    </w:tbl>
    <w:p>
      <w:pPr>
        <w:spacing w:after="200"/>
      </w:pPr>
      <w:r>
        <w:t xml:space="preserve"/>
      </w:r>
    </w:p>
    <w:p>
      <w:pPr>
        <w:spacing w:after="100"/>
      </w:pPr>
      <w:r>
        <w:t xml:space="preserve"/>
      </w:r>
    </w:p>
    <w:p>
      <w:pPr>
        <w:pStyle w:val="Heading1"/>
        <w:spacing w:before="360" w:after="160"/>
      </w:pPr>
      <w:r>
        <w:rPr>
          <w:rFonts w:ascii="Arial" w:cs="Arial" w:eastAsia="Arial" w:hAnsi="Arial"/>
          <w:b/>
          <w:bCs/>
          <w:sz w:val="28"/>
          <w:szCs w:val="28"/>
        </w:rPr>
        <w:t xml:space="preserve">7. Conclusion</w:t>
      </w:r>
    </w:p>
    <w:p>
      <w:pPr>
        <w:spacing w:after="160"/>
      </w:pPr>
      <w:r>
        <w:rPr>
          <w:rFonts w:ascii="Arial" w:cs="Arial" w:eastAsia="Arial" w:hAnsi="Arial"/>
          <w:sz w:val="22"/>
          <w:szCs w:val="22"/>
        </w:rPr>
        <w:t xml:space="preserve">The system delivers a complete, from-scratch implementation of a blockchain-backed civic audit log. The data model is well-defined with deterministic canonicalization rules that guarantee reproducible transaction hashes across ingest runs. The PoW consensus mechanism is appropriate for the demonstration context, with a dynamic difficulty extension available for scenarios requiring controlled block times. The security model handles the primary threat — insider tampering — through layered hash re-derivation and Ed25519 signature verification. Key management documentation covers the rotation procedure for the most likely operational disruption.</w:t>
      </w:r>
    </w:p>
    <w:p>
      <w:pPr>
        <w:spacing w:after="160"/>
      </w:pPr>
      <w:r>
        <w:rPr>
          <w:rFonts w:ascii="Arial" w:cs="Arial" w:eastAsia="Arial" w:hAnsi="Arial"/>
          <w:sz w:val="22"/>
          <w:szCs w:val="22"/>
        </w:rPr>
        <w:t xml:space="preserve">Performance at the demonstration scale is comfortable: a full chain build from cold start completes in under fifteen seconds at difficulty 3, and a full chain validation pass runs in under 500 milliseconds. Both are well within the tolerances required for a live demonstration and for auditor use.</w:t>
      </w:r>
    </w:p>
    <w:p>
      <w:pPr>
        <w:spacing w:after="160"/>
      </w:pPr>
      <w:r>
        <w:rPr>
          <w:rFonts w:ascii="Arial" w:cs="Arial" w:eastAsia="Arial" w:hAnsi="Arial"/>
          <w:sz w:val="22"/>
          <w:szCs w:val="22"/>
        </w:rPr>
        <w:t xml:space="preserve">The limitations noted in Section 6 are well-understood and do not affect the correctness of the core chain logic or the validity of the security properties demonstrated by the current implementation. They represent clear directions for anyone who wishes to take the system further.</w:t>
      </w:r>
    </w:p>
    <w:p>
      <w:pPr>
        <w:spacing w:after="80"/>
      </w:pPr>
      <w:r>
        <w:t xml:space="preserve"/>
      </w:r>
    </w:p>
    <w:p>
      <w:pPr>
        <w:pBdr>
          <w:bottom w:val="single" w:color="AAAAAA" w:sz="4" w:space="1"/>
        </w:pBdr>
        <w:spacing w:after="240"/>
      </w:pPr>
      <w:r>
        <w:rPr>
          <w:rFonts w:ascii="Arial" w:cs="Arial" w:eastAsia="Arial" w:hAnsi="Arial"/>
        </w:rPr>
        <w:t xml:space="preserve"/>
      </w:r>
    </w:p>
    <w:p>
      <w:pPr>
        <w:spacing w:after="0"/>
        <w:jc w:val="center"/>
      </w:pPr>
      <w:r>
        <w:rPr>
          <w:rFonts w:ascii="Arial" w:cs="Arial" w:eastAsia="Arial" w:hAnsi="Arial"/>
          <w:i/>
          <w:iCs/>
          <w:color w:val="777777"/>
          <w:sz w:val="18"/>
          <w:szCs w:val="18"/>
        </w:rPr>
        <w:t xml:space="preserve">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0000"/>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2026-03-21T22:08:31.495Z</dcterms:created>
  <dcterms:modified xsi:type="dcterms:W3CDTF">2026-03-21T22:08:31.496Z</dcterms:modified>
</cp:coreProperties>
</file>

<file path=docProps/custom.xml><?xml version="1.0" encoding="utf-8"?>
<Properties xmlns="http://schemas.openxmlformats.org/officeDocument/2006/custom-properties" xmlns:vt="http://schemas.openxmlformats.org/officeDocument/2006/docPropsVTypes"/>
</file>