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E8A0" w14:textId="77777777" w:rsidR="008568DA" w:rsidRDefault="00C96CA1">
      <w:pPr>
        <w:pStyle w:val="FirstParagraph"/>
      </w:pPr>
      <w:r>
        <w:rPr>
          <w:b/>
          <w:bCs/>
        </w:rPr>
        <w:t>TolaniCorp &amp; TOL Future-Focused Strategy Packet</w:t>
      </w:r>
    </w:p>
    <w:p w14:paraId="625CEE1B" w14:textId="77777777" w:rsidR="008568DA" w:rsidRDefault="00C96CA1">
      <w:r>
        <w:pict w14:anchorId="0195C8E8">
          <v:rect id="_x0000_i1025" style="width:0;height:1.5pt" o:hralign="center" o:hrstd="t" o:hr="t"/>
        </w:pict>
      </w:r>
    </w:p>
    <w:p w14:paraId="2227738D" w14:textId="77777777" w:rsidR="008568DA" w:rsidRDefault="00C96CA1">
      <w:pPr>
        <w:pStyle w:val="Heading2"/>
      </w:pPr>
      <w:bookmarkStart w:id="0" w:name="executive-summary"/>
      <w:r>
        <w:t>1. Executive Summary</w:t>
      </w:r>
    </w:p>
    <w:p w14:paraId="5E88B7B8" w14:textId="77777777" w:rsidR="008568DA" w:rsidRDefault="00C96CA1">
      <w:pPr>
        <w:pStyle w:val="FirstParagraph"/>
      </w:pPr>
      <w:r>
        <w:t xml:space="preserve">Tolani Corp and its native utility token, </w:t>
      </w:r>
      <w:r>
        <w:rPr>
          <w:b/>
          <w:bCs/>
        </w:rPr>
        <w:t>TolaniToken (TOL)</w:t>
      </w:r>
      <w:r>
        <w:t xml:space="preserve">, are poised to drive innovation across construction, blockchain, DeFi, and the rapidly evolving Metaverse. This packet outlines a </w:t>
      </w:r>
      <w:r>
        <w:rPr>
          <w:b/>
          <w:bCs/>
        </w:rPr>
        <w:t>best-case, future-focused strategy</w:t>
      </w:r>
      <w:r>
        <w:t xml:space="preserve"> to: - Embed TOL as a medium of exchange and governance token in top Metaverse platforms. - Preserve </w:t>
      </w:r>
      <w:r>
        <w:rPr>
          <w:b/>
          <w:bCs/>
        </w:rPr>
        <w:t>family control</w:t>
      </w:r>
      <w:r>
        <w:t xml:space="preserve"> and corporate governance clarity. - Mitigate risks to token integrity, ownership, and corporate stability. - Establish durable legal, technical, and operational frameworks for long-term growth.</w:t>
      </w:r>
    </w:p>
    <w:p w14:paraId="3DFD0355" w14:textId="77777777" w:rsidR="008568DA" w:rsidRDefault="00C96CA1">
      <w:r>
        <w:pict w14:anchorId="6A49114B">
          <v:rect id="_x0000_i1026" style="width:0;height:1.5pt" o:hralign="center" o:hrstd="t" o:hr="t"/>
        </w:pict>
      </w:r>
    </w:p>
    <w:p w14:paraId="2E75A687" w14:textId="77777777" w:rsidR="008568DA" w:rsidRDefault="00C96CA1">
      <w:pPr>
        <w:pStyle w:val="Heading2"/>
      </w:pPr>
      <w:bookmarkStart w:id="1" w:name="vision-objectives"/>
      <w:bookmarkEnd w:id="0"/>
      <w:r>
        <w:t>2. Vision &amp; Objectives</w:t>
      </w:r>
    </w:p>
    <w:p w14:paraId="728249EE" w14:textId="77777777" w:rsidR="008568DA" w:rsidRDefault="00C96CA1">
      <w:pPr>
        <w:pStyle w:val="FirstParagraph"/>
      </w:pPr>
      <w:r>
        <w:rPr>
          <w:b/>
          <w:bCs/>
        </w:rPr>
        <w:t>Vision:</w:t>
      </w:r>
      <w:r>
        <w:t xml:space="preserve"> Establish TolaniToken as the premier utility token powering TolaniCorp’s ecosystem and family legacy across virtual and physical realms.</w:t>
      </w:r>
    </w:p>
    <w:p w14:paraId="0B5B14D8" w14:textId="77777777" w:rsidR="008568DA" w:rsidRDefault="00C96CA1">
      <w:pPr>
        <w:pStyle w:val="BodyText"/>
      </w:pPr>
      <w:r>
        <w:rPr>
          <w:b/>
          <w:bCs/>
        </w:rPr>
        <w:t>Key Objectives:</w:t>
      </w:r>
      <w:r>
        <w:t xml:space="preserve"> 1. </w:t>
      </w:r>
      <w:r>
        <w:rPr>
          <w:b/>
          <w:bCs/>
        </w:rPr>
        <w:t>Metaverse Integration:</w:t>
      </w:r>
      <w:r>
        <w:t xml:space="preserve"> TOL accepted for virtual land sales, asset trading, and governance in leading Metaverses (e.g., Decentraland, The Sandbox). 2. </w:t>
      </w:r>
      <w:r>
        <w:rPr>
          <w:b/>
          <w:bCs/>
        </w:rPr>
        <w:t>Family Governance:</w:t>
      </w:r>
      <w:r>
        <w:t xml:space="preserve"> Implement legal and on-chain controls ensuring Tolani family retains decisive authority over tokenomics and corporate decisions. 3. </w:t>
      </w:r>
      <w:r>
        <w:rPr>
          <w:b/>
          <w:bCs/>
        </w:rPr>
        <w:t>Scalability &amp; Flexibility:</w:t>
      </w:r>
      <w:r>
        <w:t xml:space="preserve"> Deploy upgradeable smart contracts and modular governance modules to adapt to new chains and platforms. 4. </w:t>
      </w:r>
      <w:r>
        <w:rPr>
          <w:b/>
          <w:bCs/>
        </w:rPr>
        <w:t>Risk Mitigation:</w:t>
      </w:r>
      <w:r>
        <w:t xml:space="preserve"> Establish safeguards (role-based access control, multisi</w:t>
      </w:r>
      <w:r>
        <w:t xml:space="preserve">g, timelocks, emergency freezes) to prevent hostile takeovers or unauthorized inflation. 5. </w:t>
      </w:r>
      <w:r>
        <w:rPr>
          <w:b/>
          <w:bCs/>
        </w:rPr>
        <w:t>Sustainable Growth:</w:t>
      </w:r>
      <w:r>
        <w:t xml:space="preserve"> Balance token supply, stewardship, and incentives to support ecosystem participants while protecting value.</w:t>
      </w:r>
    </w:p>
    <w:p w14:paraId="403B4CCE" w14:textId="77777777" w:rsidR="008568DA" w:rsidRDefault="00C96CA1">
      <w:r>
        <w:pict w14:anchorId="1029601D">
          <v:rect id="_x0000_i1027" style="width:0;height:1.5pt" o:hralign="center" o:hrstd="t" o:hr="t"/>
        </w:pict>
      </w:r>
    </w:p>
    <w:p w14:paraId="3DFE465D" w14:textId="77777777" w:rsidR="008568DA" w:rsidRDefault="00C96CA1">
      <w:pPr>
        <w:pStyle w:val="Heading2"/>
      </w:pPr>
      <w:bookmarkStart w:id="2" w:name="token-governance-family-control"/>
      <w:bookmarkEnd w:id="1"/>
      <w:r>
        <w:t>3. Token Governance &amp; Family Control</w:t>
      </w:r>
    </w:p>
    <w:p w14:paraId="5EDE3B38" w14:textId="77777777" w:rsidR="008568DA" w:rsidRDefault="00C96CA1">
      <w:pPr>
        <w:pStyle w:val="Heading3"/>
      </w:pPr>
      <w:bookmarkStart w:id="3" w:name="governance-structure"/>
      <w:r>
        <w:t>3.1 Governance Structure</w:t>
      </w:r>
    </w:p>
    <w:p w14:paraId="0E92C098" w14:textId="77777777" w:rsidR="008568DA" w:rsidRDefault="00C96CA1">
      <w:pPr>
        <w:pStyle w:val="Compact"/>
        <w:numPr>
          <w:ilvl w:val="0"/>
          <w:numId w:val="2"/>
        </w:numPr>
      </w:pPr>
      <w:r>
        <w:rPr>
          <w:b/>
          <w:bCs/>
        </w:rPr>
        <w:t>DAO + Family Foundation Hybrid:</w:t>
      </w:r>
      <w:r>
        <w:t xml:space="preserve"> DAO governs day-to-day treasury allocations, project funding, and community proposals. A </w:t>
      </w:r>
      <w:r>
        <w:rPr>
          <w:b/>
          <w:bCs/>
        </w:rPr>
        <w:t>Tolani Family Foundation</w:t>
      </w:r>
      <w:r>
        <w:t xml:space="preserve"> (non-profit or LLC) holds the </w:t>
      </w:r>
      <w:r>
        <w:rPr>
          <w:b/>
          <w:bCs/>
        </w:rPr>
        <w:t>DEFAULT_ADMIN_ROLE</w:t>
      </w:r>
      <w:r>
        <w:t xml:space="preserve"> on-chain and retains veto powers.</w:t>
      </w:r>
    </w:p>
    <w:p w14:paraId="2EF33441" w14:textId="77777777" w:rsidR="008568DA" w:rsidRDefault="00C96CA1">
      <w:pPr>
        <w:pStyle w:val="Compact"/>
        <w:numPr>
          <w:ilvl w:val="0"/>
          <w:numId w:val="2"/>
        </w:numPr>
      </w:pPr>
      <w:r>
        <w:rPr>
          <w:b/>
          <w:bCs/>
        </w:rPr>
        <w:t>Role Definitions:</w:t>
      </w:r>
    </w:p>
    <w:p w14:paraId="43285B75" w14:textId="77777777" w:rsidR="008568DA" w:rsidRDefault="00C96CA1">
      <w:pPr>
        <w:pStyle w:val="Compact"/>
        <w:numPr>
          <w:ilvl w:val="1"/>
          <w:numId w:val="3"/>
        </w:numPr>
      </w:pPr>
      <w:r>
        <w:rPr>
          <w:rStyle w:val="VerbatimChar"/>
        </w:rPr>
        <w:t>DEFAULT_ADMIN_ROLE</w:t>
      </w:r>
      <w:r>
        <w:t xml:space="preserve"> (Family Foundation multisig)</w:t>
      </w:r>
    </w:p>
    <w:p w14:paraId="7E497A08" w14:textId="77777777" w:rsidR="008568DA" w:rsidRDefault="00C96CA1">
      <w:pPr>
        <w:pStyle w:val="Compact"/>
        <w:numPr>
          <w:ilvl w:val="1"/>
          <w:numId w:val="3"/>
        </w:numPr>
      </w:pPr>
      <w:r>
        <w:rPr>
          <w:rStyle w:val="VerbatimChar"/>
        </w:rPr>
        <w:t>MINTER_ROLE</w:t>
      </w:r>
      <w:r>
        <w:t xml:space="preserve"> (DAO multisig + timelock)</w:t>
      </w:r>
    </w:p>
    <w:p w14:paraId="63DB7FA3" w14:textId="77777777" w:rsidR="008568DA" w:rsidRDefault="00C96CA1">
      <w:pPr>
        <w:pStyle w:val="Compact"/>
        <w:numPr>
          <w:ilvl w:val="1"/>
          <w:numId w:val="3"/>
        </w:numPr>
      </w:pPr>
      <w:r>
        <w:rPr>
          <w:rStyle w:val="VerbatimChar"/>
        </w:rPr>
        <w:t>PAUSER_ROLE</w:t>
      </w:r>
      <w:r>
        <w:t xml:space="preserve"> (Family Foundation)</w:t>
      </w:r>
    </w:p>
    <w:p w14:paraId="76BC7E6E" w14:textId="77777777" w:rsidR="008568DA" w:rsidRDefault="00C96CA1">
      <w:pPr>
        <w:pStyle w:val="Compact"/>
        <w:numPr>
          <w:ilvl w:val="0"/>
          <w:numId w:val="2"/>
        </w:numPr>
      </w:pPr>
      <w:r>
        <w:rPr>
          <w:b/>
          <w:bCs/>
        </w:rPr>
        <w:t>Supermajority &amp; Veto:</w:t>
      </w:r>
      <w:r>
        <w:t xml:space="preserve"> Major protocol upgrades, cap changes, or transfers of admin roles require both DAO approval (66%+ vote) and Family Foundation sign-off.</w:t>
      </w:r>
    </w:p>
    <w:p w14:paraId="384B4995" w14:textId="77777777" w:rsidR="008568DA" w:rsidRDefault="00C96CA1">
      <w:pPr>
        <w:pStyle w:val="Heading3"/>
      </w:pPr>
      <w:bookmarkStart w:id="4" w:name="on-chain-controls"/>
      <w:bookmarkEnd w:id="3"/>
      <w:r>
        <w:lastRenderedPageBreak/>
        <w:t>3.2 On-Chain Controls</w:t>
      </w:r>
    </w:p>
    <w:p w14:paraId="3B52AA47" w14:textId="77777777" w:rsidR="008568DA" w:rsidRDefault="00C96CA1">
      <w:pPr>
        <w:pStyle w:val="Compact"/>
        <w:numPr>
          <w:ilvl w:val="0"/>
          <w:numId w:val="4"/>
        </w:numPr>
      </w:pPr>
      <w:r>
        <w:rPr>
          <w:b/>
          <w:bCs/>
        </w:rPr>
        <w:t>ERC20Capped + AccessControl:</w:t>
      </w:r>
      <w:r>
        <w:t xml:space="preserve"> Capped supply with minting only by </w:t>
      </w:r>
      <w:r>
        <w:rPr>
          <w:rStyle w:val="VerbatimChar"/>
        </w:rPr>
        <w:t>MINTER_ROLE</w:t>
      </w:r>
      <w:r>
        <w:t xml:space="preserve"> and pausing by </w:t>
      </w:r>
      <w:r>
        <w:rPr>
          <w:rStyle w:val="VerbatimChar"/>
        </w:rPr>
        <w:t>PAUSER_ROLE</w:t>
      </w:r>
      <w:r>
        <w:t>.</w:t>
      </w:r>
    </w:p>
    <w:p w14:paraId="6D5B34C4" w14:textId="77777777" w:rsidR="008568DA" w:rsidRDefault="00C96CA1">
      <w:pPr>
        <w:pStyle w:val="Compact"/>
        <w:numPr>
          <w:ilvl w:val="0"/>
          <w:numId w:val="4"/>
        </w:numPr>
      </w:pPr>
      <w:r>
        <w:rPr>
          <w:b/>
          <w:bCs/>
        </w:rPr>
        <w:t>Timelock Contract:</w:t>
      </w:r>
      <w:r>
        <w:t xml:space="preserve"> All mint and URI updates routed through a timelocked governance contract (e.g., OpenZeppelin </w:t>
      </w:r>
      <w:r>
        <w:rPr>
          <w:rStyle w:val="VerbatimChar"/>
        </w:rPr>
        <w:t>TimelockController</w:t>
      </w:r>
      <w:r>
        <w:t>).</w:t>
      </w:r>
    </w:p>
    <w:p w14:paraId="5F042E46" w14:textId="77777777" w:rsidR="008568DA" w:rsidRDefault="00C96CA1">
      <w:pPr>
        <w:pStyle w:val="Compact"/>
        <w:numPr>
          <w:ilvl w:val="0"/>
          <w:numId w:val="4"/>
        </w:numPr>
      </w:pPr>
      <w:r>
        <w:rPr>
          <w:b/>
          <w:bCs/>
        </w:rPr>
        <w:t>Multisig Wallets:</w:t>
      </w:r>
      <w:r>
        <w:t xml:space="preserve"> Gnosis Safe with 5-of-7 keys split among family members and trusted executives.</w:t>
      </w:r>
    </w:p>
    <w:p w14:paraId="3E702300" w14:textId="77777777" w:rsidR="008568DA" w:rsidRDefault="00C96CA1">
      <w:r>
        <w:pict w14:anchorId="1E58ECC3">
          <v:rect id="_x0000_i1028" style="width:0;height:1.5pt" o:hralign="center" o:hrstd="t" o:hr="t"/>
        </w:pict>
      </w:r>
    </w:p>
    <w:p w14:paraId="6EFB7C3B" w14:textId="77777777" w:rsidR="008568DA" w:rsidRDefault="00C96CA1">
      <w:pPr>
        <w:pStyle w:val="Heading2"/>
      </w:pPr>
      <w:bookmarkStart w:id="5" w:name="legal-corporate-structure"/>
      <w:bookmarkEnd w:id="4"/>
      <w:bookmarkEnd w:id="2"/>
      <w:r>
        <w:t>4. Legal &amp; Corporate Structure</w:t>
      </w:r>
    </w:p>
    <w:p w14:paraId="40D9DD58" w14:textId="77777777" w:rsidR="008568DA" w:rsidRDefault="00C96CA1">
      <w:pPr>
        <w:pStyle w:val="Heading3"/>
      </w:pPr>
      <w:bookmarkStart w:id="6" w:name="wyoming-dao-llc-family-foundation"/>
      <w:r>
        <w:t>4.1 Wyoming DAO LLC &amp; Family Foundation</w:t>
      </w:r>
    </w:p>
    <w:p w14:paraId="010D40D4" w14:textId="77777777" w:rsidR="008568DA" w:rsidRDefault="00C96CA1">
      <w:pPr>
        <w:pStyle w:val="Compact"/>
        <w:numPr>
          <w:ilvl w:val="0"/>
          <w:numId w:val="5"/>
        </w:numPr>
      </w:pPr>
      <w:r>
        <w:rPr>
          <w:b/>
          <w:bCs/>
        </w:rPr>
        <w:t>TolaniDAO LLC:</w:t>
      </w:r>
      <w:r>
        <w:t xml:space="preserve"> Holds governance modules, timelock, and key ENS domains.</w:t>
      </w:r>
    </w:p>
    <w:p w14:paraId="747CBFE8" w14:textId="77777777" w:rsidR="008568DA" w:rsidRDefault="00C96CA1">
      <w:pPr>
        <w:pStyle w:val="Compact"/>
        <w:numPr>
          <w:ilvl w:val="0"/>
          <w:numId w:val="5"/>
        </w:numPr>
      </w:pPr>
      <w:r>
        <w:rPr>
          <w:b/>
          <w:bCs/>
        </w:rPr>
        <w:t>Tolani Family Foundation:</w:t>
      </w:r>
      <w:r>
        <w:t xml:space="preserve"> Non-profit entity owning LLC membership shares, ensuring family retains ultimate control and can update membership by board vote.</w:t>
      </w:r>
    </w:p>
    <w:p w14:paraId="70DB1EA4" w14:textId="77777777" w:rsidR="008568DA" w:rsidRDefault="00C96CA1">
      <w:pPr>
        <w:pStyle w:val="Heading3"/>
      </w:pPr>
      <w:bookmarkStart w:id="7" w:name="safeguards"/>
      <w:bookmarkEnd w:id="6"/>
      <w:r>
        <w:t>4.2 Safeguards</w:t>
      </w:r>
    </w:p>
    <w:p w14:paraId="21336C98" w14:textId="77777777" w:rsidR="008568DA" w:rsidRDefault="00C96CA1">
      <w:pPr>
        <w:pStyle w:val="Compact"/>
        <w:numPr>
          <w:ilvl w:val="0"/>
          <w:numId w:val="6"/>
        </w:numPr>
      </w:pPr>
      <w:r>
        <w:rPr>
          <w:b/>
          <w:bCs/>
        </w:rPr>
        <w:t>Dual-Class Membership:</w:t>
      </w:r>
      <w:r>
        <w:t xml:space="preserve"> </w:t>
      </w:r>
      <w:r>
        <w:t>Foundation issues Class A (voting) and Class B (economic) tokens to separate governance rights from tokenomics.</w:t>
      </w:r>
    </w:p>
    <w:p w14:paraId="4CD9D62A" w14:textId="77777777" w:rsidR="008568DA" w:rsidRDefault="00C96CA1">
      <w:pPr>
        <w:pStyle w:val="Compact"/>
        <w:numPr>
          <w:ilvl w:val="0"/>
          <w:numId w:val="6"/>
        </w:numPr>
      </w:pPr>
      <w:r>
        <w:rPr>
          <w:b/>
          <w:bCs/>
        </w:rPr>
        <w:t>Succession Planning:</w:t>
      </w:r>
      <w:r>
        <w:t xml:space="preserve"> Family Council document for transfer of Foundation board seats across generations.</w:t>
      </w:r>
    </w:p>
    <w:p w14:paraId="5BF9E605" w14:textId="77777777" w:rsidR="008568DA" w:rsidRDefault="00C96CA1">
      <w:r>
        <w:pict w14:anchorId="547FBF78">
          <v:rect id="_x0000_i1029" style="width:0;height:1.5pt" o:hralign="center" o:hrstd="t" o:hr="t"/>
        </w:pict>
      </w:r>
    </w:p>
    <w:p w14:paraId="1CFA22B6" w14:textId="77777777" w:rsidR="008568DA" w:rsidRDefault="00C96CA1">
      <w:pPr>
        <w:pStyle w:val="Heading2"/>
      </w:pPr>
      <w:bookmarkStart w:id="8" w:name="tokenomics-mint-strategy"/>
      <w:bookmarkEnd w:id="7"/>
      <w:bookmarkEnd w:id="5"/>
      <w:r>
        <w:t>5. Tokenomics &amp; Mint Strategy</w:t>
      </w:r>
    </w:p>
    <w:p w14:paraId="4312723D" w14:textId="77777777" w:rsidR="008568DA" w:rsidRDefault="00C96CA1">
      <w:pPr>
        <w:pStyle w:val="Heading3"/>
      </w:pPr>
      <w:bookmarkStart w:id="9" w:name="hybrid-supply-model"/>
      <w:r>
        <w:t>5.1 Hybrid Supply Model</w:t>
      </w:r>
    </w:p>
    <w:p w14:paraId="35B56AFF" w14:textId="77777777" w:rsidR="008568DA" w:rsidRDefault="00C96CA1">
      <w:pPr>
        <w:pStyle w:val="Compact"/>
        <w:numPr>
          <w:ilvl w:val="0"/>
          <w:numId w:val="7"/>
        </w:numPr>
      </w:pPr>
      <w:r>
        <w:rPr>
          <w:b/>
          <w:bCs/>
        </w:rPr>
        <w:t>Initial Mint:</w:t>
      </w:r>
      <w:r>
        <w:t xml:space="preserve"> 50 M TOL</w:t>
      </w:r>
    </w:p>
    <w:p w14:paraId="0BD69481" w14:textId="77777777" w:rsidR="008568DA" w:rsidRDefault="00C96CA1">
      <w:pPr>
        <w:pStyle w:val="Compact"/>
        <w:numPr>
          <w:ilvl w:val="0"/>
          <w:numId w:val="7"/>
        </w:numPr>
      </w:pPr>
      <w:r>
        <w:rPr>
          <w:b/>
          <w:bCs/>
        </w:rPr>
        <w:t>Max Cap:</w:t>
      </w:r>
      <w:r>
        <w:t xml:space="preserve"> 100 M TOL</w:t>
      </w:r>
    </w:p>
    <w:p w14:paraId="420BC080" w14:textId="77777777" w:rsidR="008568DA" w:rsidRDefault="00C96CA1">
      <w:pPr>
        <w:pStyle w:val="Compact"/>
        <w:numPr>
          <w:ilvl w:val="0"/>
          <w:numId w:val="7"/>
        </w:numPr>
      </w:pPr>
      <w:r>
        <w:rPr>
          <w:b/>
          <w:bCs/>
        </w:rPr>
        <w:t>Mint Reserve:</w:t>
      </w:r>
      <w:r>
        <w:t xml:space="preserve"> 50 M TOL minted by DAO under controlled conditions.</w:t>
      </w:r>
    </w:p>
    <w:p w14:paraId="57E4CBB6" w14:textId="77777777" w:rsidR="008568DA" w:rsidRDefault="00C96CA1">
      <w:pPr>
        <w:pStyle w:val="Heading3"/>
      </w:pPr>
      <w:bookmarkStart w:id="10" w:name="allocation-breakdown"/>
      <w:bookmarkEnd w:id="9"/>
      <w:r>
        <w:t>5.2 Allocation Breakdown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1337"/>
        <w:gridCol w:w="1560"/>
        <w:gridCol w:w="3343"/>
      </w:tblGrid>
      <w:tr w:rsidR="008568DA" w14:paraId="17F1E81F" w14:textId="77777777" w:rsidTr="00856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F67DD74" w14:textId="77777777" w:rsidR="008568DA" w:rsidRDefault="00C96CA1">
            <w:pPr>
              <w:pStyle w:val="Compact"/>
            </w:pPr>
            <w:r>
              <w:t>Bucket</w:t>
            </w:r>
          </w:p>
        </w:tc>
        <w:tc>
          <w:tcPr>
            <w:tcW w:w="1131" w:type="dxa"/>
          </w:tcPr>
          <w:p w14:paraId="4EA7B143" w14:textId="77777777" w:rsidR="008568DA" w:rsidRDefault="00C96CA1">
            <w:pPr>
              <w:pStyle w:val="Compact"/>
            </w:pPr>
            <w:r>
              <w:t>% of Total</w:t>
            </w:r>
          </w:p>
        </w:tc>
        <w:tc>
          <w:tcPr>
            <w:tcW w:w="1320" w:type="dxa"/>
          </w:tcPr>
          <w:p w14:paraId="12483694" w14:textId="77777777" w:rsidR="008568DA" w:rsidRDefault="00C96CA1">
            <w:pPr>
              <w:pStyle w:val="Compact"/>
            </w:pPr>
            <w:r>
              <w:t>Amount (TOL)</w:t>
            </w:r>
          </w:p>
        </w:tc>
        <w:tc>
          <w:tcPr>
            <w:tcW w:w="2828" w:type="dxa"/>
          </w:tcPr>
          <w:p w14:paraId="77627A11" w14:textId="77777777" w:rsidR="008568DA" w:rsidRDefault="00C96CA1">
            <w:pPr>
              <w:pStyle w:val="Compact"/>
            </w:pPr>
            <w:r>
              <w:t>Vesting &amp; Conditions</w:t>
            </w:r>
          </w:p>
        </w:tc>
      </w:tr>
      <w:tr w:rsidR="008568DA" w14:paraId="3912F904" w14:textId="77777777">
        <w:tc>
          <w:tcPr>
            <w:tcW w:w="2640" w:type="dxa"/>
          </w:tcPr>
          <w:p w14:paraId="3662B02C" w14:textId="77777777" w:rsidR="008568DA" w:rsidRDefault="00C96CA1">
            <w:pPr>
              <w:pStyle w:val="Compact"/>
            </w:pPr>
            <w:r>
              <w:t>Ecosystem Incentives</w:t>
            </w:r>
          </w:p>
        </w:tc>
        <w:tc>
          <w:tcPr>
            <w:tcW w:w="1131" w:type="dxa"/>
          </w:tcPr>
          <w:p w14:paraId="030D69B2" w14:textId="77777777" w:rsidR="008568DA" w:rsidRDefault="00C96CA1">
            <w:pPr>
              <w:pStyle w:val="Compact"/>
            </w:pPr>
            <w:r>
              <w:t>30%</w:t>
            </w:r>
          </w:p>
        </w:tc>
        <w:tc>
          <w:tcPr>
            <w:tcW w:w="1320" w:type="dxa"/>
          </w:tcPr>
          <w:p w14:paraId="349C7FBF" w14:textId="77777777" w:rsidR="008568DA" w:rsidRDefault="00C96CA1">
            <w:pPr>
              <w:pStyle w:val="Compact"/>
            </w:pPr>
            <w:r>
              <w:t>30 M</w:t>
            </w:r>
          </w:p>
        </w:tc>
        <w:tc>
          <w:tcPr>
            <w:tcW w:w="2828" w:type="dxa"/>
          </w:tcPr>
          <w:p w14:paraId="72DD9110" w14:textId="77777777" w:rsidR="008568DA" w:rsidRDefault="00C96CA1">
            <w:pPr>
              <w:pStyle w:val="Compact"/>
            </w:pPr>
            <w:r>
              <w:t>Gradual, proposal-driven</w:t>
            </w:r>
          </w:p>
        </w:tc>
      </w:tr>
      <w:tr w:rsidR="008568DA" w14:paraId="0416CF2D" w14:textId="77777777">
        <w:tc>
          <w:tcPr>
            <w:tcW w:w="2640" w:type="dxa"/>
          </w:tcPr>
          <w:p w14:paraId="27E7DF01" w14:textId="77777777" w:rsidR="008568DA" w:rsidRDefault="00C96CA1">
            <w:pPr>
              <w:pStyle w:val="Compact"/>
            </w:pPr>
            <w:r>
              <w:t>DAO Treasury</w:t>
            </w:r>
          </w:p>
        </w:tc>
        <w:tc>
          <w:tcPr>
            <w:tcW w:w="1131" w:type="dxa"/>
          </w:tcPr>
          <w:p w14:paraId="0562E6F5" w14:textId="77777777" w:rsidR="008568DA" w:rsidRDefault="00C96CA1">
            <w:pPr>
              <w:pStyle w:val="Compact"/>
            </w:pPr>
            <w:r>
              <w:t>25%</w:t>
            </w:r>
          </w:p>
        </w:tc>
        <w:tc>
          <w:tcPr>
            <w:tcW w:w="1320" w:type="dxa"/>
          </w:tcPr>
          <w:p w14:paraId="3E430452" w14:textId="77777777" w:rsidR="008568DA" w:rsidRDefault="00C96CA1">
            <w:pPr>
              <w:pStyle w:val="Compact"/>
            </w:pPr>
            <w:r>
              <w:t>25 M</w:t>
            </w:r>
          </w:p>
        </w:tc>
        <w:tc>
          <w:tcPr>
            <w:tcW w:w="2828" w:type="dxa"/>
          </w:tcPr>
          <w:p w14:paraId="2C0983EC" w14:textId="77777777" w:rsidR="008568DA" w:rsidRDefault="00C96CA1">
            <w:pPr>
              <w:pStyle w:val="Compact"/>
            </w:pPr>
            <w:r>
              <w:t>Multisig disbursal, timelock</w:t>
            </w:r>
          </w:p>
        </w:tc>
      </w:tr>
      <w:tr w:rsidR="008568DA" w14:paraId="528FA83C" w14:textId="77777777">
        <w:tc>
          <w:tcPr>
            <w:tcW w:w="2640" w:type="dxa"/>
          </w:tcPr>
          <w:p w14:paraId="7A16AE09" w14:textId="77777777" w:rsidR="008568DA" w:rsidRDefault="00C96CA1">
            <w:pPr>
              <w:pStyle w:val="Compact"/>
            </w:pPr>
            <w:r>
              <w:t>Family &amp; Core Team</w:t>
            </w:r>
          </w:p>
        </w:tc>
        <w:tc>
          <w:tcPr>
            <w:tcW w:w="1131" w:type="dxa"/>
          </w:tcPr>
          <w:p w14:paraId="531F946B" w14:textId="77777777" w:rsidR="008568DA" w:rsidRDefault="00C96CA1">
            <w:pPr>
              <w:pStyle w:val="Compact"/>
            </w:pPr>
            <w:r>
              <w:t>15%</w:t>
            </w:r>
          </w:p>
        </w:tc>
        <w:tc>
          <w:tcPr>
            <w:tcW w:w="1320" w:type="dxa"/>
          </w:tcPr>
          <w:p w14:paraId="7D8D9E2A" w14:textId="77777777" w:rsidR="008568DA" w:rsidRDefault="00C96CA1">
            <w:pPr>
              <w:pStyle w:val="Compact"/>
            </w:pPr>
            <w:r>
              <w:t>15 M</w:t>
            </w:r>
          </w:p>
        </w:tc>
        <w:tc>
          <w:tcPr>
            <w:tcW w:w="2828" w:type="dxa"/>
          </w:tcPr>
          <w:p w14:paraId="3CF9B488" w14:textId="77777777" w:rsidR="008568DA" w:rsidRDefault="00C96CA1">
            <w:pPr>
              <w:pStyle w:val="Compact"/>
            </w:pPr>
            <w:r>
              <w:t>4-year vesting, cliff</w:t>
            </w:r>
          </w:p>
        </w:tc>
      </w:tr>
      <w:tr w:rsidR="008568DA" w14:paraId="5F4F4CDD" w14:textId="77777777">
        <w:tc>
          <w:tcPr>
            <w:tcW w:w="2640" w:type="dxa"/>
          </w:tcPr>
          <w:p w14:paraId="6C35F609" w14:textId="77777777" w:rsidR="008568DA" w:rsidRDefault="00C96CA1">
            <w:pPr>
              <w:pStyle w:val="Compact"/>
            </w:pPr>
            <w:r>
              <w:t>Liquidity Pools</w:t>
            </w:r>
          </w:p>
        </w:tc>
        <w:tc>
          <w:tcPr>
            <w:tcW w:w="1131" w:type="dxa"/>
          </w:tcPr>
          <w:p w14:paraId="6D2CBB37" w14:textId="77777777" w:rsidR="008568DA" w:rsidRDefault="00C96CA1">
            <w:pPr>
              <w:pStyle w:val="Compact"/>
            </w:pPr>
            <w:r>
              <w:t>20%</w:t>
            </w:r>
          </w:p>
        </w:tc>
        <w:tc>
          <w:tcPr>
            <w:tcW w:w="1320" w:type="dxa"/>
          </w:tcPr>
          <w:p w14:paraId="6817283C" w14:textId="77777777" w:rsidR="008568DA" w:rsidRDefault="00C96CA1">
            <w:pPr>
              <w:pStyle w:val="Compact"/>
            </w:pPr>
            <w:r>
              <w:t>20 M</w:t>
            </w:r>
          </w:p>
        </w:tc>
        <w:tc>
          <w:tcPr>
            <w:tcW w:w="2828" w:type="dxa"/>
          </w:tcPr>
          <w:p w14:paraId="5B6F7E5B" w14:textId="77777777" w:rsidR="008568DA" w:rsidRDefault="00C96CA1">
            <w:pPr>
              <w:pStyle w:val="Compact"/>
            </w:pPr>
            <w:r>
              <w:t>Automated AMM provisioning</w:t>
            </w:r>
          </w:p>
        </w:tc>
      </w:tr>
      <w:tr w:rsidR="008568DA" w14:paraId="4C7A75A9" w14:textId="77777777">
        <w:tc>
          <w:tcPr>
            <w:tcW w:w="2640" w:type="dxa"/>
          </w:tcPr>
          <w:p w14:paraId="00449208" w14:textId="77777777" w:rsidR="008568DA" w:rsidRDefault="00C96CA1">
            <w:pPr>
              <w:pStyle w:val="Compact"/>
            </w:pPr>
            <w:r>
              <w:t>Emergency &amp; Expansion Fund</w:t>
            </w:r>
          </w:p>
        </w:tc>
        <w:tc>
          <w:tcPr>
            <w:tcW w:w="1131" w:type="dxa"/>
          </w:tcPr>
          <w:p w14:paraId="61A2E4EB" w14:textId="77777777" w:rsidR="008568DA" w:rsidRDefault="00C96CA1">
            <w:pPr>
              <w:pStyle w:val="Compact"/>
            </w:pPr>
            <w:r>
              <w:t>10%</w:t>
            </w:r>
          </w:p>
        </w:tc>
        <w:tc>
          <w:tcPr>
            <w:tcW w:w="1320" w:type="dxa"/>
          </w:tcPr>
          <w:p w14:paraId="4134E510" w14:textId="77777777" w:rsidR="008568DA" w:rsidRDefault="00C96CA1">
            <w:pPr>
              <w:pStyle w:val="Compact"/>
            </w:pPr>
            <w:r>
              <w:t>10 M</w:t>
            </w:r>
          </w:p>
        </w:tc>
        <w:tc>
          <w:tcPr>
            <w:tcW w:w="2828" w:type="dxa"/>
          </w:tcPr>
          <w:p w14:paraId="254468F0" w14:textId="77777777" w:rsidR="008568DA" w:rsidRDefault="00C96CA1">
            <w:pPr>
              <w:pStyle w:val="Compact"/>
            </w:pPr>
            <w:r>
              <w:t>Family Foundation reserve</w:t>
            </w:r>
          </w:p>
        </w:tc>
      </w:tr>
    </w:tbl>
    <w:p w14:paraId="1100B043" w14:textId="77777777" w:rsidR="008568DA" w:rsidRDefault="00C96CA1">
      <w:r>
        <w:pict w14:anchorId="43E13523">
          <v:rect id="_x0000_i1030" style="width:0;height:1.5pt" o:hralign="center" o:hrstd="t" o:hr="t"/>
        </w:pict>
      </w:r>
    </w:p>
    <w:p w14:paraId="6276A1FA" w14:textId="77777777" w:rsidR="008568DA" w:rsidRDefault="00C96CA1">
      <w:pPr>
        <w:pStyle w:val="Heading2"/>
      </w:pPr>
      <w:bookmarkStart w:id="11" w:name="metaverse-integration"/>
      <w:bookmarkEnd w:id="10"/>
      <w:bookmarkEnd w:id="8"/>
      <w:r>
        <w:lastRenderedPageBreak/>
        <w:t>6. Metaverse Integration</w:t>
      </w:r>
    </w:p>
    <w:p w14:paraId="7C30D107" w14:textId="77777777" w:rsidR="008568DA" w:rsidRDefault="00C96CA1">
      <w:pPr>
        <w:pStyle w:val="Heading3"/>
      </w:pPr>
      <w:bookmarkStart w:id="12" w:name="target-platforms"/>
      <w:r>
        <w:t>6.1 Target Platforms</w:t>
      </w:r>
    </w:p>
    <w:p w14:paraId="77CFF83E" w14:textId="77777777" w:rsidR="008568DA" w:rsidRDefault="00C96CA1">
      <w:pPr>
        <w:pStyle w:val="Compact"/>
        <w:numPr>
          <w:ilvl w:val="0"/>
          <w:numId w:val="8"/>
        </w:numPr>
      </w:pPr>
      <w:r>
        <w:rPr>
          <w:b/>
          <w:bCs/>
        </w:rPr>
        <w:t>Decentraland (MANA):</w:t>
      </w:r>
      <w:r>
        <w:t xml:space="preserve"> Virtual real estate rentals paid in TOL, DAO-curated events, land governance.</w:t>
      </w:r>
    </w:p>
    <w:p w14:paraId="007368B9" w14:textId="77777777" w:rsidR="008568DA" w:rsidRDefault="00C96CA1">
      <w:pPr>
        <w:pStyle w:val="Compact"/>
        <w:numPr>
          <w:ilvl w:val="0"/>
          <w:numId w:val="8"/>
        </w:numPr>
      </w:pPr>
      <w:r>
        <w:rPr>
          <w:b/>
          <w:bCs/>
        </w:rPr>
        <w:t>The Sandbox (SAND):</w:t>
      </w:r>
      <w:r>
        <w:t xml:space="preserve"> </w:t>
      </w:r>
      <w:r>
        <w:t>In-game asset purchases, wearables, and building rights settled in TOL.</w:t>
      </w:r>
    </w:p>
    <w:p w14:paraId="668540F8" w14:textId="77777777" w:rsidR="008568DA" w:rsidRDefault="00C96CA1">
      <w:pPr>
        <w:pStyle w:val="Compact"/>
        <w:numPr>
          <w:ilvl w:val="0"/>
          <w:numId w:val="8"/>
        </w:numPr>
      </w:pPr>
      <w:r>
        <w:rPr>
          <w:b/>
          <w:bCs/>
        </w:rPr>
        <w:t>Somnium Space &amp; Others:</w:t>
      </w:r>
      <w:r>
        <w:t xml:space="preserve"> Virtual experiences and NFT-ticketing for conferences and exhibitions powered by TOL.</w:t>
      </w:r>
    </w:p>
    <w:p w14:paraId="211A5A0A" w14:textId="77777777" w:rsidR="008568DA" w:rsidRDefault="00C96CA1">
      <w:pPr>
        <w:pStyle w:val="Heading3"/>
      </w:pPr>
      <w:bookmarkStart w:id="13" w:name="technical-integration"/>
      <w:bookmarkEnd w:id="12"/>
      <w:r>
        <w:t>6.2 Technical Integration</w:t>
      </w:r>
    </w:p>
    <w:p w14:paraId="0AFCFED0" w14:textId="77777777" w:rsidR="008568DA" w:rsidRDefault="00C96CA1">
      <w:pPr>
        <w:pStyle w:val="Compact"/>
        <w:numPr>
          <w:ilvl w:val="0"/>
          <w:numId w:val="9"/>
        </w:numPr>
      </w:pPr>
      <w:r>
        <w:rPr>
          <w:b/>
          <w:bCs/>
        </w:rPr>
        <w:t>Cross-Chain Bridges:</w:t>
      </w:r>
      <w:r>
        <w:t xml:space="preserve"> Deploy TOL on Polygon, Avalanche, and BSC for gas-efficient Metaverse interactions.</w:t>
      </w:r>
    </w:p>
    <w:p w14:paraId="26C8287D" w14:textId="77777777" w:rsidR="008568DA" w:rsidRDefault="00C96CA1">
      <w:pPr>
        <w:pStyle w:val="Compact"/>
        <w:numPr>
          <w:ilvl w:val="0"/>
          <w:numId w:val="9"/>
        </w:numPr>
      </w:pPr>
      <w:r>
        <w:rPr>
          <w:b/>
          <w:bCs/>
        </w:rPr>
        <w:t>Wallet Connect:</w:t>
      </w:r>
      <w:r>
        <w:t xml:space="preserve"> Integrate TOL as a supported token in wallets and SDKs (Web3Modal, WalletConnect).</w:t>
      </w:r>
    </w:p>
    <w:p w14:paraId="67C5FC5B" w14:textId="77777777" w:rsidR="008568DA" w:rsidRDefault="00C96CA1">
      <w:pPr>
        <w:pStyle w:val="Compact"/>
        <w:numPr>
          <w:ilvl w:val="0"/>
          <w:numId w:val="9"/>
        </w:numPr>
      </w:pPr>
      <w:r>
        <w:rPr>
          <w:b/>
          <w:bCs/>
        </w:rPr>
        <w:t>SDK &amp; APIs:</w:t>
      </w:r>
      <w:r>
        <w:t xml:space="preserve"> Publish JS/REST SDK methods to:</w:t>
      </w:r>
    </w:p>
    <w:p w14:paraId="316F0AB2" w14:textId="77777777" w:rsidR="008568DA" w:rsidRDefault="00C96CA1">
      <w:pPr>
        <w:pStyle w:val="Compact"/>
        <w:numPr>
          <w:ilvl w:val="1"/>
          <w:numId w:val="10"/>
        </w:numPr>
      </w:pPr>
      <w:r>
        <w:rPr>
          <w:rStyle w:val="VerbatimChar"/>
        </w:rPr>
        <w:t>getBalance(address)</w:t>
      </w:r>
    </w:p>
    <w:p w14:paraId="0BFA2E20" w14:textId="77777777" w:rsidR="008568DA" w:rsidRDefault="00C96CA1">
      <w:pPr>
        <w:pStyle w:val="Compact"/>
        <w:numPr>
          <w:ilvl w:val="1"/>
          <w:numId w:val="10"/>
        </w:numPr>
      </w:pPr>
      <w:r>
        <w:rPr>
          <w:rStyle w:val="VerbatimChar"/>
        </w:rPr>
        <w:t>transferTOL(to, amount)</w:t>
      </w:r>
    </w:p>
    <w:p w14:paraId="17C844D7" w14:textId="77777777" w:rsidR="008568DA" w:rsidRDefault="00C96CA1">
      <w:pPr>
        <w:pStyle w:val="Compact"/>
        <w:numPr>
          <w:ilvl w:val="1"/>
          <w:numId w:val="10"/>
        </w:numPr>
      </w:pPr>
      <w:r>
        <w:rPr>
          <w:rStyle w:val="VerbatimChar"/>
        </w:rPr>
        <w:t>approveAndUseTOL(contract, amount)</w:t>
      </w:r>
    </w:p>
    <w:p w14:paraId="79059CF5" w14:textId="77777777" w:rsidR="008568DA" w:rsidRDefault="00C96CA1">
      <w:r>
        <w:pict w14:anchorId="31C051B0">
          <v:rect id="_x0000_i1031" style="width:0;height:1.5pt" o:hralign="center" o:hrstd="t" o:hr="t"/>
        </w:pict>
      </w:r>
    </w:p>
    <w:p w14:paraId="67634D53" w14:textId="77777777" w:rsidR="008568DA" w:rsidRDefault="00C96CA1">
      <w:pPr>
        <w:pStyle w:val="Heading2"/>
      </w:pPr>
      <w:bookmarkStart w:id="14" w:name="risk-mitigation"/>
      <w:bookmarkEnd w:id="13"/>
      <w:bookmarkEnd w:id="11"/>
      <w:r>
        <w:t>7. Risk Mitigation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5"/>
        <w:gridCol w:w="7605"/>
      </w:tblGrid>
      <w:tr w:rsidR="008568DA" w14:paraId="6C898251" w14:textId="77777777" w:rsidTr="00856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679A5FC3" w14:textId="77777777" w:rsidR="008568DA" w:rsidRDefault="00C96CA1">
            <w:pPr>
              <w:pStyle w:val="Compact"/>
            </w:pPr>
            <w:r>
              <w:t>Risk</w:t>
            </w:r>
          </w:p>
        </w:tc>
        <w:tc>
          <w:tcPr>
            <w:tcW w:w="6435" w:type="dxa"/>
          </w:tcPr>
          <w:p w14:paraId="2858AA49" w14:textId="77777777" w:rsidR="008568DA" w:rsidRDefault="00C96CA1">
            <w:pPr>
              <w:pStyle w:val="Compact"/>
            </w:pPr>
            <w:r>
              <w:t>Mitigation Strategy</w:t>
            </w:r>
          </w:p>
        </w:tc>
      </w:tr>
      <w:tr w:rsidR="008568DA" w14:paraId="3066DE4D" w14:textId="77777777">
        <w:tc>
          <w:tcPr>
            <w:tcW w:w="1485" w:type="dxa"/>
          </w:tcPr>
          <w:p w14:paraId="7259486C" w14:textId="77777777" w:rsidR="008568DA" w:rsidRDefault="00C96CA1">
            <w:pPr>
              <w:pStyle w:val="Compact"/>
            </w:pPr>
            <w:r>
              <w:t>Hostile Takeover</w:t>
            </w:r>
          </w:p>
        </w:tc>
        <w:tc>
          <w:tcPr>
            <w:tcW w:w="6435" w:type="dxa"/>
          </w:tcPr>
          <w:p w14:paraId="663C3FC2" w14:textId="77777777" w:rsidR="008568DA" w:rsidRDefault="00C96CA1">
            <w:pPr>
              <w:pStyle w:val="Compact"/>
            </w:pPr>
            <w:r>
              <w:t>Family Foundation with DEFAULT_ADMIN_ROLE, supermajority + veto</w:t>
            </w:r>
          </w:p>
        </w:tc>
      </w:tr>
      <w:tr w:rsidR="008568DA" w14:paraId="598838CF" w14:textId="77777777">
        <w:tc>
          <w:tcPr>
            <w:tcW w:w="1485" w:type="dxa"/>
          </w:tcPr>
          <w:p w14:paraId="756B0E3B" w14:textId="77777777" w:rsidR="008568DA" w:rsidRDefault="00C96CA1">
            <w:pPr>
              <w:pStyle w:val="Compact"/>
            </w:pPr>
            <w:r>
              <w:t>Unauthorized Minting</w:t>
            </w:r>
          </w:p>
        </w:tc>
        <w:tc>
          <w:tcPr>
            <w:tcW w:w="6435" w:type="dxa"/>
          </w:tcPr>
          <w:p w14:paraId="270DDA9B" w14:textId="77777777" w:rsidR="008568DA" w:rsidRDefault="00C96CA1">
            <w:pPr>
              <w:pStyle w:val="Compact"/>
            </w:pPr>
            <w:r>
              <w:t>Capped supply, MINTER_ROLE via timelock, dual multisig</w:t>
            </w:r>
          </w:p>
        </w:tc>
      </w:tr>
      <w:tr w:rsidR="008568DA" w14:paraId="5AE68640" w14:textId="77777777">
        <w:tc>
          <w:tcPr>
            <w:tcW w:w="1485" w:type="dxa"/>
          </w:tcPr>
          <w:p w14:paraId="59F8487F" w14:textId="77777777" w:rsidR="008568DA" w:rsidRDefault="00C96CA1">
            <w:pPr>
              <w:pStyle w:val="Compact"/>
            </w:pPr>
            <w:r>
              <w:t>Smart Contract Vulnerability</w:t>
            </w:r>
          </w:p>
        </w:tc>
        <w:tc>
          <w:tcPr>
            <w:tcW w:w="6435" w:type="dxa"/>
          </w:tcPr>
          <w:p w14:paraId="25020E2C" w14:textId="77777777" w:rsidR="008568DA" w:rsidRDefault="00C96CA1">
            <w:pPr>
              <w:pStyle w:val="Compact"/>
            </w:pPr>
            <w:r>
              <w:t>Audits (OpenZeppelin + third-party), upgradable patterns with admin pause and emergency kill switch</w:t>
            </w:r>
          </w:p>
        </w:tc>
      </w:tr>
      <w:tr w:rsidR="008568DA" w14:paraId="48712677" w14:textId="77777777">
        <w:tc>
          <w:tcPr>
            <w:tcW w:w="1485" w:type="dxa"/>
          </w:tcPr>
          <w:p w14:paraId="58B91E0A" w14:textId="77777777" w:rsidR="008568DA" w:rsidRDefault="00C96CA1">
            <w:pPr>
              <w:pStyle w:val="Compact"/>
            </w:pPr>
            <w:r>
              <w:t>Regulatory Compliance</w:t>
            </w:r>
          </w:p>
        </w:tc>
        <w:tc>
          <w:tcPr>
            <w:tcW w:w="6435" w:type="dxa"/>
          </w:tcPr>
          <w:p w14:paraId="50C248D6" w14:textId="77777777" w:rsidR="008568DA" w:rsidRDefault="00C96CA1">
            <w:pPr>
              <w:pStyle w:val="Compact"/>
            </w:pPr>
            <w:r>
              <w:t>Wyoming DAO LLC registration, KYC/AML on major token distributions, legal counsel review</w:t>
            </w:r>
          </w:p>
        </w:tc>
      </w:tr>
      <w:tr w:rsidR="008568DA" w14:paraId="769CF89B" w14:textId="77777777">
        <w:tc>
          <w:tcPr>
            <w:tcW w:w="1485" w:type="dxa"/>
          </w:tcPr>
          <w:p w14:paraId="37DD6C36" w14:textId="77777777" w:rsidR="008568DA" w:rsidRDefault="00C96CA1">
            <w:pPr>
              <w:pStyle w:val="Compact"/>
            </w:pPr>
            <w:r>
              <w:t>Market Volatility</w:t>
            </w:r>
          </w:p>
        </w:tc>
        <w:tc>
          <w:tcPr>
            <w:tcW w:w="6435" w:type="dxa"/>
          </w:tcPr>
          <w:p w14:paraId="448D2A4F" w14:textId="77777777" w:rsidR="008568DA" w:rsidRDefault="00C96CA1">
            <w:pPr>
              <w:pStyle w:val="Compact"/>
            </w:pPr>
            <w:r>
              <w:t>Treasury-managed buy-back &amp; burn program, stablecoin-backed reserves in Glass Vault</w:t>
            </w:r>
          </w:p>
        </w:tc>
      </w:tr>
    </w:tbl>
    <w:p w14:paraId="7EFA3F53" w14:textId="77777777" w:rsidR="008568DA" w:rsidRDefault="00C96CA1">
      <w:r>
        <w:pict w14:anchorId="3A0A9BD6">
          <v:rect id="_x0000_i1032" style="width:0;height:1.5pt" o:hralign="center" o:hrstd="t" o:hr="t"/>
        </w:pict>
      </w:r>
    </w:p>
    <w:p w14:paraId="615C5E71" w14:textId="77777777" w:rsidR="008568DA" w:rsidRDefault="00C96CA1">
      <w:pPr>
        <w:pStyle w:val="Heading2"/>
      </w:pPr>
      <w:bookmarkStart w:id="15" w:name="technical-architecture-upgradability"/>
      <w:bookmarkEnd w:id="14"/>
      <w:r>
        <w:t>8. Technical Architecture &amp; Upgradability</w:t>
      </w:r>
    </w:p>
    <w:p w14:paraId="2FA008AB" w14:textId="77777777" w:rsidR="008568DA" w:rsidRDefault="00C96CA1">
      <w:pPr>
        <w:pStyle w:val="Heading3"/>
      </w:pPr>
      <w:bookmarkStart w:id="16" w:name="modular-contracts"/>
      <w:r>
        <w:t>8.1 Modular Contracts</w:t>
      </w:r>
    </w:p>
    <w:p w14:paraId="29794603" w14:textId="77777777" w:rsidR="008568DA" w:rsidRDefault="00C96CA1">
      <w:pPr>
        <w:pStyle w:val="Compact"/>
        <w:numPr>
          <w:ilvl w:val="0"/>
          <w:numId w:val="11"/>
        </w:numPr>
      </w:pPr>
      <w:r>
        <w:rPr>
          <w:b/>
          <w:bCs/>
        </w:rPr>
        <w:t>Proxy Pattern:</w:t>
      </w:r>
      <w:r>
        <w:t xml:space="preserve"> Use OpenZeppelin TransparentUpgradeableProxy for core token logic.</w:t>
      </w:r>
    </w:p>
    <w:p w14:paraId="2C7FBC47" w14:textId="77777777" w:rsidR="008568DA" w:rsidRDefault="00C96CA1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Governance Modules:</w:t>
      </w:r>
      <w:r>
        <w:t xml:space="preserve"> Separate timelock, governor, and token contracts for isolated upgrades.</w:t>
      </w:r>
    </w:p>
    <w:p w14:paraId="3B66CBCE" w14:textId="77777777" w:rsidR="008568DA" w:rsidRDefault="00C96CA1">
      <w:pPr>
        <w:pStyle w:val="Heading3"/>
      </w:pPr>
      <w:bookmarkStart w:id="17" w:name="data-metadata-storage"/>
      <w:bookmarkEnd w:id="16"/>
      <w:r>
        <w:t>8.2 Data &amp; Metadata Storage</w:t>
      </w:r>
    </w:p>
    <w:p w14:paraId="71A579C5" w14:textId="77777777" w:rsidR="008568DA" w:rsidRDefault="00C96CA1">
      <w:pPr>
        <w:pStyle w:val="Compact"/>
        <w:numPr>
          <w:ilvl w:val="0"/>
          <w:numId w:val="12"/>
        </w:numPr>
      </w:pPr>
      <w:r>
        <w:rPr>
          <w:b/>
          <w:bCs/>
        </w:rPr>
        <w:t>IPFS + Storacha:</w:t>
      </w:r>
      <w:r>
        <w:t xml:space="preserve"> Host logo, metadata, whitepaper, and genesis documentation with hot-layer CIDs.</w:t>
      </w:r>
    </w:p>
    <w:p w14:paraId="743D75E5" w14:textId="77777777" w:rsidR="008568DA" w:rsidRDefault="00C96CA1">
      <w:pPr>
        <w:pStyle w:val="Compact"/>
        <w:numPr>
          <w:ilvl w:val="0"/>
          <w:numId w:val="12"/>
        </w:numPr>
      </w:pPr>
      <w:r>
        <w:rPr>
          <w:b/>
          <w:bCs/>
        </w:rPr>
        <w:t>Mirror on Arweave:</w:t>
      </w:r>
      <w:r>
        <w:t xml:space="preserve"> Permanent archives of key docs (DAO Constitution, whitepaper).</w:t>
      </w:r>
    </w:p>
    <w:p w14:paraId="74E0D1CB" w14:textId="77777777" w:rsidR="008568DA" w:rsidRDefault="00C96CA1">
      <w:r>
        <w:pict w14:anchorId="440944D9">
          <v:rect id="_x0000_i1033" style="width:0;height:1.5pt" o:hralign="center" o:hrstd="t" o:hr="t"/>
        </w:pict>
      </w:r>
    </w:p>
    <w:p w14:paraId="6FDD3F78" w14:textId="77777777" w:rsidR="008568DA" w:rsidRDefault="00C96CA1">
      <w:pPr>
        <w:pStyle w:val="Heading2"/>
      </w:pPr>
      <w:bookmarkStart w:id="18" w:name="implementation-roadmap"/>
      <w:bookmarkEnd w:id="17"/>
      <w:bookmarkEnd w:id="15"/>
      <w:r>
        <w:t>9. Implementation Roadmap</w:t>
      </w:r>
    </w:p>
    <w:p w14:paraId="15D8DFFF" w14:textId="77777777" w:rsidR="008568DA" w:rsidRDefault="00C96CA1">
      <w:pPr>
        <w:pStyle w:val="Compact"/>
        <w:numPr>
          <w:ilvl w:val="0"/>
          <w:numId w:val="13"/>
        </w:numPr>
      </w:pPr>
      <w:r>
        <w:rPr>
          <w:b/>
          <w:bCs/>
        </w:rPr>
        <w:t>Q3 2025:</w:t>
      </w:r>
      <w:r>
        <w:t xml:space="preserve"> Audit &amp; deploy updated </w:t>
      </w:r>
      <w:r>
        <w:rPr>
          <w:rStyle w:val="VerbatimChar"/>
        </w:rPr>
        <w:t>TolaniToken</w:t>
      </w:r>
      <w:r>
        <w:t xml:space="preserve"> with governance, cap, mint roles.</w:t>
      </w:r>
    </w:p>
    <w:p w14:paraId="3C1607CA" w14:textId="77777777" w:rsidR="008568DA" w:rsidRDefault="00C96CA1">
      <w:pPr>
        <w:pStyle w:val="Compact"/>
        <w:numPr>
          <w:ilvl w:val="0"/>
          <w:numId w:val="13"/>
        </w:numPr>
      </w:pPr>
      <w:r>
        <w:rPr>
          <w:b/>
          <w:bCs/>
        </w:rPr>
        <w:t>Q4 2025:</w:t>
      </w:r>
      <w:r>
        <w:t xml:space="preserve"> </w:t>
      </w:r>
      <w:r>
        <w:t>Grant roles to DAO &amp; Family Foundation; set up timelock governance.</w:t>
      </w:r>
    </w:p>
    <w:p w14:paraId="3435952B" w14:textId="77777777" w:rsidR="008568DA" w:rsidRDefault="00C96CA1">
      <w:pPr>
        <w:pStyle w:val="Compact"/>
        <w:numPr>
          <w:ilvl w:val="0"/>
          <w:numId w:val="13"/>
        </w:numPr>
      </w:pPr>
      <w:r>
        <w:rPr>
          <w:b/>
          <w:bCs/>
        </w:rPr>
        <w:t>Q1 2026:</w:t>
      </w:r>
      <w:r>
        <w:t xml:space="preserve"> Launch on Ethereum mainnet + Polygon; Initial Deck &amp; Documentation archive on IPFS/Arweave.</w:t>
      </w:r>
    </w:p>
    <w:p w14:paraId="06A862B9" w14:textId="77777777" w:rsidR="008568DA" w:rsidRDefault="00C96CA1">
      <w:pPr>
        <w:pStyle w:val="Compact"/>
        <w:numPr>
          <w:ilvl w:val="0"/>
          <w:numId w:val="13"/>
        </w:numPr>
      </w:pPr>
      <w:r>
        <w:rPr>
          <w:b/>
          <w:bCs/>
        </w:rPr>
        <w:t>Q2 2026:</w:t>
      </w:r>
      <w:r>
        <w:t xml:space="preserve"> Integrate TOL on Decentraland &amp; The Sandbox; pilot virtual property leasing.</w:t>
      </w:r>
    </w:p>
    <w:p w14:paraId="04E00D5B" w14:textId="77777777" w:rsidR="008568DA" w:rsidRDefault="00C96CA1">
      <w:pPr>
        <w:pStyle w:val="Compact"/>
        <w:numPr>
          <w:ilvl w:val="0"/>
          <w:numId w:val="13"/>
        </w:numPr>
      </w:pPr>
      <w:r>
        <w:rPr>
          <w:b/>
          <w:bCs/>
        </w:rPr>
        <w:t>Q3 2026:</w:t>
      </w:r>
      <w:r>
        <w:t xml:space="preserve"> DAO passes first mint proposal for ecosystem grants; run family council review.</w:t>
      </w:r>
    </w:p>
    <w:p w14:paraId="226D0DBD" w14:textId="77777777" w:rsidR="008568DA" w:rsidRDefault="00C96CA1">
      <w:pPr>
        <w:pStyle w:val="Compact"/>
        <w:numPr>
          <w:ilvl w:val="0"/>
          <w:numId w:val="13"/>
        </w:numPr>
      </w:pPr>
      <w:r>
        <w:rPr>
          <w:b/>
          <w:bCs/>
        </w:rPr>
        <w:t>Ongoing:</w:t>
      </w:r>
      <w:r>
        <w:t xml:space="preserve"> Quarterly reviews, audits, and community summits in virtual and physical venues.</w:t>
      </w:r>
    </w:p>
    <w:p w14:paraId="4CB4CF8B" w14:textId="77777777" w:rsidR="008568DA" w:rsidRDefault="00C96CA1">
      <w:r>
        <w:pict w14:anchorId="32A30616">
          <v:rect id="_x0000_i1034" style="width:0;height:1.5pt" o:hralign="center" o:hrstd="t" o:hr="t"/>
        </w:pict>
      </w:r>
    </w:p>
    <w:p w14:paraId="4F8AF710" w14:textId="77777777" w:rsidR="008568DA" w:rsidRDefault="00C96CA1">
      <w:pPr>
        <w:pStyle w:val="Heading2"/>
      </w:pPr>
      <w:bookmarkStart w:id="19" w:name="monitoring-adaptation"/>
      <w:bookmarkEnd w:id="18"/>
      <w:r>
        <w:t>10. Monitoring &amp; Adaptation</w:t>
      </w:r>
    </w:p>
    <w:p w14:paraId="21350C69" w14:textId="77777777" w:rsidR="008568DA" w:rsidRDefault="00C96CA1">
      <w:pPr>
        <w:pStyle w:val="Compact"/>
        <w:numPr>
          <w:ilvl w:val="0"/>
          <w:numId w:val="14"/>
        </w:numPr>
      </w:pPr>
      <w:r>
        <w:rPr>
          <w:b/>
          <w:bCs/>
        </w:rPr>
        <w:t>On-Chain Analytics:</w:t>
      </w:r>
      <w:r>
        <w:t xml:space="preserve"> Use Dune dashboards for supply, transfers, and treasury metrics.</w:t>
      </w:r>
    </w:p>
    <w:p w14:paraId="0B29EBB1" w14:textId="77777777" w:rsidR="008568DA" w:rsidRDefault="00C96CA1">
      <w:pPr>
        <w:pStyle w:val="Compact"/>
        <w:numPr>
          <w:ilvl w:val="0"/>
          <w:numId w:val="14"/>
        </w:numPr>
      </w:pPr>
      <w:r>
        <w:rPr>
          <w:b/>
          <w:bCs/>
        </w:rPr>
        <w:t>Governance Reviews:</w:t>
      </w:r>
      <w:r>
        <w:t xml:space="preserve"> Annual family-DAO joint council to adjust cap, policies, or strategy.</w:t>
      </w:r>
    </w:p>
    <w:p w14:paraId="6243AD15" w14:textId="77777777" w:rsidR="008568DA" w:rsidRDefault="00C96CA1">
      <w:pPr>
        <w:pStyle w:val="Compact"/>
        <w:numPr>
          <w:ilvl w:val="0"/>
          <w:numId w:val="14"/>
        </w:numPr>
      </w:pPr>
      <w:r>
        <w:rPr>
          <w:b/>
          <w:bCs/>
        </w:rPr>
        <w:t>Security Audits:</w:t>
      </w:r>
      <w:r>
        <w:t xml:space="preserve"> </w:t>
      </w:r>
      <w:r>
        <w:t>Bi-annual third-party audits and ongoing bug bounty program.</w:t>
      </w:r>
    </w:p>
    <w:p w14:paraId="5953D8EB" w14:textId="77777777" w:rsidR="008568DA" w:rsidRDefault="00C96CA1">
      <w:r>
        <w:pict w14:anchorId="332D37E2">
          <v:rect id="_x0000_i1035" style="width:0;height:1.5pt" o:hralign="center" o:hrstd="t" o:hr="t"/>
        </w:pict>
      </w:r>
    </w:p>
    <w:p w14:paraId="00B5847E" w14:textId="77777777" w:rsidR="008568DA" w:rsidRDefault="00C96CA1">
      <w:pPr>
        <w:pStyle w:val="Heading2"/>
      </w:pPr>
      <w:bookmarkStart w:id="20" w:name="conclusion-best-case-recommendations"/>
      <w:bookmarkEnd w:id="19"/>
      <w:r>
        <w:t>11. Conclusion &amp; Best-Case Recommendations</w:t>
      </w:r>
    </w:p>
    <w:p w14:paraId="4EA89670" w14:textId="77777777" w:rsidR="008568DA" w:rsidRDefault="00C96CA1">
      <w:pPr>
        <w:pStyle w:val="Compact"/>
        <w:numPr>
          <w:ilvl w:val="0"/>
          <w:numId w:val="15"/>
        </w:numPr>
      </w:pPr>
      <w:r>
        <w:t xml:space="preserve">Adopt the </w:t>
      </w:r>
      <w:r>
        <w:rPr>
          <w:b/>
          <w:bCs/>
        </w:rPr>
        <w:t>hybrid family-DAO governance</w:t>
      </w:r>
      <w:r>
        <w:t xml:space="preserve"> model for balanced control and community empowerment.</w:t>
      </w:r>
    </w:p>
    <w:p w14:paraId="34A0172A" w14:textId="77777777" w:rsidR="008568DA" w:rsidRDefault="00C96CA1">
      <w:pPr>
        <w:pStyle w:val="Compact"/>
        <w:numPr>
          <w:ilvl w:val="0"/>
          <w:numId w:val="15"/>
        </w:numPr>
      </w:pPr>
      <w:r>
        <w:t xml:space="preserve">Leverage </w:t>
      </w:r>
      <w:r>
        <w:rPr>
          <w:b/>
          <w:bCs/>
        </w:rPr>
        <w:t>Storacha IPFS + Arweave</w:t>
      </w:r>
      <w:r>
        <w:t xml:space="preserve"> for resilient metadata hosting.</w:t>
      </w:r>
    </w:p>
    <w:p w14:paraId="7CA56857" w14:textId="77777777" w:rsidR="008568DA" w:rsidRDefault="00C96CA1">
      <w:pPr>
        <w:pStyle w:val="Compact"/>
        <w:numPr>
          <w:ilvl w:val="0"/>
          <w:numId w:val="15"/>
        </w:numPr>
      </w:pPr>
      <w:r>
        <w:t xml:space="preserve">Engage major </w:t>
      </w:r>
      <w:r>
        <w:rPr>
          <w:b/>
          <w:bCs/>
        </w:rPr>
        <w:t>Metaverse platforms</w:t>
      </w:r>
      <w:r>
        <w:t xml:space="preserve"> early with pilot programs.</w:t>
      </w:r>
    </w:p>
    <w:p w14:paraId="70A0D9BF" w14:textId="77777777" w:rsidR="008568DA" w:rsidRDefault="00C96CA1">
      <w:pPr>
        <w:pStyle w:val="Compact"/>
        <w:numPr>
          <w:ilvl w:val="0"/>
          <w:numId w:val="15"/>
        </w:numPr>
      </w:pPr>
      <w:r>
        <w:t xml:space="preserve">Maintain </w:t>
      </w:r>
      <w:r>
        <w:rPr>
          <w:b/>
          <w:bCs/>
        </w:rPr>
        <w:t>family oversight via Foundation</w:t>
      </w:r>
      <w:r>
        <w:t xml:space="preserve"> roles, timelocks, and dual-class membership.</w:t>
      </w:r>
    </w:p>
    <w:p w14:paraId="65CE763C" w14:textId="77777777" w:rsidR="008568DA" w:rsidRDefault="00C96CA1">
      <w:pPr>
        <w:pStyle w:val="BlockText"/>
      </w:pPr>
      <w:r>
        <w:rPr>
          <w:b/>
          <w:bCs/>
        </w:rPr>
        <w:t>With this framework, TolaniToken will thrive in virtual worlds, fuel real-world operations, and preserve your family’s legacy and control for generations.</w:t>
      </w:r>
    </w:p>
    <w:p w14:paraId="3C9AD3C2" w14:textId="77777777" w:rsidR="008568DA" w:rsidRDefault="00C96CA1">
      <w:r>
        <w:lastRenderedPageBreak/>
        <w:pict w14:anchorId="68C5B44A">
          <v:rect id="_x0000_i1036" style="width:0;height:1.5pt" o:hralign="center" o:hrstd="t" o:hr="t"/>
        </w:pict>
      </w:r>
    </w:p>
    <w:p w14:paraId="1ABA8BE6" w14:textId="715BAEFA" w:rsidR="008568DA" w:rsidRDefault="00C96CA1">
      <w:pPr>
        <w:pStyle w:val="FirstParagraph"/>
      </w:pPr>
      <w:r>
        <w:rPr>
          <w:i/>
          <w:iCs/>
        </w:rPr>
        <w:t>Prepared by Tolani Corp</w:t>
      </w:r>
      <w:r>
        <w:rPr>
          <w:i/>
          <w:iCs/>
        </w:rPr>
        <w:t xml:space="preserve"> for Terrill Hines, July 2025</w:t>
      </w:r>
    </w:p>
    <w:bookmarkEnd w:id="20"/>
    <w:sectPr w:rsidR="008568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53C7C" w14:textId="77777777" w:rsidR="007E7A32" w:rsidRDefault="007E7A32" w:rsidP="007E7A32">
      <w:pPr>
        <w:spacing w:after="0"/>
      </w:pPr>
      <w:r>
        <w:separator/>
      </w:r>
    </w:p>
  </w:endnote>
  <w:endnote w:type="continuationSeparator" w:id="0">
    <w:p w14:paraId="64AA7237" w14:textId="77777777" w:rsidR="007E7A32" w:rsidRDefault="007E7A32" w:rsidP="007E7A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C82ED" w14:textId="77777777" w:rsidR="007E7A32" w:rsidRDefault="007E7A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BE103" w14:textId="77777777" w:rsidR="007E7A32" w:rsidRDefault="007E7A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082C" w14:textId="77777777" w:rsidR="007E7A32" w:rsidRDefault="007E7A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D8708" w14:textId="77777777" w:rsidR="007E7A32" w:rsidRDefault="007E7A32" w:rsidP="007E7A32">
      <w:pPr>
        <w:spacing w:after="0"/>
      </w:pPr>
      <w:r>
        <w:separator/>
      </w:r>
    </w:p>
  </w:footnote>
  <w:footnote w:type="continuationSeparator" w:id="0">
    <w:p w14:paraId="7D3DA260" w14:textId="77777777" w:rsidR="007E7A32" w:rsidRDefault="007E7A32" w:rsidP="007E7A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A896F" w14:textId="27392150" w:rsidR="007E7A32" w:rsidRDefault="007E7A32">
    <w:pPr>
      <w:pStyle w:val="Header"/>
    </w:pPr>
    <w:r>
      <w:rPr>
        <w:noProof/>
      </w:rPr>
      <w:pict w14:anchorId="55BFB9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00141" o:spid="_x0000_s2050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TolaniToken_Trans_png (1024x1024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003C7" w14:textId="3737845F" w:rsidR="007E7A32" w:rsidRDefault="007E7A32">
    <w:pPr>
      <w:pStyle w:val="Header"/>
    </w:pPr>
    <w:r>
      <w:rPr>
        <w:noProof/>
      </w:rPr>
      <w:pict w14:anchorId="67DE0A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00142" o:spid="_x0000_s2051" type="#_x0000_t75" style="position:absolute;margin-left:0;margin-top:0;width:467.7pt;height:467.7pt;z-index:-251655168;mso-position-horizontal:center;mso-position-horizontal-relative:margin;mso-position-vertical:center;mso-position-vertical-relative:margin" o:allowincell="f">
          <v:imagedata r:id="rId1" o:title="TolaniToken_Trans_png (1024x1024)" gain="19661f" blacklevel="22938f"/>
        </v:shape>
      </w:pict>
    </w:r>
    <w:r>
      <w:rPr>
        <w:noProof/>
      </w:rPr>
      <w:drawing>
        <wp:anchor distT="0" distB="0" distL="114300" distR="114300" simplePos="0" relativeHeight="251658240" behindDoc="0" locked="0" layoutInCell="1" allowOverlap="1" wp14:anchorId="4550069A" wp14:editId="6DE25441">
          <wp:simplePos x="0" y="0"/>
          <wp:positionH relativeFrom="column">
            <wp:posOffset>-387350</wp:posOffset>
          </wp:positionH>
          <wp:positionV relativeFrom="paragraph">
            <wp:posOffset>-361950</wp:posOffset>
          </wp:positionV>
          <wp:extent cx="742950" cy="742950"/>
          <wp:effectExtent l="0" t="0" r="0" b="0"/>
          <wp:wrapThrough wrapText="bothSides">
            <wp:wrapPolygon edited="0">
              <wp:start x="2769" y="1662"/>
              <wp:lineTo x="554" y="3877"/>
              <wp:lineTo x="0" y="16615"/>
              <wp:lineTo x="8862" y="19385"/>
              <wp:lineTo x="16615" y="19385"/>
              <wp:lineTo x="18277" y="11631"/>
              <wp:lineTo x="21046" y="6092"/>
              <wp:lineTo x="21046" y="1662"/>
              <wp:lineTo x="2769" y="1662"/>
            </wp:wrapPolygon>
          </wp:wrapThrough>
          <wp:docPr id="679836616" name="Picture 1" descr="A red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9836616" name="Picture 1" descr="A red and black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597D2" w14:textId="5F5E7206" w:rsidR="007E7A32" w:rsidRDefault="007E7A32">
    <w:pPr>
      <w:pStyle w:val="Header"/>
    </w:pPr>
    <w:r>
      <w:rPr>
        <w:noProof/>
      </w:rPr>
      <w:pict w14:anchorId="454947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00140" o:spid="_x0000_s2049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TolaniToken_Trans_png (1024x1024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1A9B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CEE5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AC4DD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2944328">
    <w:abstractNumId w:val="0"/>
  </w:num>
  <w:num w:numId="2" w16cid:durableId="279412509">
    <w:abstractNumId w:val="1"/>
  </w:num>
  <w:num w:numId="3" w16cid:durableId="297299875">
    <w:abstractNumId w:val="1"/>
  </w:num>
  <w:num w:numId="4" w16cid:durableId="2020426883">
    <w:abstractNumId w:val="1"/>
  </w:num>
  <w:num w:numId="5" w16cid:durableId="2125344891">
    <w:abstractNumId w:val="1"/>
  </w:num>
  <w:num w:numId="6" w16cid:durableId="385566895">
    <w:abstractNumId w:val="1"/>
  </w:num>
  <w:num w:numId="7" w16cid:durableId="1938437039">
    <w:abstractNumId w:val="1"/>
  </w:num>
  <w:num w:numId="8" w16cid:durableId="1248687107">
    <w:abstractNumId w:val="1"/>
  </w:num>
  <w:num w:numId="9" w16cid:durableId="307053715">
    <w:abstractNumId w:val="1"/>
  </w:num>
  <w:num w:numId="10" w16cid:durableId="303198345">
    <w:abstractNumId w:val="1"/>
  </w:num>
  <w:num w:numId="11" w16cid:durableId="472019415">
    <w:abstractNumId w:val="1"/>
  </w:num>
  <w:num w:numId="12" w16cid:durableId="1455712330">
    <w:abstractNumId w:val="1"/>
  </w:num>
  <w:num w:numId="13" w16cid:durableId="784689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63692312">
    <w:abstractNumId w:val="1"/>
  </w:num>
  <w:num w:numId="15" w16cid:durableId="1147016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DA"/>
    <w:rsid w:val="007E7A32"/>
    <w:rsid w:val="008568DA"/>
    <w:rsid w:val="0088376F"/>
    <w:rsid w:val="00C9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1AA98119"/>
  <w15:docId w15:val="{E88CB50D-D674-4E78-93DB-053030C6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E7A3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E7A32"/>
  </w:style>
  <w:style w:type="paragraph" w:styleId="Footer">
    <w:name w:val="footer"/>
    <w:basedOn w:val="Normal"/>
    <w:link w:val="FooterChar"/>
    <w:rsid w:val="007E7A3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E7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904</Words>
  <Characters>5725</Characters>
  <Application>Microsoft Office Word</Application>
  <DocSecurity>0</DocSecurity>
  <Lines>168</Lines>
  <Paragraphs>120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terrill hines</dc:creator>
  <cp:keywords/>
  <cp:lastModifiedBy>terrill hines</cp:lastModifiedBy>
  <cp:revision>3</cp:revision>
  <dcterms:created xsi:type="dcterms:W3CDTF">2025-07-24T05:21:00Z</dcterms:created>
  <dcterms:modified xsi:type="dcterms:W3CDTF">2025-07-24T05:22:00Z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71204c6e-c519-4b2f-8ac6-526dda14651d</vt:lpwstr>
  </property>
</Properties>
</file>