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2023-09-08</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2"/>
          <w:numId w:val="1014"/>
        </w:numPr>
        <w:pStyle w:val="Compact"/>
      </w:pPr>
      <w:hyperlink w:anchor="signed-extension-set">
        <w:r>
          <w:rPr>
            <w:rStyle w:val="Hyperlink"/>
          </w:rPr>
          <w:t xml:space="preserve">Signed Extension Set</w:t>
        </w:r>
      </w:hyperlink>
    </w:p>
    <w:p>
      <w:pPr>
        <w:numPr>
          <w:ilvl w:val="2"/>
          <w:numId w:val="1014"/>
        </w:numPr>
        <w:pStyle w:val="Compact"/>
      </w:pPr>
      <w:hyperlink w:anchor="floating-point-extension-set">
        <w:r>
          <w:rPr>
            <w:rStyle w:val="Hyperlink"/>
          </w:rPr>
          <w:t xml:space="preserve">Floating Point Extension Set</w:t>
        </w:r>
      </w:hyperlink>
    </w:p>
    <w:p>
      <w:pPr>
        <w:numPr>
          <w:ilvl w:val="2"/>
          <w:numId w:val="1014"/>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167 opcodes (49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4" w:name="full-instruction-reference"/>
    <w:p>
      <w:pPr>
        <w:pStyle w:val="Heading2"/>
      </w:pPr>
      <w:r>
        <w:t xml:space="preserve">Full Instruction Reference</w:t>
      </w:r>
    </w:p>
    <w:bookmarkStart w:id="80"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81"/>
    <w:bookmarkStart w:id="82"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82"/>
    <w:bookmarkStart w:id="83"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83"/>
    <w:bookmarkEnd w:id="84"/>
    <w:bookmarkStart w:id="85"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2023-09-08T22:14:19Z</dcterms:created>
  <dcterms:modified xsi:type="dcterms:W3CDTF">2023-09-08T22:14:19Z</dcterms:modified>
</cp:coreProperties>
</file>

<file path=docProps/custom.xml><?xml version="1.0" encoding="utf-8"?>
<Properties xmlns="http://schemas.openxmlformats.org/officeDocument/2006/custom-properties" xmlns:vt="http://schemas.openxmlformats.org/officeDocument/2006/docPropsVTypes"/>
</file>