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assembly-language-reference"/>
    <w:p>
      <w:pPr>
        <w:pStyle w:val="Heading1"/>
      </w:pPr>
      <w:r>
        <w:t xml:space="preserve">AssEmbly Language Reference</w:t>
      </w:r>
    </w:p>
    <w:p>
      <w:pPr>
        <w:pStyle w:val="FirstParagraph"/>
      </w:pPr>
      <w:r>
        <w:t xml:space="preserve">Applies to versions:</w:t>
      </w:r>
      <w:r>
        <w:t xml:space="preserve"> </w:t>
      </w:r>
      <w:r>
        <w:rPr>
          <w:rStyle w:val="VerbatimChar"/>
        </w:rPr>
        <w:t xml:space="preserve">2.0.0</w:t>
      </w:r>
    </w:p>
    <w:p>
      <w:pPr>
        <w:pStyle w:val="BodyText"/>
      </w:pPr>
      <w:r>
        <w:t xml:space="preserve">Last revised: 2023-09-11</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numPr>
          <w:ilvl w:val="0"/>
          <w:numId w:val="1001"/>
        </w:numPr>
        <w:pStyle w:val="Compact"/>
      </w:pPr>
      <w:hyperlink w:anchor="assembly-language-reference">
        <w:r>
          <w:rPr>
            <w:rStyle w:val="Hyperlink"/>
          </w:rPr>
          <w:t xml:space="preserve">AssEmbly Language Reference</w:t>
        </w:r>
      </w:hyperlink>
    </w:p>
    <w:p>
      <w:pPr>
        <w:numPr>
          <w:ilvl w:val="1"/>
          <w:numId w:val="1002"/>
        </w:numPr>
        <w:pStyle w:val="Compact"/>
      </w:pPr>
      <w:hyperlink w:anchor="introduction">
        <w:r>
          <w:rPr>
            <w:rStyle w:val="Hyperlink"/>
          </w:rPr>
          <w:t xml:space="preserve">Introduction</w:t>
        </w:r>
      </w:hyperlink>
    </w:p>
    <w:p>
      <w:pPr>
        <w:numPr>
          <w:ilvl w:val="1"/>
          <w:numId w:val="1002"/>
        </w:numPr>
        <w:pStyle w:val="Compact"/>
      </w:pPr>
      <w:hyperlink w:anchor="table-of-contents">
        <w:r>
          <w:rPr>
            <w:rStyle w:val="Hyperlink"/>
          </w:rPr>
          <w:t xml:space="preserve">Table of Contents</w:t>
        </w:r>
      </w:hyperlink>
    </w:p>
    <w:p>
      <w:pPr>
        <w:numPr>
          <w:ilvl w:val="1"/>
          <w:numId w:val="1002"/>
        </w:numPr>
        <w:pStyle w:val="Compact"/>
      </w:pPr>
      <w:hyperlink w:anchor="technical-information">
        <w:r>
          <w:rPr>
            <w:rStyle w:val="Hyperlink"/>
          </w:rPr>
          <w:t xml:space="preserve">Technical Information</w:t>
        </w:r>
      </w:hyperlink>
    </w:p>
    <w:p>
      <w:pPr>
        <w:numPr>
          <w:ilvl w:val="1"/>
          <w:numId w:val="1002"/>
        </w:numPr>
        <w:pStyle w:val="Compact"/>
      </w:pPr>
      <w:hyperlink w:anchor="basic-syntax">
        <w:r>
          <w:rPr>
            <w:rStyle w:val="Hyperlink"/>
          </w:rPr>
          <w:t xml:space="preserve">Basic Syntax</w:t>
        </w:r>
      </w:hyperlink>
    </w:p>
    <w:p>
      <w:pPr>
        <w:numPr>
          <w:ilvl w:val="2"/>
          <w:numId w:val="1003"/>
        </w:numPr>
        <w:pStyle w:val="Compact"/>
      </w:pPr>
      <w:hyperlink w:anchor="mnemonics-and-operands">
        <w:r>
          <w:rPr>
            <w:rStyle w:val="Hyperlink"/>
          </w:rPr>
          <w:t xml:space="preserve">Mnemonics and Operands</w:t>
        </w:r>
      </w:hyperlink>
    </w:p>
    <w:p>
      <w:pPr>
        <w:numPr>
          <w:ilvl w:val="2"/>
          <w:numId w:val="1003"/>
        </w:numPr>
        <w:pStyle w:val="Compact"/>
      </w:pPr>
      <w:hyperlink w:anchor="comments">
        <w:r>
          <w:rPr>
            <w:rStyle w:val="Hyperlink"/>
          </w:rPr>
          <w:t xml:space="preserve">Comments</w:t>
        </w:r>
      </w:hyperlink>
    </w:p>
    <w:p>
      <w:pPr>
        <w:numPr>
          <w:ilvl w:val="2"/>
          <w:numId w:val="1003"/>
        </w:numPr>
        <w:pStyle w:val="Compact"/>
      </w:pPr>
      <w:hyperlink w:anchor="labels">
        <w:r>
          <w:rPr>
            <w:rStyle w:val="Hyperlink"/>
          </w:rPr>
          <w:t xml:space="preserve">Labels</w:t>
        </w:r>
      </w:hyperlink>
    </w:p>
    <w:p>
      <w:pPr>
        <w:numPr>
          <w:ilvl w:val="1"/>
          <w:numId w:val="1002"/>
        </w:numPr>
        <w:pStyle w:val="Compact"/>
      </w:pPr>
      <w:hyperlink w:anchor="operand-types">
        <w:r>
          <w:rPr>
            <w:rStyle w:val="Hyperlink"/>
          </w:rPr>
          <w:t xml:space="preserve">Operand Types</w:t>
        </w:r>
      </w:hyperlink>
    </w:p>
    <w:p>
      <w:pPr>
        <w:numPr>
          <w:ilvl w:val="2"/>
          <w:numId w:val="1004"/>
        </w:numPr>
        <w:pStyle w:val="Compact"/>
      </w:pPr>
      <w:hyperlink w:anchor="register">
        <w:r>
          <w:rPr>
            <w:rStyle w:val="Hyperlink"/>
          </w:rPr>
          <w:t xml:space="preserve">Register</w:t>
        </w:r>
      </w:hyperlink>
    </w:p>
    <w:p>
      <w:pPr>
        <w:numPr>
          <w:ilvl w:val="2"/>
          <w:numId w:val="1004"/>
        </w:numPr>
        <w:pStyle w:val="Compact"/>
      </w:pPr>
      <w:hyperlink w:anchor="literal">
        <w:r>
          <w:rPr>
            <w:rStyle w:val="Hyperlink"/>
          </w:rPr>
          <w:t xml:space="preserve">Literal</w:t>
        </w:r>
      </w:hyperlink>
    </w:p>
    <w:p>
      <w:pPr>
        <w:numPr>
          <w:ilvl w:val="2"/>
          <w:numId w:val="1004"/>
        </w:numPr>
        <w:pStyle w:val="Compact"/>
      </w:pPr>
      <w:hyperlink w:anchor="address">
        <w:r>
          <w:rPr>
            <w:rStyle w:val="Hyperlink"/>
          </w:rPr>
          <w:t xml:space="preserve">Address</w:t>
        </w:r>
      </w:hyperlink>
    </w:p>
    <w:p>
      <w:pPr>
        <w:numPr>
          <w:ilvl w:val="2"/>
          <w:numId w:val="1004"/>
        </w:numPr>
        <w:pStyle w:val="Compact"/>
      </w:pPr>
      <w:hyperlink w:anchor="pointer">
        <w:r>
          <w:rPr>
            <w:rStyle w:val="Hyperlink"/>
          </w:rPr>
          <w:t xml:space="preserve">Pointer</w:t>
        </w:r>
      </w:hyperlink>
    </w:p>
    <w:p>
      <w:pPr>
        <w:numPr>
          <w:ilvl w:val="1"/>
          <w:numId w:val="1002"/>
        </w:numPr>
        <w:pStyle w:val="Compact"/>
      </w:pPr>
      <w:hyperlink w:anchor="registers">
        <w:r>
          <w:rPr>
            <w:rStyle w:val="Hyperlink"/>
          </w:rPr>
          <w:t xml:space="preserve">Registers</w:t>
        </w:r>
      </w:hyperlink>
    </w:p>
    <w:p>
      <w:pPr>
        <w:numPr>
          <w:ilvl w:val="2"/>
          <w:numId w:val="1005"/>
        </w:numPr>
        <w:pStyle w:val="Compact"/>
      </w:pPr>
      <w:hyperlink w:anchor="register-table">
        <w:r>
          <w:rPr>
            <w:rStyle w:val="Hyperlink"/>
          </w:rPr>
          <w:t xml:space="preserve">Register Table</w:t>
        </w:r>
      </w:hyperlink>
    </w:p>
    <w:p>
      <w:pPr>
        <w:numPr>
          <w:ilvl w:val="2"/>
          <w:numId w:val="1005"/>
        </w:numPr>
        <w:pStyle w:val="Compact"/>
      </w:pPr>
      <w:hyperlink w:anchor="rpo--program-offset">
        <w:r>
          <w:rPr>
            <w:rStyle w:val="VerbatimChar"/>
          </w:rPr>
          <w:t xml:space="preserve">rpo</w:t>
        </w:r>
        <w:r>
          <w:rPr>
            <w:rStyle w:val="Hyperlink"/>
          </w:rPr>
          <w:t xml:space="preserve"> </w:t>
        </w:r>
        <w:r>
          <w:rPr>
            <w:rStyle w:val="Hyperlink"/>
          </w:rPr>
          <w:t xml:space="preserve">— Program Offset</w:t>
        </w:r>
      </w:hyperlink>
    </w:p>
    <w:p>
      <w:pPr>
        <w:numPr>
          <w:ilvl w:val="2"/>
          <w:numId w:val="1005"/>
        </w:numPr>
        <w:pStyle w:val="Compact"/>
      </w:pPr>
      <w:hyperlink w:anchor="rsf--status-flags">
        <w:r>
          <w:rPr>
            <w:rStyle w:val="VerbatimChar"/>
          </w:rPr>
          <w:t xml:space="preserve">rsf</w:t>
        </w:r>
        <w:r>
          <w:rPr>
            <w:rStyle w:val="Hyperlink"/>
          </w:rPr>
          <w:t xml:space="preserve"> </w:t>
        </w:r>
        <w:r>
          <w:rPr>
            <w:rStyle w:val="Hyperlink"/>
          </w:rPr>
          <w:t xml:space="preserve">— Status Flags</w:t>
        </w:r>
      </w:hyperlink>
    </w:p>
    <w:p>
      <w:pPr>
        <w:numPr>
          <w:ilvl w:val="2"/>
          <w:numId w:val="1005"/>
        </w:numPr>
        <w:pStyle w:val="Compact"/>
      </w:pPr>
      <w:hyperlink w:anchor="rrv--return-value">
        <w:r>
          <w:rPr>
            <w:rStyle w:val="VerbatimChar"/>
          </w:rPr>
          <w:t xml:space="preserve">rrv</w:t>
        </w:r>
        <w:r>
          <w:rPr>
            <w:rStyle w:val="Hyperlink"/>
          </w:rPr>
          <w:t xml:space="preserve"> </w:t>
        </w:r>
        <w:r>
          <w:rPr>
            <w:rStyle w:val="Hyperlink"/>
          </w:rPr>
          <w:t xml:space="preserve">— Return Value</w:t>
        </w:r>
      </w:hyperlink>
    </w:p>
    <w:p>
      <w:pPr>
        <w:numPr>
          <w:ilvl w:val="2"/>
          <w:numId w:val="1005"/>
        </w:numPr>
        <w:pStyle w:val="Compact"/>
      </w:pPr>
      <w:hyperlink w:anchor="rfp--fast-pass-parameter">
        <w:r>
          <w:rPr>
            <w:rStyle w:val="VerbatimChar"/>
          </w:rPr>
          <w:t xml:space="preserve">rfp</w:t>
        </w:r>
        <w:r>
          <w:rPr>
            <w:rStyle w:val="Hyperlink"/>
          </w:rPr>
          <w:t xml:space="preserve"> </w:t>
        </w:r>
        <w:r>
          <w:rPr>
            <w:rStyle w:val="Hyperlink"/>
          </w:rPr>
          <w:t xml:space="preserve">— Fast Pass Parameter</w:t>
        </w:r>
      </w:hyperlink>
    </w:p>
    <w:p>
      <w:pPr>
        <w:numPr>
          <w:ilvl w:val="2"/>
          <w:numId w:val="1005"/>
        </w:numPr>
        <w:pStyle w:val="Compact"/>
      </w:pPr>
      <w:hyperlink w:anchor="rso--stack-offset">
        <w:r>
          <w:rPr>
            <w:rStyle w:val="VerbatimChar"/>
          </w:rPr>
          <w:t xml:space="preserve">rso</w:t>
        </w:r>
        <w:r>
          <w:rPr>
            <w:rStyle w:val="Hyperlink"/>
          </w:rPr>
          <w:t xml:space="preserve"> </w:t>
        </w:r>
        <w:r>
          <w:rPr>
            <w:rStyle w:val="Hyperlink"/>
          </w:rPr>
          <w:t xml:space="preserve">— Stack Offset</w:t>
        </w:r>
      </w:hyperlink>
    </w:p>
    <w:p>
      <w:pPr>
        <w:numPr>
          <w:ilvl w:val="2"/>
          <w:numId w:val="1005"/>
        </w:numPr>
        <w:pStyle w:val="Compact"/>
      </w:pPr>
      <w:hyperlink w:anchor="rsb--stack-base">
        <w:r>
          <w:rPr>
            <w:rStyle w:val="VerbatimChar"/>
          </w:rPr>
          <w:t xml:space="preserve">rsb</w:t>
        </w:r>
        <w:r>
          <w:rPr>
            <w:rStyle w:val="Hyperlink"/>
          </w:rPr>
          <w:t xml:space="preserve"> </w:t>
        </w:r>
        <w:r>
          <w:rPr>
            <w:rStyle w:val="Hyperlink"/>
          </w:rPr>
          <w:t xml:space="preserve">— Stack Base</w:t>
        </w:r>
      </w:hyperlink>
    </w:p>
    <w:p>
      <w:pPr>
        <w:numPr>
          <w:ilvl w:val="2"/>
          <w:numId w:val="1005"/>
        </w:numPr>
        <w:pStyle w:val="Compact"/>
      </w:pPr>
      <w:hyperlink w:anchor="rg0---rg9--general-purpose">
        <w:r>
          <w:rPr>
            <w:rStyle w:val="VerbatimChar"/>
          </w:rPr>
          <w:t xml:space="preserve">rg0</w:t>
        </w:r>
        <w:r>
          <w:rPr>
            <w:rStyle w:val="Hyperlink"/>
          </w:rPr>
          <w:t xml:space="preserve"> </w:t>
        </w:r>
        <w:r>
          <w:rPr>
            <w:rStyle w:val="Hyperlink"/>
          </w:rPr>
          <w:t xml:space="preserve">-</w:t>
        </w:r>
        <w:r>
          <w:rPr>
            <w:rStyle w:val="Hyperlink"/>
          </w:rPr>
          <w:t xml:space="preserve"> </w:t>
        </w:r>
        <w:r>
          <w:rPr>
            <w:rStyle w:val="VerbatimChar"/>
          </w:rPr>
          <w:t xml:space="preserve">rg9</w:t>
        </w:r>
        <w:r>
          <w:rPr>
            <w:rStyle w:val="Hyperlink"/>
          </w:rPr>
          <w:t xml:space="preserve"> </w:t>
        </w:r>
        <w:r>
          <w:rPr>
            <w:rStyle w:val="Hyperlink"/>
          </w:rPr>
          <w:t xml:space="preserve">— General Purpose</w:t>
        </w:r>
      </w:hyperlink>
    </w:p>
    <w:p>
      <w:pPr>
        <w:numPr>
          <w:ilvl w:val="1"/>
          <w:numId w:val="1002"/>
        </w:numPr>
        <w:pStyle w:val="Compact"/>
      </w:pPr>
      <w:hyperlink w:anchor="moving-data">
        <w:r>
          <w:rPr>
            <w:rStyle w:val="Hyperlink"/>
          </w:rPr>
          <w:t xml:space="preserve">Moving Data</w:t>
        </w:r>
      </w:hyperlink>
    </w:p>
    <w:p>
      <w:pPr>
        <w:numPr>
          <w:ilvl w:val="2"/>
          <w:numId w:val="1006"/>
        </w:numPr>
        <w:pStyle w:val="Compact"/>
      </w:pPr>
      <w:hyperlink w:anchor="moving-with-literals">
        <w:r>
          <w:rPr>
            <w:rStyle w:val="Hyperlink"/>
          </w:rPr>
          <w:t xml:space="preserve">Moving with Literals</w:t>
        </w:r>
      </w:hyperlink>
    </w:p>
    <w:p>
      <w:pPr>
        <w:numPr>
          <w:ilvl w:val="2"/>
          <w:numId w:val="1006"/>
        </w:numPr>
        <w:pStyle w:val="Compact"/>
      </w:pPr>
      <w:hyperlink w:anchor="moving-with-registers">
        <w:r>
          <w:rPr>
            <w:rStyle w:val="Hyperlink"/>
          </w:rPr>
          <w:t xml:space="preserve">Moving with Registers</w:t>
        </w:r>
      </w:hyperlink>
    </w:p>
    <w:p>
      <w:pPr>
        <w:numPr>
          <w:ilvl w:val="2"/>
          <w:numId w:val="1006"/>
        </w:numPr>
        <w:pStyle w:val="Compact"/>
      </w:pPr>
      <w:hyperlink w:anchor="moving-with-memory">
        <w:r>
          <w:rPr>
            <w:rStyle w:val="Hyperlink"/>
          </w:rPr>
          <w:t xml:space="preserve">Moving with Memory</w:t>
        </w:r>
      </w:hyperlink>
    </w:p>
    <w:p>
      <w:pPr>
        <w:numPr>
          <w:ilvl w:val="1"/>
          <w:numId w:val="1002"/>
        </w:numPr>
        <w:pStyle w:val="Compact"/>
      </w:pPr>
      <w:hyperlink w:anchor="maths-and-bitwise-operations">
        <w:r>
          <w:rPr>
            <w:rStyle w:val="Hyperlink"/>
          </w:rPr>
          <w:t xml:space="preserve">Maths and Bitwise Operations</w:t>
        </w:r>
      </w:hyperlink>
    </w:p>
    <w:p>
      <w:pPr>
        <w:numPr>
          <w:ilvl w:val="2"/>
          <w:numId w:val="1007"/>
        </w:numPr>
        <w:pStyle w:val="Compact"/>
      </w:pPr>
      <w:hyperlink w:anchor="addition-and-multiplication">
        <w:r>
          <w:rPr>
            <w:rStyle w:val="Hyperlink"/>
          </w:rPr>
          <w:t xml:space="preserve">Addition and Multiplication</w:t>
        </w:r>
      </w:hyperlink>
    </w:p>
    <w:p>
      <w:pPr>
        <w:numPr>
          <w:ilvl w:val="2"/>
          <w:numId w:val="1007"/>
        </w:numPr>
        <w:pStyle w:val="Compact"/>
      </w:pPr>
      <w:hyperlink w:anchor="subtraction">
        <w:r>
          <w:rPr>
            <w:rStyle w:val="Hyperlink"/>
          </w:rPr>
          <w:t xml:space="preserve">Subtraction</w:t>
        </w:r>
      </w:hyperlink>
    </w:p>
    <w:p>
      <w:pPr>
        <w:numPr>
          <w:ilvl w:val="2"/>
          <w:numId w:val="1007"/>
        </w:numPr>
        <w:pStyle w:val="Compact"/>
      </w:pPr>
      <w:hyperlink w:anchor="division">
        <w:r>
          <w:rPr>
            <w:rStyle w:val="Hyperlink"/>
          </w:rPr>
          <w:t xml:space="preserve">Division</w:t>
        </w:r>
      </w:hyperlink>
    </w:p>
    <w:p>
      <w:pPr>
        <w:numPr>
          <w:ilvl w:val="2"/>
          <w:numId w:val="1007"/>
        </w:numPr>
        <w:pStyle w:val="Compact"/>
      </w:pPr>
      <w:hyperlink w:anchor="shifting">
        <w:r>
          <w:rPr>
            <w:rStyle w:val="Hyperlink"/>
          </w:rPr>
          <w:t xml:space="preserve">Shifting</w:t>
        </w:r>
      </w:hyperlink>
    </w:p>
    <w:p>
      <w:pPr>
        <w:numPr>
          <w:ilvl w:val="2"/>
          <w:numId w:val="1007"/>
        </w:numPr>
        <w:pStyle w:val="Compact"/>
      </w:pPr>
      <w:hyperlink w:anchor="bitwise">
        <w:r>
          <w:rPr>
            <w:rStyle w:val="Hyperlink"/>
          </w:rPr>
          <w:t xml:space="preserve">Bitwise</w:t>
        </w:r>
      </w:hyperlink>
    </w:p>
    <w:p>
      <w:pPr>
        <w:numPr>
          <w:ilvl w:val="2"/>
          <w:numId w:val="1007"/>
        </w:numPr>
        <w:pStyle w:val="Compact"/>
      </w:pPr>
      <w:hyperlink w:anchor="random-number-generation">
        <w:r>
          <w:rPr>
            <w:rStyle w:val="Hyperlink"/>
          </w:rPr>
          <w:t xml:space="preserve">Random Number Generation</w:t>
        </w:r>
      </w:hyperlink>
    </w:p>
    <w:p>
      <w:pPr>
        <w:numPr>
          <w:ilvl w:val="1"/>
          <w:numId w:val="1002"/>
        </w:numPr>
        <w:pStyle w:val="Compact"/>
      </w:pPr>
      <w:hyperlink w:anchor="negative-numbers">
        <w:r>
          <w:rPr>
            <w:rStyle w:val="Hyperlink"/>
          </w:rPr>
          <w:t xml:space="preserve">Negative Numbers</w:t>
        </w:r>
      </w:hyperlink>
    </w:p>
    <w:p>
      <w:pPr>
        <w:numPr>
          <w:ilvl w:val="2"/>
          <w:numId w:val="1008"/>
        </w:numPr>
        <w:pStyle w:val="Compact"/>
      </w:pPr>
      <w:hyperlink w:anchor="arithmetic-right-shifting">
        <w:r>
          <w:rPr>
            <w:rStyle w:val="Hyperlink"/>
          </w:rPr>
          <w:t xml:space="preserve">Arithmetic Right Shifting</w:t>
        </w:r>
      </w:hyperlink>
    </w:p>
    <w:p>
      <w:pPr>
        <w:numPr>
          <w:ilvl w:val="2"/>
          <w:numId w:val="1008"/>
        </w:numPr>
        <w:pStyle w:val="Compact"/>
      </w:pPr>
      <w:hyperlink w:anchor="extending-smaller-signed-values">
        <w:r>
          <w:rPr>
            <w:rStyle w:val="Hyperlink"/>
          </w:rPr>
          <w:t xml:space="preserve">Extending Smaller Signed Values</w:t>
        </w:r>
      </w:hyperlink>
    </w:p>
    <w:p>
      <w:pPr>
        <w:numPr>
          <w:ilvl w:val="2"/>
          <w:numId w:val="1008"/>
        </w:numPr>
        <w:pStyle w:val="Compact"/>
      </w:pPr>
      <w:hyperlink w:anchor="the-overflow-flag-vs-the-carry-flag">
        <w:r>
          <w:rPr>
            <w:rStyle w:val="Hyperlink"/>
          </w:rPr>
          <w:t xml:space="preserve">The Overflow Flag vs. the Carry Flag</w:t>
        </w:r>
      </w:hyperlink>
    </w:p>
    <w:p>
      <w:pPr>
        <w:numPr>
          <w:ilvl w:val="1"/>
          <w:numId w:val="1002"/>
        </w:numPr>
        <w:pStyle w:val="Compact"/>
      </w:pPr>
      <w:hyperlink w:anchor="floating-point-numbers">
        <w:r>
          <w:rPr>
            <w:rStyle w:val="Hyperlink"/>
          </w:rPr>
          <w:t xml:space="preserve">Floating Point Numbers</w:t>
        </w:r>
      </w:hyperlink>
    </w:p>
    <w:p>
      <w:pPr>
        <w:numPr>
          <w:ilvl w:val="2"/>
          <w:numId w:val="1009"/>
        </w:numPr>
        <w:pStyle w:val="Compact"/>
      </w:pPr>
      <w:hyperlink w:anchor="floating-point-math">
        <w:r>
          <w:rPr>
            <w:rStyle w:val="Hyperlink"/>
          </w:rPr>
          <w:t xml:space="preserve">Floating Point Math</w:t>
        </w:r>
      </w:hyperlink>
    </w:p>
    <w:p>
      <w:pPr>
        <w:numPr>
          <w:ilvl w:val="2"/>
          <w:numId w:val="1009"/>
        </w:numPr>
        <w:pStyle w:val="Compact"/>
      </w:pPr>
      <w:hyperlink w:anchor="converting-between-integers-and-floats">
        <w:r>
          <w:rPr>
            <w:rStyle w:val="Hyperlink"/>
          </w:rPr>
          <w:t xml:space="preserve">Converting Between Integers and Floats</w:t>
        </w:r>
      </w:hyperlink>
    </w:p>
    <w:p>
      <w:pPr>
        <w:numPr>
          <w:ilvl w:val="2"/>
          <w:numId w:val="1009"/>
        </w:numPr>
        <w:pStyle w:val="Compact"/>
      </w:pPr>
      <w:hyperlink w:anchor="converting-between-floating-point-sizes">
        <w:r>
          <w:rPr>
            <w:rStyle w:val="Hyperlink"/>
          </w:rPr>
          <w:t xml:space="preserve">Converting Between Floating Point Sizes</w:t>
        </w:r>
      </w:hyperlink>
    </w:p>
    <w:p>
      <w:pPr>
        <w:numPr>
          <w:ilvl w:val="1"/>
          <w:numId w:val="1002"/>
        </w:numPr>
        <w:pStyle w:val="Compact"/>
      </w:pPr>
      <w:hyperlink w:anchor="jumping">
        <w:r>
          <w:rPr>
            <w:rStyle w:val="Hyperlink"/>
          </w:rPr>
          <w:t xml:space="preserve">Jumping</w:t>
        </w:r>
      </w:hyperlink>
    </w:p>
    <w:p>
      <w:pPr>
        <w:numPr>
          <w:ilvl w:val="1"/>
          <w:numId w:val="1002"/>
        </w:numPr>
        <w:pStyle w:val="Compact"/>
      </w:pPr>
      <w:hyperlink w:anchor="comparing-testing-and-branching">
        <w:r>
          <w:rPr>
            <w:rStyle w:val="Hyperlink"/>
          </w:rPr>
          <w:t xml:space="preserve">Comparing, Testing, and Branching</w:t>
        </w:r>
      </w:hyperlink>
    </w:p>
    <w:p>
      <w:pPr>
        <w:numPr>
          <w:ilvl w:val="2"/>
          <w:numId w:val="1010"/>
        </w:numPr>
        <w:pStyle w:val="Compact"/>
      </w:pPr>
      <w:hyperlink w:anchor="comparing-unsigned-numbers">
        <w:r>
          <w:rPr>
            <w:rStyle w:val="Hyperlink"/>
          </w:rPr>
          <w:t xml:space="preserve">Comparing Unsigned Numbers</w:t>
        </w:r>
      </w:hyperlink>
    </w:p>
    <w:p>
      <w:pPr>
        <w:numPr>
          <w:ilvl w:val="2"/>
          <w:numId w:val="1010"/>
        </w:numPr>
        <w:pStyle w:val="Compact"/>
      </w:pPr>
      <w:hyperlink w:anchor="comparing-signed-numbers">
        <w:r>
          <w:rPr>
            <w:rStyle w:val="Hyperlink"/>
          </w:rPr>
          <w:t xml:space="preserve">Comparing Signed Numbers</w:t>
        </w:r>
      </w:hyperlink>
    </w:p>
    <w:p>
      <w:pPr>
        <w:numPr>
          <w:ilvl w:val="2"/>
          <w:numId w:val="1010"/>
        </w:numPr>
        <w:pStyle w:val="Compact"/>
      </w:pPr>
      <w:hyperlink w:anchor="comparing-floating-point-numbers">
        <w:r>
          <w:rPr>
            <w:rStyle w:val="Hyperlink"/>
          </w:rPr>
          <w:t xml:space="preserve">Comparing Floating Point Numbers</w:t>
        </w:r>
      </w:hyperlink>
    </w:p>
    <w:p>
      <w:pPr>
        <w:numPr>
          <w:ilvl w:val="2"/>
          <w:numId w:val="1010"/>
        </w:numPr>
        <w:pStyle w:val="Compact"/>
      </w:pPr>
      <w:hyperlink w:anchor="testing-bits">
        <w:r>
          <w:rPr>
            <w:rStyle w:val="Hyperlink"/>
          </w:rPr>
          <w:t xml:space="preserve">Testing Bits</w:t>
        </w:r>
      </w:hyperlink>
    </w:p>
    <w:p>
      <w:pPr>
        <w:numPr>
          <w:ilvl w:val="2"/>
          <w:numId w:val="1010"/>
        </w:numPr>
        <w:pStyle w:val="Compact"/>
      </w:pPr>
      <w:hyperlink w:anchor="Xf04036c2e0dcc77b19c7ed104660a209f4ec54f">
        <w:r>
          <w:rPr>
            <w:rStyle w:val="Hyperlink"/>
          </w:rPr>
          <w:t xml:space="preserve">Checking the Carry, Overflow, Zero, and Sign Flags</w:t>
        </w:r>
      </w:hyperlink>
    </w:p>
    <w:p>
      <w:pPr>
        <w:numPr>
          <w:ilvl w:val="1"/>
          <w:numId w:val="1002"/>
        </w:numPr>
        <w:pStyle w:val="Compact"/>
      </w:pPr>
      <w:hyperlink w:anchor="assembler-directives">
        <w:r>
          <w:rPr>
            <w:rStyle w:val="Hyperlink"/>
          </w:rPr>
          <w:t xml:space="preserve">Assembler Directives</w:t>
        </w:r>
      </w:hyperlink>
    </w:p>
    <w:p>
      <w:pPr>
        <w:numPr>
          <w:ilvl w:val="2"/>
          <w:numId w:val="1011"/>
        </w:numPr>
        <w:pStyle w:val="Compact"/>
      </w:pPr>
      <w:hyperlink w:anchor="pad--byte-padding">
        <w:r>
          <w:rPr>
            <w:rStyle w:val="VerbatimChar"/>
          </w:rPr>
          <w:t xml:space="preserve">PAD</w:t>
        </w:r>
        <w:r>
          <w:rPr>
            <w:rStyle w:val="Hyperlink"/>
          </w:rPr>
          <w:t xml:space="preserve"> </w:t>
        </w:r>
        <w:r>
          <w:rPr>
            <w:rStyle w:val="Hyperlink"/>
          </w:rPr>
          <w:t xml:space="preserve">— Byte Padding</w:t>
        </w:r>
      </w:hyperlink>
    </w:p>
    <w:p>
      <w:pPr>
        <w:numPr>
          <w:ilvl w:val="2"/>
          <w:numId w:val="1011"/>
        </w:numPr>
        <w:pStyle w:val="Compact"/>
      </w:pPr>
      <w:hyperlink w:anchor="dat--byte-insertion">
        <w:r>
          <w:rPr>
            <w:rStyle w:val="VerbatimChar"/>
          </w:rPr>
          <w:t xml:space="preserve">DAT</w:t>
        </w:r>
        <w:r>
          <w:rPr>
            <w:rStyle w:val="Hyperlink"/>
          </w:rPr>
          <w:t xml:space="preserve"> </w:t>
        </w:r>
        <w:r>
          <w:rPr>
            <w:rStyle w:val="Hyperlink"/>
          </w:rPr>
          <w:t xml:space="preserve">— Byte Insertion</w:t>
        </w:r>
      </w:hyperlink>
    </w:p>
    <w:p>
      <w:pPr>
        <w:numPr>
          <w:ilvl w:val="3"/>
          <w:numId w:val="1012"/>
        </w:numPr>
        <w:pStyle w:val="Compact"/>
      </w:pPr>
      <w:hyperlink w:anchor="escape-sequences">
        <w:r>
          <w:rPr>
            <w:rStyle w:val="Hyperlink"/>
          </w:rPr>
          <w:t xml:space="preserve">Escape Sequences</w:t>
        </w:r>
      </w:hyperlink>
    </w:p>
    <w:p>
      <w:pPr>
        <w:numPr>
          <w:ilvl w:val="2"/>
          <w:numId w:val="1011"/>
        </w:numPr>
        <w:pStyle w:val="Compact"/>
      </w:pPr>
      <w:hyperlink w:anchor="num--number-insertion">
        <w:r>
          <w:rPr>
            <w:rStyle w:val="VerbatimChar"/>
          </w:rPr>
          <w:t xml:space="preserve">NUM</w:t>
        </w:r>
        <w:r>
          <w:rPr>
            <w:rStyle w:val="Hyperlink"/>
          </w:rPr>
          <w:t xml:space="preserve"> </w:t>
        </w:r>
        <w:r>
          <w:rPr>
            <w:rStyle w:val="Hyperlink"/>
          </w:rPr>
          <w:t xml:space="preserve">— Number Insertion</w:t>
        </w:r>
      </w:hyperlink>
    </w:p>
    <w:p>
      <w:pPr>
        <w:numPr>
          <w:ilvl w:val="2"/>
          <w:numId w:val="1011"/>
        </w:numPr>
        <w:pStyle w:val="Compact"/>
      </w:pPr>
      <w:hyperlink w:anchor="mac--macro-definition">
        <w:r>
          <w:rPr>
            <w:rStyle w:val="VerbatimChar"/>
          </w:rPr>
          <w:t xml:space="preserve">MAC</w:t>
        </w:r>
        <w:r>
          <w:rPr>
            <w:rStyle w:val="Hyperlink"/>
          </w:rPr>
          <w:t xml:space="preserve"> </w:t>
        </w:r>
        <w:r>
          <w:rPr>
            <w:rStyle w:val="Hyperlink"/>
          </w:rPr>
          <w:t xml:space="preserve">— Macro Definition</w:t>
        </w:r>
      </w:hyperlink>
    </w:p>
    <w:p>
      <w:pPr>
        <w:numPr>
          <w:ilvl w:val="2"/>
          <w:numId w:val="1011"/>
        </w:numPr>
        <w:pStyle w:val="Compact"/>
      </w:pPr>
      <w:hyperlink w:anchor="imp--file-importing">
        <w:r>
          <w:rPr>
            <w:rStyle w:val="VerbatimChar"/>
          </w:rPr>
          <w:t xml:space="preserve">IMP</w:t>
        </w:r>
        <w:r>
          <w:rPr>
            <w:rStyle w:val="Hyperlink"/>
          </w:rPr>
          <w:t xml:space="preserve"> </w:t>
        </w:r>
        <w:r>
          <w:rPr>
            <w:rStyle w:val="Hyperlink"/>
          </w:rPr>
          <w:t xml:space="preserve">— File Importing</w:t>
        </w:r>
      </w:hyperlink>
    </w:p>
    <w:p>
      <w:pPr>
        <w:numPr>
          <w:ilvl w:val="2"/>
          <w:numId w:val="1011"/>
        </w:numPr>
        <w:pStyle w:val="Compact"/>
      </w:pPr>
      <w:hyperlink w:anchor="analyzer--toggling-assembler-warnings">
        <w:r>
          <w:rPr>
            <w:rStyle w:val="VerbatimChar"/>
          </w:rPr>
          <w:t xml:space="preserve">ANALYZER</w:t>
        </w:r>
        <w:r>
          <w:rPr>
            <w:rStyle w:val="Hyperlink"/>
          </w:rPr>
          <w:t xml:space="preserve"> </w:t>
        </w:r>
        <w:r>
          <w:rPr>
            <w:rStyle w:val="Hyperlink"/>
          </w:rPr>
          <w:t xml:space="preserve">— Toggling Assembler Warnings</w:t>
        </w:r>
      </w:hyperlink>
    </w:p>
    <w:p>
      <w:pPr>
        <w:numPr>
          <w:ilvl w:val="1"/>
          <w:numId w:val="1002"/>
        </w:numPr>
        <w:pStyle w:val="Compact"/>
      </w:pPr>
      <w:hyperlink w:anchor="console-input-and-output">
        <w:r>
          <w:rPr>
            <w:rStyle w:val="Hyperlink"/>
          </w:rPr>
          <w:t xml:space="preserve">Console Input and Output</w:t>
        </w:r>
      </w:hyperlink>
    </w:p>
    <w:p>
      <w:pPr>
        <w:numPr>
          <w:ilvl w:val="1"/>
          <w:numId w:val="1002"/>
        </w:numPr>
        <w:pStyle w:val="Compact"/>
      </w:pPr>
      <w:hyperlink w:anchor="file-handling">
        <w:r>
          <w:rPr>
            <w:rStyle w:val="Hyperlink"/>
          </w:rPr>
          <w:t xml:space="preserve">File Handling</w:t>
        </w:r>
      </w:hyperlink>
    </w:p>
    <w:p>
      <w:pPr>
        <w:numPr>
          <w:ilvl w:val="2"/>
          <w:numId w:val="1013"/>
        </w:numPr>
        <w:pStyle w:val="Compact"/>
      </w:pPr>
      <w:hyperlink w:anchor="opening-and-closing">
        <w:r>
          <w:rPr>
            <w:rStyle w:val="Hyperlink"/>
          </w:rPr>
          <w:t xml:space="preserve">Opening and Closing</w:t>
        </w:r>
      </w:hyperlink>
    </w:p>
    <w:p>
      <w:pPr>
        <w:numPr>
          <w:ilvl w:val="2"/>
          <w:numId w:val="1013"/>
        </w:numPr>
        <w:pStyle w:val="Compact"/>
      </w:pPr>
      <w:hyperlink w:anchor="reading-and-writing">
        <w:r>
          <w:rPr>
            <w:rStyle w:val="Hyperlink"/>
          </w:rPr>
          <w:t xml:space="preserve">Reading and Writing</w:t>
        </w:r>
      </w:hyperlink>
    </w:p>
    <w:p>
      <w:pPr>
        <w:numPr>
          <w:ilvl w:val="2"/>
          <w:numId w:val="1013"/>
        </w:numPr>
        <w:pStyle w:val="Compact"/>
      </w:pPr>
      <w:hyperlink w:anchor="other-operations">
        <w:r>
          <w:rPr>
            <w:rStyle w:val="Hyperlink"/>
          </w:rPr>
          <w:t xml:space="preserve">Other Operations</w:t>
        </w:r>
      </w:hyperlink>
    </w:p>
    <w:p>
      <w:pPr>
        <w:numPr>
          <w:ilvl w:val="1"/>
          <w:numId w:val="1002"/>
        </w:numPr>
        <w:pStyle w:val="Compact"/>
      </w:pPr>
      <w:hyperlink w:anchor="the-stack">
        <w:r>
          <w:rPr>
            <w:rStyle w:val="Hyperlink"/>
          </w:rPr>
          <w:t xml:space="preserve">The Stack</w:t>
        </w:r>
      </w:hyperlink>
    </w:p>
    <w:p>
      <w:pPr>
        <w:numPr>
          <w:ilvl w:val="2"/>
          <w:numId w:val="1014"/>
        </w:numPr>
        <w:pStyle w:val="Compact"/>
      </w:pPr>
      <w:hyperlink w:anchor="using-the-stack-to-preserve-registers">
        <w:r>
          <w:rPr>
            <w:rStyle w:val="Hyperlink"/>
          </w:rPr>
          <w:t xml:space="preserve">Using the Stack to Preserve Registers</w:t>
        </w:r>
      </w:hyperlink>
    </w:p>
    <w:p>
      <w:pPr>
        <w:numPr>
          <w:ilvl w:val="1"/>
          <w:numId w:val="1002"/>
        </w:numPr>
        <w:pStyle w:val="Compact"/>
      </w:pPr>
      <w:hyperlink w:anchor="subroutines">
        <w:r>
          <w:rPr>
            <w:rStyle w:val="Hyperlink"/>
          </w:rPr>
          <w:t xml:space="preserve">Subroutines</w:t>
        </w:r>
      </w:hyperlink>
    </w:p>
    <w:p>
      <w:pPr>
        <w:numPr>
          <w:ilvl w:val="2"/>
          <w:numId w:val="1015"/>
        </w:numPr>
        <w:pStyle w:val="Compact"/>
      </w:pPr>
      <w:hyperlink w:anchor="fast-calling">
        <w:r>
          <w:rPr>
            <w:rStyle w:val="Hyperlink"/>
          </w:rPr>
          <w:t xml:space="preserve">Fast Calling</w:t>
        </w:r>
      </w:hyperlink>
    </w:p>
    <w:p>
      <w:pPr>
        <w:numPr>
          <w:ilvl w:val="2"/>
          <w:numId w:val="1015"/>
        </w:numPr>
        <w:pStyle w:val="Compact"/>
      </w:pPr>
      <w:hyperlink w:anchor="return-values">
        <w:r>
          <w:rPr>
            <w:rStyle w:val="Hyperlink"/>
          </w:rPr>
          <w:t xml:space="preserve">Return Values</w:t>
        </w:r>
      </w:hyperlink>
    </w:p>
    <w:p>
      <w:pPr>
        <w:numPr>
          <w:ilvl w:val="2"/>
          <w:numId w:val="1015"/>
        </w:numPr>
        <w:pStyle w:val="Compact"/>
      </w:pPr>
      <w:hyperlink w:anchor="subroutines-and-the-stack">
        <w:r>
          <w:rPr>
            <w:rStyle w:val="Hyperlink"/>
          </w:rPr>
          <w:t xml:space="preserve">Subroutines and the Stack</w:t>
        </w:r>
      </w:hyperlink>
    </w:p>
    <w:p>
      <w:pPr>
        <w:numPr>
          <w:ilvl w:val="2"/>
          <w:numId w:val="1015"/>
        </w:numPr>
        <w:pStyle w:val="Compact"/>
      </w:pPr>
      <w:hyperlink w:anchor="passing-multiple-parameters">
        <w:r>
          <w:rPr>
            <w:rStyle w:val="Hyperlink"/>
          </w:rPr>
          <w:t xml:space="preserve">Passing Multiple Parameters</w:t>
        </w:r>
      </w:hyperlink>
    </w:p>
    <w:p>
      <w:pPr>
        <w:numPr>
          <w:ilvl w:val="1"/>
          <w:numId w:val="1002"/>
        </w:numPr>
        <w:pStyle w:val="Compact"/>
      </w:pPr>
      <w:hyperlink w:anchor="text-encoding">
        <w:r>
          <w:rPr>
            <w:rStyle w:val="Hyperlink"/>
          </w:rPr>
          <w:t xml:space="preserve">Text Encoding</w:t>
        </w:r>
      </w:hyperlink>
    </w:p>
    <w:p>
      <w:pPr>
        <w:numPr>
          <w:ilvl w:val="1"/>
          <w:numId w:val="1002"/>
        </w:numPr>
        <w:pStyle w:val="Compact"/>
      </w:pPr>
      <w:hyperlink w:anchor="instruction-data-type-acceptance">
        <w:r>
          <w:rPr>
            <w:rStyle w:val="Hyperlink"/>
          </w:rPr>
          <w:t xml:space="preserve">Instruction Data Type Acceptance</w:t>
        </w:r>
      </w:hyperlink>
    </w:p>
    <w:p>
      <w:pPr>
        <w:numPr>
          <w:ilvl w:val="1"/>
          <w:numId w:val="1002"/>
        </w:numPr>
        <w:pStyle w:val="Compact"/>
      </w:pPr>
      <w:hyperlink w:anchor="status-flag-behaviour">
        <w:r>
          <w:rPr>
            <w:rStyle w:val="Hyperlink"/>
          </w:rPr>
          <w:t xml:space="preserve">Status Flag Behaviour</w:t>
        </w:r>
      </w:hyperlink>
    </w:p>
    <w:p>
      <w:pPr>
        <w:numPr>
          <w:ilvl w:val="1"/>
          <w:numId w:val="1002"/>
        </w:numPr>
        <w:pStyle w:val="Compact"/>
      </w:pPr>
      <w:hyperlink w:anchor="full-instruction-reference">
        <w:r>
          <w:rPr>
            <w:rStyle w:val="Hyperlink"/>
          </w:rPr>
          <w:t xml:space="preserve">Full Instruction Reference</w:t>
        </w:r>
      </w:hyperlink>
    </w:p>
    <w:p>
      <w:pPr>
        <w:numPr>
          <w:ilvl w:val="2"/>
          <w:numId w:val="1016"/>
        </w:numPr>
        <w:pStyle w:val="Compact"/>
      </w:pPr>
      <w:hyperlink w:anchor="base-instruction-set">
        <w:r>
          <w:rPr>
            <w:rStyle w:val="Hyperlink"/>
          </w:rPr>
          <w:t xml:space="preserve">Base Instruction Set</w:t>
        </w:r>
      </w:hyperlink>
    </w:p>
    <w:p>
      <w:pPr>
        <w:numPr>
          <w:ilvl w:val="2"/>
          <w:numId w:val="1016"/>
        </w:numPr>
        <w:pStyle w:val="Compact"/>
      </w:pPr>
      <w:hyperlink w:anchor="signed-extension-set">
        <w:r>
          <w:rPr>
            <w:rStyle w:val="Hyperlink"/>
          </w:rPr>
          <w:t xml:space="preserve">Signed Extension Set</w:t>
        </w:r>
      </w:hyperlink>
    </w:p>
    <w:p>
      <w:pPr>
        <w:numPr>
          <w:ilvl w:val="2"/>
          <w:numId w:val="1016"/>
        </w:numPr>
        <w:pStyle w:val="Compact"/>
      </w:pPr>
      <w:hyperlink w:anchor="floating-point-extension-set">
        <w:r>
          <w:rPr>
            <w:rStyle w:val="Hyperlink"/>
          </w:rPr>
          <w:t xml:space="preserve">Floating Point Extension Set</w:t>
        </w:r>
      </w:hyperlink>
    </w:p>
    <w:p>
      <w:pPr>
        <w:numPr>
          <w:ilvl w:val="2"/>
          <w:numId w:val="1016"/>
        </w:numPr>
        <w:pStyle w:val="Compact"/>
      </w:pPr>
      <w:hyperlink w:anchor="extended-base-set">
        <w:r>
          <w:rPr>
            <w:rStyle w:val="Hyperlink"/>
          </w:rPr>
          <w:t xml:space="preserve">Extended Base Set</w:t>
        </w:r>
      </w:hyperlink>
    </w:p>
    <w:p>
      <w:pPr>
        <w:numPr>
          <w:ilvl w:val="1"/>
          <w:numId w:val="1002"/>
        </w:numPr>
        <w:pStyle w:val="Compact"/>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tblLook w:firstRow="0" w:lastRow="0" w:firstColumn="0" w:lastColumn="0" w:noHBand="0" w:noVBand="0" w:val="0000"/>
        <w:jc w:val="start"/>
        <w:tblLayout w:type="fixed"/>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297 opcodes (102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Cs/>
          <w:b/>
        </w:rPr>
        <w:t xml:space="preserve">mnemonic</w:t>
      </w:r>
      <w:r>
        <w:t xml:space="preserve"> </w:t>
      </w:r>
      <w:r>
        <w:t xml:space="preserve">— a human-readable code that tells the</w:t>
      </w:r>
      <w:r>
        <w:t xml:space="preserve"> </w:t>
      </w:r>
      <w:r>
        <w:rPr>
          <w:bCs/>
          <w:b/>
        </w:rPr>
        <w:t xml:space="preserve">assembler</w:t>
      </w:r>
      <w:r>
        <w:t xml:space="preserve"> </w:t>
      </w:r>
      <w:r>
        <w:t xml:space="preserve">exactly what operation needs to be performed — followed by any</w:t>
      </w:r>
      <w:r>
        <w:t xml:space="preserve"> </w:t>
      </w:r>
      <w:r>
        <w:rPr>
          <w:bCs/>
          <w:b/>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Cs/>
          <w:b/>
        </w:rPr>
        <w:t xml:space="preserve">assembly</w:t>
      </w:r>
      <w:r>
        <w:t xml:space="preserve"> </w:t>
      </w:r>
      <w:r>
        <w:t xml:space="preserve">or</w:t>
      </w:r>
      <w:r>
        <w:t xml:space="preserve"> </w:t>
      </w:r>
      <w:r>
        <w:rPr>
          <w:bCs/>
          <w:b/>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Cs/>
          <w:b/>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Cs/>
          <w:b/>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Cs/>
          <w:i/>
        </w:rPr>
        <w:t xml:space="preserve">extension set</w:t>
      </w:r>
      <w:r>
        <w:t xml:space="preserve"> </w:t>
      </w:r>
      <w:r>
        <w:t xml:space="preserve">number, and the third byte corresponding to an</w:t>
      </w:r>
      <w:r>
        <w:t xml:space="preserve"> </w:t>
      </w:r>
      <w:r>
        <w:rPr>
          <w:iCs/>
          <w:i/>
        </w:rPr>
        <w:t xml:space="preserve">instruction code</w:t>
      </w:r>
      <w:r>
        <w:t xml:space="preserve">. If an opcode starts with any other byte, that single byte will be the entire opcode, with the byte corresponding to an</w:t>
      </w:r>
      <w:r>
        <w:t xml:space="preserve"> </w:t>
      </w:r>
      <w:r>
        <w:rPr>
          <w:iCs/>
          <w:i/>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Cs/>
          <w:b/>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Cs/>
          <w:b/>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Cs/>
          <w:i/>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Cs/>
          <w:b/>
        </w:rPr>
        <w:t xml:space="preserve">first</w:t>
      </w:r>
      <w:r>
        <w:t xml:space="preserve"> </w:t>
      </w:r>
      <w:r>
        <w:t xml:space="preserve">operand will be used as the</w:t>
      </w:r>
      <w:r>
        <w:t xml:space="preserve"> </w:t>
      </w:r>
      <w:r>
        <w:rPr>
          <w:bCs/>
          <w:b/>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Cs/>
          <w:b/>
        </w:rPr>
        <w:t xml:space="preserve">jump</w:t>
      </w:r>
      <w:r>
        <w:t xml:space="preserve">) to or reference from elsewhere. They can be given any name you like (names are</w:t>
      </w:r>
      <w:r>
        <w:t xml:space="preserve"> </w:t>
      </w:r>
      <w:r>
        <w:rPr>
          <w:bCs/>
          <w:b/>
        </w:rPr>
        <w:t xml:space="preserve">case-sensitive</w:t>
      </w:r>
      <w:r>
        <w:t xml:space="preserve">), but they must be unique per program and can only contain letters, numbers, and underscores. Label names</w:t>
      </w:r>
      <w:r>
        <w:t xml:space="preserve"> </w:t>
      </w:r>
      <w:r>
        <w:rPr>
          <w:bCs/>
          <w:b/>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Cs/>
          <w:b/>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2"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29" w:name="literal"/>
    <w:p>
      <w:pPr>
        <w:pStyle w:val="Heading3"/>
      </w:pPr>
      <w:r>
        <w:t xml:space="preserve">Literal</w:t>
      </w:r>
    </w:p>
    <w:p>
      <w:pPr>
        <w:pStyle w:val="FirstParagraph"/>
      </w:pPr>
      <w:r>
        <w:t xml:space="preserve">Literals are numeric values that are directly written in an assembly file and</w:t>
      </w:r>
      <w:r>
        <w:t xml:space="preserve"> </w:t>
      </w:r>
      <w:r>
        <w:rPr>
          <w:bCs/>
          <w:b/>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0x1_000_000  ; This is valid, will be assembled as 0x1000000 (16777216)</w:t>
      </w:r>
      <w:r>
        <w:br/>
      </w:r>
      <w:r>
        <w:rPr>
          <w:rStyle w:val="VerbatimChar"/>
        </w:rPr>
        <w:t xml:space="preserve">MVQ rg0, 0x10_0__000_0  ; This is still valid, underscores don't have to be uniform</w:t>
      </w:r>
      <w:r>
        <w:br/>
      </w:r>
      <w:r>
        <w:br/>
      </w:r>
      <w:r>
        <w:rPr>
          <w:rStyle w:val="VerbatimChar"/>
        </w:rPr>
        <w:t xml:space="preserve">MVQ rg0, 0x_1_000_000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End w:id="29"/>
    <w:bookmarkStart w:id="30"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Cs/>
          <w:b/>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Cs/>
          <w:b/>
        </w:rPr>
        <w:t xml:space="preserve">first byte</w:t>
      </w:r>
      <w:r>
        <w:t xml:space="preserve"> </w:t>
      </w:r>
      <w:r>
        <w:t xml:space="preserve">(i.e. the start of the</w:t>
      </w:r>
      <w:r>
        <w:t xml:space="preserve"> </w:t>
      </w:r>
      <w:r>
        <w:rPr>
          <w:bCs/>
          <w:b/>
        </w:rPr>
        <w:t xml:space="preserve">opcode</w:t>
      </w:r>
      <w:r>
        <w:t xml:space="preserve">) of the</w:t>
      </w:r>
      <w:r>
        <w:t xml:space="preserve"> </w:t>
      </w:r>
      <w:r>
        <w:rPr>
          <w:bCs/>
          <w:b/>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Cs/>
          <w:i/>
        </w:rPr>
        <w:t xml:space="preserve">not</w:t>
      </w:r>
      <w:r>
        <w:t xml:space="preserve"> </w:t>
      </w:r>
      <w:r>
        <w:rPr>
          <w:rStyle w:val="VerbatimChar"/>
        </w:rPr>
        <w:t xml:space="preserve">9</w:t>
      </w:r>
      <w:r>
        <w:t xml:space="preserve">, as the processor is accessing the byte in memory</w:t>
      </w:r>
      <w:r>
        <w:t xml:space="preserve"> </w:t>
      </w:r>
      <w:r>
        <w:rPr>
          <w:iCs/>
          <w:i/>
        </w:rPr>
        <w:t xml:space="preserve">at</w:t>
      </w:r>
      <w:r>
        <w:t xml:space="preserve"> </w:t>
      </w:r>
      <w:r>
        <w:t xml:space="preserve">the address —</w:t>
      </w:r>
      <w:r>
        <w:t xml:space="preserve"> </w:t>
      </w:r>
      <w:r>
        <w:rPr>
          <w:iCs/>
          <w:i/>
        </w:rPr>
        <w:t xml:space="preserve">not</w:t>
      </w:r>
      <w:r>
        <w:t xml:space="preserve"> </w:t>
      </w:r>
      <w:r>
        <w:t xml:space="preserve">the address itself.</w:t>
      </w:r>
    </w:p>
    <w:p>
      <w:pPr>
        <w:pStyle w:val="BodyText"/>
      </w:pPr>
      <w:r>
        <w:t xml:space="preserve">If, when writing an instruction, you want to utilise the address</w:t>
      </w:r>
      <w:r>
        <w:t xml:space="preserve"> </w:t>
      </w:r>
      <w:r>
        <w:rPr>
          <w:iCs/>
          <w:i/>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0"/>
    <w:bookmarkStart w:id="31"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Cs/>
          <w:b/>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1"/>
    <w:bookmarkEnd w:id="32"/>
    <w:bookmarkStart w:id="41"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Cs/>
          <w:b/>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Cs/>
          <w:i/>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3" w:name="register-table"/>
    <w:p>
      <w:pPr>
        <w:pStyle w:val="Heading3"/>
      </w:pPr>
      <w:r>
        <w:t xml:space="preserve">Register Table</w:t>
      </w:r>
    </w:p>
    <w:tbl>
      <w:tblPr>
        <w:tblStyle w:val="Table"/>
        <w:tblW w:type="pct" w:w="5000"/>
        <w:tblLook w:firstRow="1" w:lastRow="0" w:firstColumn="0" w:lastColumn="0" w:noHBand="0" w:noVBand="0" w:val="0020"/>
        <w:jc w:val="start"/>
        <w:tblLayout w:type="fixed"/>
      </w:tblPr>
      <w:tblGrid>
        <w:gridCol w:w="389"/>
        <w:gridCol w:w="519"/>
        <w:gridCol w:w="714"/>
        <w:gridCol w:w="1363"/>
        <w:gridCol w:w="4933"/>
      </w:tblGrid>
      <w:tr>
        <w:trPr>
          <w:tblHeader w:val="true"/>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Cs/>
                <w:i/>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Cs/>
                <w:i/>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Cs/>
                <w:i/>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Cs/>
                <w:i/>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Cs/>
                <w:i/>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Cs/>
                <w:i/>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Cs/>
                <w:i/>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Cs/>
                <w:i/>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Cs/>
                <w:i/>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Cs/>
                <w:i/>
              </w:rPr>
              <w:t xml:space="preserve">General purpose</w:t>
            </w:r>
          </w:p>
        </w:tc>
      </w:tr>
    </w:tbl>
    <w:bookmarkEnd w:id="33"/>
    <w:bookmarkStart w:id="34" w:name="rpo-program-offset"/>
    <w:p>
      <w:pPr>
        <w:pStyle w:val="Heading3"/>
      </w:pPr>
      <w:r>
        <w:rPr>
          <w:rStyle w:val="VerbatimChar"/>
        </w:rPr>
        <w:t xml:space="preserve">rpo</w:t>
      </w:r>
      <w:r>
        <w:t xml:space="preserve"> </w:t>
      </w:r>
      <w:r>
        <w:t xml:space="preserve">—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Cs/>
          <w:b/>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Cs/>
          <w:b/>
        </w:rPr>
        <w:t xml:space="preserve">Note:</w:t>
      </w:r>
      <w:r>
        <w:t xml:space="preserve"> </w:t>
      </w:r>
      <w:r>
        <w:rPr>
          <w:rStyle w:val="VerbatimChar"/>
        </w:rPr>
        <w:t xml:space="preserve">rpo</w:t>
      </w:r>
      <w:r>
        <w:t xml:space="preserve"> </w:t>
      </w:r>
      <w:r>
        <w:t xml:space="preserve">is incremented by 1</w:t>
      </w:r>
      <w:r>
        <w:t xml:space="preserve"> </w:t>
      </w:r>
      <w:r>
        <w:rPr>
          <w:iCs/>
          <w:i/>
          <w:bCs/>
          <w:b/>
        </w:rPr>
        <w:t xml:space="preserve">before</w:t>
      </w:r>
      <w:r>
        <w:t xml:space="preserve"> </w:t>
      </w:r>
      <w:r>
        <w:t xml:space="preserve">an instruction begins execution, therefore when used as an operand in an instruction, it will point to the address of the</w:t>
      </w:r>
      <w:r>
        <w:t xml:space="preserve"> </w:t>
      </w:r>
      <w:r>
        <w:rPr>
          <w:bCs/>
          <w:b/>
        </w:rPr>
        <w:t xml:space="preserve">first operand</w:t>
      </w:r>
      <w:r>
        <w:t xml:space="preserve">,</w:t>
      </w:r>
      <w:r>
        <w:t xml:space="preserve"> </w:t>
      </w:r>
      <w:r>
        <w:rPr>
          <w:bCs/>
          <w:b/>
        </w:rPr>
        <w:t xml:space="preserve">not to the address of the opcode</w:t>
      </w:r>
      <w:r>
        <w:t xml:space="preserve">. It will not be incremented again until</w:t>
      </w:r>
      <w:r>
        <w:t xml:space="preserve"> </w:t>
      </w:r>
      <w:r>
        <w:rPr>
          <w:iCs/>
          <w:i/>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4"/>
    <w:bookmarkStart w:id="35" w:name="rsf-status-flags"/>
    <w:p>
      <w:pPr>
        <w:pStyle w:val="Heading3"/>
      </w:pPr>
      <w:r>
        <w:rPr>
          <w:rStyle w:val="VerbatimChar"/>
        </w:rPr>
        <w:t xml:space="preserve">rsf</w:t>
      </w:r>
      <w:r>
        <w:t xml:space="preserve"> </w:t>
      </w:r>
      <w:r>
        <w:t xml:space="preserve">—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Cs/>
          <w:b/>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5"/>
    <w:bookmarkStart w:id="36" w:name="rrv-return-value"/>
    <w:p>
      <w:pPr>
        <w:pStyle w:val="Heading3"/>
      </w:pPr>
      <w:r>
        <w:rPr>
          <w:rStyle w:val="VerbatimChar"/>
        </w:rPr>
        <w:t xml:space="preserve">rrv</w:t>
      </w:r>
      <w:r>
        <w:t xml:space="preserve"> </w:t>
      </w:r>
      <w:r>
        <w:t xml:space="preserve">—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6"/>
    <w:bookmarkStart w:id="37" w:name="rfp-fast-pass-parameter"/>
    <w:p>
      <w:pPr>
        <w:pStyle w:val="Heading3"/>
      </w:pPr>
      <w:r>
        <w:rPr>
          <w:rStyle w:val="VerbatimChar"/>
        </w:rPr>
        <w:t xml:space="preserve">rfp</w:t>
      </w:r>
      <w:r>
        <w:t xml:space="preserve"> </w:t>
      </w:r>
      <w:r>
        <w:t xml:space="preserve">—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Cs/>
          <w:b/>
        </w:rPr>
        <w:t xml:space="preserve">fast passing</w:t>
      </w:r>
      <w:r>
        <w:t xml:space="preserve"> </w:t>
      </w:r>
      <w:r>
        <w:t xml:space="preserve">or</w:t>
      </w:r>
      <w:r>
        <w:t xml:space="preserve"> </w:t>
      </w:r>
      <w:r>
        <w:rPr>
          <w:bCs/>
          <w:b/>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Cs/>
          <w:b/>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7"/>
    <w:bookmarkStart w:id="38" w:name="rso-stack-offset"/>
    <w:p>
      <w:pPr>
        <w:pStyle w:val="Heading3"/>
      </w:pPr>
      <w:r>
        <w:rPr>
          <w:rStyle w:val="VerbatimChar"/>
        </w:rPr>
        <w:t xml:space="preserve">rso</w:t>
      </w:r>
      <w:r>
        <w:t xml:space="preserve"> </w:t>
      </w:r>
      <w:r>
        <w:t xml:space="preserve">—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2046 bytes in size (making 2045 the highest address):</w:t>
      </w:r>
    </w:p>
    <w:p>
      <w:pPr>
        <w:pStyle w:val="SourceCode"/>
      </w:pPr>
      <w:r>
        <w:rPr>
          <w:rStyle w:val="VerbatimChar"/>
        </w:rPr>
        <w:t xml:space="preserve">WCN rso  ; Outputs "2046"</w:t>
      </w:r>
      <w:r>
        <w:br/>
      </w:r>
      <w:r>
        <w:rPr>
          <w:rStyle w:val="VerbatimChar"/>
        </w:rPr>
        <w:t xml:space="preserve">PSH 5  ; Push the literal 5 to the stack</w:t>
      </w:r>
      <w:r>
        <w:br/>
      </w:r>
      <w:r>
        <w:rPr>
          <w:rStyle w:val="VerbatimChar"/>
        </w:rPr>
        <w:t xml:space="preserve">WCN rso  ; Outputs "2038" (stack values are 8 bytes)</w:t>
      </w:r>
      <w:r>
        <w:br/>
      </w:r>
      <w:r>
        <w:rPr>
          <w:rStyle w:val="VerbatimChar"/>
        </w:rPr>
        <w:t xml:space="preserve">POP rg0  ; Pop the just-pushed 5 into rg0</w:t>
      </w:r>
      <w:r>
        <w:br/>
      </w:r>
      <w:r>
        <w:rPr>
          <w:rStyle w:val="VerbatimChar"/>
        </w:rPr>
        <w:t xml:space="preserve">WCN rso  ; Outputs "2046"</w:t>
      </w:r>
    </w:p>
    <w:bookmarkEnd w:id="38"/>
    <w:bookmarkStart w:id="39" w:name="rsb-stack-base"/>
    <w:p>
      <w:pPr>
        <w:pStyle w:val="Heading3"/>
      </w:pPr>
      <w:r>
        <w:rPr>
          <w:rStyle w:val="VerbatimChar"/>
        </w:rPr>
        <w:t xml:space="preserve">rsb</w:t>
      </w:r>
      <w:r>
        <w:t xml:space="preserve"> </w:t>
      </w:r>
      <w:r>
        <w:t xml:space="preserve">—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39"/>
    <w:bookmarkStart w:id="40" w:name="rg0---rg9-general-purpose"/>
    <w:p>
      <w:pPr>
        <w:pStyle w:val="Heading3"/>
      </w:pPr>
      <w:r>
        <w:rPr>
          <w:rStyle w:val="VerbatimChar"/>
        </w:rPr>
        <w:t xml:space="preserve">rg0</w:t>
      </w:r>
      <w:r>
        <w:t xml:space="preserve"> </w:t>
      </w:r>
      <w:r>
        <w:t xml:space="preserve">-</w:t>
      </w:r>
      <w:r>
        <w:t xml:space="preserve"> </w:t>
      </w:r>
      <w:r>
        <w:rPr>
          <w:rStyle w:val="VerbatimChar"/>
        </w:rPr>
        <w:t xml:space="preserve">rg9</w:t>
      </w:r>
      <w:r>
        <w:t xml:space="preserve"> </w:t>
      </w:r>
      <w:r>
        <w:t xml:space="preserve">—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0"/>
    <w:bookmarkEnd w:id="41"/>
    <w:bookmarkStart w:id="45"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2"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Cs/>
          <w:b/>
        </w:rPr>
        <w:t xml:space="preserve">upper</w:t>
      </w:r>
      <w:r>
        <w:t xml:space="preserve"> </w:t>
      </w:r>
      <w:r>
        <w:t xml:space="preserve">bits that do not fit in the specified size will be truncated. All 64-bits will still be assembled into the binary (literals are</w:t>
      </w:r>
      <w:r>
        <w:t xml:space="preserve"> </w:t>
      </w:r>
      <w:r>
        <w:rPr>
          <w:bCs/>
          <w:b/>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2"/>
    <w:bookmarkStart w:id="43"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Cs/>
          <w:b/>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3"/>
    <w:bookmarkStart w:id="44" w:name="moving-with-memory"/>
    <w:p>
      <w:pPr>
        <w:pStyle w:val="Heading3"/>
      </w:pPr>
      <w:r>
        <w:t xml:space="preserve">Moving with Memory</w:t>
      </w:r>
    </w:p>
    <w:p>
      <w:pPr>
        <w:pStyle w:val="FirstParagraph"/>
      </w:pPr>
      <w:r>
        <w:t xml:space="preserve">Unlike with registers, using different sizes of move instruction</w:t>
      </w:r>
      <w:r>
        <w:t xml:space="preserve"> </w:t>
      </w:r>
      <w:r>
        <w:rPr>
          <w:iCs/>
          <w:i/>
        </w:rPr>
        <w:t xml:space="preserve">will</w:t>
      </w:r>
      <w:r>
        <w:t xml:space="preserve"> </w:t>
      </w:r>
      <w:r>
        <w:t xml:space="preserve">affect how any bytes are read from memory. Bytes are read from or written to</w:t>
      </w:r>
      <w:r>
        <w:t xml:space="preserve"> </w:t>
      </w:r>
      <w:r>
        <w:rPr>
          <w:bCs/>
          <w:b/>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Cs/>
          <w:i/>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Cs/>
          <w:i/>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2046</w:t>
      </w:r>
      <w:r>
        <w:t xml:space="preserve"> </w:t>
      </w:r>
      <w:r>
        <w:t xml:space="preserve">bytes of available memory (making</w:t>
      </w:r>
      <w:r>
        <w:t xml:space="preserve"> </w:t>
      </w:r>
      <w:r>
        <w:rPr>
          <w:rStyle w:val="VerbatimChar"/>
        </w:rPr>
        <w:t xml:space="preserve">2045</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2043</w:t>
      </w:r>
      <w:r>
        <w:t xml:space="preserve">, as that requires at least 8 bytes.</w:t>
      </w:r>
    </w:p>
    <w:bookmarkEnd w:id="44"/>
    <w:bookmarkEnd w:id="45"/>
    <w:bookmarkStart w:id="52" w:name="maths-and-bitwise-operations"/>
    <w:p>
      <w:pPr>
        <w:pStyle w:val="Heading2"/>
      </w:pPr>
      <w:r>
        <w:t xml:space="preserve">Maths and Bitwise Operations</w:t>
      </w:r>
    </w:p>
    <w:p>
      <w:pPr>
        <w:pStyle w:val="FirstParagraph"/>
      </w:pPr>
      <w:r>
        <w:t xml:space="preserve">Math and bitwise instructions operate</w:t>
      </w:r>
      <w:r>
        <w:t xml:space="preserve"> </w:t>
      </w:r>
      <w:r>
        <w:rPr>
          <w:bCs/>
          <w:b/>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Cs/>
          <w:b/>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6"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6"/>
    <w:bookmarkStart w:id="47"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 </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7"/>
    <w:bookmarkStart w:id="48"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8"/>
    <w:bookmarkStart w:id="49"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49"/>
    <w:bookmarkStart w:id="50"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0"/>
    <w:bookmarkStart w:id="51"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1"/>
    <w:bookmarkEnd w:id="52"/>
    <w:bookmarkStart w:id="56"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Cs/>
          <w:b/>
        </w:rPr>
        <w:t xml:space="preserve">unsigned</w:t>
      </w:r>
      <w:r>
        <w:t xml:space="preserve"> </w:t>
      </w:r>
      <w:r>
        <w:t xml:space="preserve">or</w:t>
      </w:r>
      <w:r>
        <w:t xml:space="preserve"> </w:t>
      </w:r>
      <w:r>
        <w:rPr>
          <w:bCs/>
          <w:b/>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Cs/>
          <w:i/>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Cs/>
          <w:b/>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Cs/>
          <w:i/>
        </w:rPr>
        <w:t xml:space="preserve">possible</w:t>
      </w:r>
      <w:r>
        <w:t xml:space="preserve"> </w:t>
      </w:r>
      <w:r>
        <w:t xml:space="preserve">and desired, not just where they are guaranteed.</w:t>
      </w:r>
    </w:p>
    <w:bookmarkStart w:id="53"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Cs/>
          <w:b/>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Cs/>
          <w:b/>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Cs/>
          <w:b/>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  </w:t>
      </w:r>
      <w:r>
        <w:br/>
      </w:r>
      <w:r>
        <w:rPr>
          <w:rStyle w:val="VerbatimChar"/>
        </w:rPr>
        <w:t xml:space="preserve">  |   \     \     \     \     \     \     \ </w:t>
      </w:r>
      <w:r>
        <w:br/>
      </w:r>
      <w:r>
        <w:rPr>
          <w:rStyle w:val="VerbatimChar"/>
        </w:rPr>
        <w:t xml:space="preserve">| 1   | 1   | 1   | 1   | 0   | 0   | 1   | 1   |</w:t>
      </w:r>
      <w:r>
        <w:br/>
      </w:r>
      <w:r>
        <w:rPr>
          <w:rStyle w:val="VerbatimChar"/>
        </w:rPr>
        <w:t xml:space="preserve">= -13</w:t>
      </w:r>
    </w:p>
    <w:bookmarkEnd w:id="53"/>
    <w:bookmarkStart w:id="54"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4"/>
    <w:bookmarkStart w:id="55"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Cs/>
          <w:b/>
        </w:rPr>
        <w:t xml:space="preserve">overflow flag</w:t>
      </w:r>
      <w:r>
        <w:t xml:space="preserve">. This flag is set specifically when the result of an operation is incorrect when interpreted as a</w:t>
      </w:r>
      <w:r>
        <w:t xml:space="preserve"> </w:t>
      </w:r>
      <w:r>
        <w:rPr>
          <w:iCs/>
          <w:i/>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5"/>
    <w:bookmarkEnd w:id="56"/>
    <w:bookmarkStart w:id="60"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7"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Cs/>
          <w:i/>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Cs/>
          <w:b/>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7"/>
    <w:bookmarkStart w:id="58"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the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8"/>
    <w:bookmarkStart w:id="59"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Cs/>
          <w:b/>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Cs/>
          <w:b/>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59"/>
    <w:bookmarkEnd w:id="60"/>
    <w:bookmarkStart w:id="61"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1"/>
    <w:bookmarkStart w:id="67"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2"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Cs/>
          <w:b/>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2"/>
    <w:bookmarkStart w:id="63"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3"/>
    <w:bookmarkStart w:id="64"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Cs/>
          <w:b/>
        </w:rPr>
        <w:t xml:space="preserve">unsigned</w:t>
      </w:r>
      <w:r>
        <w:t xml:space="preserve"> </w:t>
      </w:r>
      <w:r>
        <w:t xml:space="preserve">version of the desired conditional jump should be used,</w:t>
      </w:r>
      <w:r>
        <w:t xml:space="preserve"> </w:t>
      </w:r>
      <w:r>
        <w:rPr>
          <w:bCs/>
          <w:b/>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4"/>
    <w:bookmarkStart w:id="65"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5"/>
    <w:bookmarkStart w:id="66"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6"/>
    <w:bookmarkEnd w:id="67"/>
    <w:bookmarkStart w:id="75"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8" w:name="pad-byte-padding"/>
    <w:p>
      <w:pPr>
        <w:pStyle w:val="Heading3"/>
      </w:pPr>
      <w:r>
        <w:rPr>
          <w:rStyle w:val="VerbatimChar"/>
        </w:rPr>
        <w:t xml:space="preserve">PAD</w:t>
      </w:r>
      <w:r>
        <w:t xml:space="preserve"> </w:t>
      </w:r>
      <w:r>
        <w:t xml:space="preserve">—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8"/>
    <w:bookmarkStart w:id="70" w:name="dat-byte-insertion"/>
    <w:p>
      <w:pPr>
        <w:pStyle w:val="Heading3"/>
      </w:pPr>
      <w:r>
        <w:rPr>
          <w:rStyle w:val="VerbatimChar"/>
        </w:rPr>
        <w:t xml:space="preserve">DAT</w:t>
      </w:r>
      <w:r>
        <w:t xml:space="preserve"> </w:t>
      </w:r>
      <w:r>
        <w:t xml:space="preserve">—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quotation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after this example.</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Start w:id="69" w:name="escape-sequences"/>
    <w:p>
      <w:pPr>
        <w:pStyle w:val="Heading4"/>
      </w:pPr>
      <w:r>
        <w:t xml:space="preserve">Escape Sequences</w:t>
      </w:r>
    </w:p>
    <w:p>
      <w:pPr>
        <w:pStyle w:val="FirstParagraph"/>
      </w:pPr>
      <w:r>
        <w:t xml:space="preserve">There are some sequences of characters that have special meanings when found inside a string. Each of these begins with a backslash (</w:t>
      </w:r>
      <w:r>
        <w:rPr>
          <w:rStyle w:val="VerbatimChar"/>
        </w:rPr>
        <w:t xml:space="preserve">\</w:t>
      </w:r>
      <w:r>
        <w:t xml:space="preserve">) character and are used to insert characters into the string that couldn’t be inserted normally. Every supported sequence is as follows:</w:t>
      </w:r>
    </w:p>
    <w:tbl>
      <w:tblPr>
        <w:tblStyle w:val="Table"/>
        <w:tblW w:type="pct" w:w="5000"/>
        <w:tblLook w:firstRow="1" w:lastRow="0" w:firstColumn="0" w:lastColumn="0" w:noHBand="0" w:noVBand="0" w:val="0020"/>
        <w:jc w:val="start"/>
        <w:tblLayout w:type="fixed"/>
      </w:tblPr>
      <w:tblGrid>
        <w:gridCol w:w="635"/>
        <w:gridCol w:w="1046"/>
        <w:gridCol w:w="6238"/>
      </w:tblGrid>
      <w:tr>
        <w:trPr>
          <w:tblHeader w:val="true"/>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the string without causing the string to end.</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Included for future expansion. Not currently required - simply type a</w:t>
            </w:r>
            <w:r>
              <w:t xml:space="preserve"> </w:t>
            </w:r>
            <w:r>
              <w:rPr>
                <w:rStyle w:val="VerbatimChar"/>
              </w:rPr>
              <w:t xml:space="preserve">'</w:t>
            </w:r>
            <w:r>
              <w:t xml:space="preserve"> </w:t>
            </w:r>
            <w:r>
              <w:t xml:space="preserve">character instead.</w:t>
            </w:r>
          </w:p>
        </w:tc>
      </w:tr>
    </w:tbl>
    <w:bookmarkEnd w:id="69"/>
    <w:bookmarkEnd w:id="70"/>
    <w:bookmarkStart w:id="71" w:name="num-number-insertion"/>
    <w:p>
      <w:pPr>
        <w:pStyle w:val="Heading3"/>
      </w:pPr>
      <w:r>
        <w:rPr>
          <w:rStyle w:val="VerbatimChar"/>
        </w:rPr>
        <w:t xml:space="preserve">NUM</w:t>
      </w:r>
      <w:r>
        <w:t xml:space="preserve"> </w:t>
      </w:r>
      <w:r>
        <w:t xml:space="preserve">—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w:t>
      </w:r>
    </w:p>
    <w:bookmarkEnd w:id="71"/>
    <w:bookmarkStart w:id="72" w:name="mac-macro-definition"/>
    <w:p>
      <w:pPr>
        <w:pStyle w:val="Heading3"/>
      </w:pPr>
      <w:r>
        <w:rPr>
          <w:rStyle w:val="VerbatimChar"/>
        </w:rPr>
        <w:t xml:space="preserve">MAC</w:t>
      </w:r>
      <w:r>
        <w:t xml:space="preserve"> </w:t>
      </w:r>
      <w:r>
        <w:t xml:space="preserve">—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Cs/>
          <w:b/>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Cs/>
          <w:b/>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file-importing"/>
    <w:p>
      <w:pPr>
        <w:pStyle w:val="Heading3"/>
      </w:pPr>
      <w:r>
        <w:rPr>
          <w:rStyle w:val="VerbatimChar"/>
        </w:rPr>
        <w:t xml:space="preserve">IMP</w:t>
      </w:r>
      <w:r>
        <w:t xml:space="preserve"> </w:t>
      </w:r>
      <w:r>
        <w:t xml:space="preserve">— File Importing</w:t>
      </w:r>
    </w:p>
    <w:p>
      <w:pPr>
        <w:pStyle w:val="FirstParagraph"/>
      </w:pPr>
      <w:r>
        <w:t xml:space="preserve">The</w:t>
      </w:r>
      <w:r>
        <w:t xml:space="preserve"> </w:t>
      </w:r>
      <w:r>
        <w:rPr>
          <w:rStyle w:val="VerbatimChar"/>
        </w:rPr>
        <w:t xml:space="preserve">IMP</w:t>
      </w:r>
      <w:r>
        <w:t xml:space="preserve"> </w:t>
      </w:r>
      <w:r>
        <w:t xml:space="preserve">directive inserts the contents of another file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w:t>
      </w:r>
      <w:r>
        <w:t xml:space="preserve"> </w:t>
      </w:r>
      <w:r>
        <w:rPr>
          <w:bCs/>
          <w:b/>
        </w:rPr>
        <w:t xml:space="preserve">must</w:t>
      </w:r>
      <w:r>
        <w:t xml:space="preserve"> </w:t>
      </w:r>
      <w:r>
        <w:t xml:space="preserve">be AssEmbly source files, not already assembled binaries.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analyzer-toggling-assembler-warnings"/>
    <w:p>
      <w:pPr>
        <w:pStyle w:val="Heading3"/>
      </w:pPr>
      <w:r>
        <w:rPr>
          <w:rStyle w:val="VerbatimChar"/>
        </w:rPr>
        <w:t xml:space="preserve">ANALYZER</w:t>
      </w:r>
      <w:r>
        <w:t xml:space="preserve"> </w:t>
      </w:r>
      <w:r>
        <w:t xml:space="preserve">—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4"/>
    <w:bookmarkEnd w:id="75"/>
    <w:bookmarkStart w:id="76"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6"/>
    <w:bookmarkStart w:id="80" w:name="file-handling"/>
    <w:p>
      <w:pPr>
        <w:pStyle w:val="Heading2"/>
      </w:pPr>
      <w:r>
        <w:t xml:space="preserve">File Handling</w:t>
      </w:r>
    </w:p>
    <w:p>
      <w:pPr>
        <w:pStyle w:val="FirstParagraph"/>
      </w:pPr>
      <w:r>
        <w:t xml:space="preserve">As well as interfacing with the console, AssEmbly also has native support for handling files.</w:t>
      </w:r>
    </w:p>
    <w:bookmarkStart w:id="77"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7"/>
    <w:bookmarkStart w:id="78"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78"/>
    <w:bookmarkStart w:id="79"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79"/>
    <w:bookmarkEnd w:id="80"/>
    <w:bookmarkStart w:id="82"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Cs/>
          <w:b/>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Cs/>
          <w:b/>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Cs/>
          <w:b/>
        </w:rPr>
        <w:t xml:space="preserve">lower</w:t>
      </w:r>
      <w:r>
        <w:t xml:space="preserve"> </w:t>
      </w:r>
      <w:r>
        <w:t xml:space="preserve">as items are</w:t>
      </w:r>
      <w:r>
        <w:t xml:space="preserve"> </w:t>
      </w:r>
      <w:r>
        <w:rPr>
          <w:bCs/>
          <w:b/>
        </w:rPr>
        <w:t xml:space="preserve">pushed</w:t>
      </w:r>
      <w:r>
        <w:t xml:space="preserve">, and</w:t>
      </w:r>
      <w:r>
        <w:t xml:space="preserve"> </w:t>
      </w:r>
      <w:r>
        <w:rPr>
          <w:bCs/>
          <w:b/>
        </w:rPr>
        <w:t xml:space="preserve">greater</w:t>
      </w:r>
      <w:r>
        <w:t xml:space="preserve"> </w:t>
      </w:r>
      <w:r>
        <w:t xml:space="preserve">as items are</w:t>
      </w:r>
      <w:r>
        <w:t xml:space="preserve"> </w:t>
      </w:r>
      <w:r>
        <w:rPr>
          <w:bCs/>
          <w:b/>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2046 bytes in size (making 2045 the maximum address):</w:t>
      </w:r>
    </w:p>
    <w:p>
      <w:pPr>
        <w:pStyle w:val="SourceCode"/>
      </w:pPr>
      <w:r>
        <w:rPr>
          <w:rStyle w:val="VerbatimChar"/>
        </w:rPr>
        <w:t xml:space="preserve">; rso = 2046</w:t>
      </w:r>
      <w:r>
        <w:br/>
      </w:r>
      <w:r>
        <w:rPr>
          <w:rStyle w:val="VerbatimChar"/>
        </w:rPr>
        <w:t xml:space="preserve">; | Addresses |    2022..2029    |    2030..2037    |    2038..2045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2022</w:t>
      </w:r>
      <w:r>
        <w:br/>
      </w:r>
      <w:r>
        <w:rPr>
          <w:rStyle w:val="VerbatimChar"/>
        </w:rPr>
        <w:t xml:space="preserve">; | Addresses ||    2022..2029    |    2030..2037    |    2038..2045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2030</w:t>
      </w:r>
      <w:r>
        <w:br/>
      </w:r>
      <w:r>
        <w:rPr>
          <w:rStyle w:val="VerbatimChar"/>
        </w:rPr>
        <w:t xml:space="preserve">; | Addresses |    2022..2029    ||    2030..2037    |    2038..2045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2038</w:t>
      </w:r>
      <w:r>
        <w:br/>
      </w:r>
      <w:r>
        <w:rPr>
          <w:rStyle w:val="VerbatimChar"/>
        </w:rPr>
        <w:t xml:space="preserve">; | Addresses |    2022..2029    |    2030..2037    ||    2038..2045    |</w:t>
      </w:r>
      <w:r>
        <w:br/>
      </w:r>
      <w:r>
        <w:rPr>
          <w:rStyle w:val="VerbatimChar"/>
        </w:rPr>
        <w:t xml:space="preserve">; |   Value   | ???????????????? | ???????????????? || 00000000EFBEADDE |</w:t>
      </w:r>
      <w:r>
        <w:br/>
      </w:r>
      <w:r>
        <w:rPr>
          <w:rStyle w:val="VerbatimChar"/>
        </w:rPr>
        <w:t xml:space="preserve">; rg0 = 0xCAFEB0BA</w:t>
      </w:r>
    </w:p>
    <w:bookmarkStart w:id="81"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1"/>
    <w:bookmarkEnd w:id="82"/>
    <w:bookmarkStart w:id="87" w:name="subroutines"/>
    <w:p>
      <w:pPr>
        <w:pStyle w:val="Heading2"/>
      </w:pPr>
      <w:r>
        <w:t xml:space="preserve">Subroutines</w:t>
      </w:r>
    </w:p>
    <w:p>
      <w:pPr>
        <w:pStyle w:val="FirstParagraph"/>
      </w:pPr>
      <w:r>
        <w:t xml:space="preserve">A subroutine is a section of a program that can be specially jumped to (</w:t>
      </w:r>
      <w:r>
        <w:rPr>
          <w:bCs/>
          <w:b/>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Cs/>
          <w:b/>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3"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Cs/>
          <w:b/>
        </w:rPr>
        <w:t xml:space="preserve">fast calling</w:t>
      </w:r>
      <w:r>
        <w:t xml:space="preserve"> </w:t>
      </w:r>
      <w:r>
        <w:t xml:space="preserve">or</w:t>
      </w:r>
      <w:r>
        <w:t xml:space="preserve"> </w:t>
      </w:r>
      <w:r>
        <w:rPr>
          <w:bCs/>
          <w:b/>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3"/>
    <w:bookmarkStart w:id="84"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4"/>
    <w:bookmarkStart w:id="85"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Cs/>
          <w:b/>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Cs/>
          <w:b/>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Cs/>
          <w:b/>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5"/>
    <w:bookmarkStart w:id="86"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6"/>
    <w:bookmarkEnd w:id="87"/>
    <w:bookmarkStart w:id="88"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Cs/>
          <w:b/>
        </w:rPr>
        <w:t xml:space="preserve">will not</w:t>
      </w:r>
      <w:r>
        <w:t xml:space="preserve"> </w:t>
      </w:r>
      <w:r>
        <w:t xml:space="preserve">be automatically converted to UTF-8 if the file was saved with another encoding.</w:t>
      </w:r>
    </w:p>
    <w:bookmarkEnd w:id="88"/>
    <w:bookmarkStart w:id="89"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Cs/>
          <w:b/>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Cs/>
          <w:i/>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numPr>
          <w:ilvl w:val="0"/>
          <w:numId w:val="1017"/>
        </w:numPr>
        <w:pStyle w:val="Compact"/>
      </w:pPr>
      <w:r>
        <w:rPr>
          <w:rStyle w:val="VerbatimChar"/>
        </w:rPr>
        <w:t xml:space="preserve">O</w:t>
      </w:r>
      <w:r>
        <w:t xml:space="preserve"> </w:t>
      </w:r>
      <w:r>
        <w:t xml:space="preserve">= Instruction accepts the data type</w:t>
      </w:r>
    </w:p>
    <w:p>
      <w:pPr>
        <w:numPr>
          <w:ilvl w:val="0"/>
          <w:numId w:val="1017"/>
        </w:numPr>
        <w:pStyle w:val="Compact"/>
      </w:pPr>
      <w:r>
        <w:rPr>
          <w:rStyle w:val="VerbatimChar"/>
        </w:rPr>
        <w:t xml:space="preserve">X</w:t>
      </w:r>
      <w:r>
        <w:t xml:space="preserve"> </w:t>
      </w:r>
      <w:r>
        <w:t xml:space="preserve">= Instruction does not accept the data type</w:t>
      </w:r>
    </w:p>
    <w:p>
      <w:pPr>
        <w:numPr>
          <w:ilvl w:val="0"/>
          <w:numId w:val="1017"/>
        </w:numPr>
        <w:pStyle w:val="Compact"/>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bl>
    <w:p>
      <w:pPr>
        <w:numPr>
          <w:ilvl w:val="0"/>
          <w:numId w:val="1018"/>
        </w:numPr>
        <w:pStyle w:val="Compact"/>
      </w:pPr>
      <w:r>
        <w:t xml:space="preserve">Signed integers</w:t>
      </w:r>
      <w:r>
        <w:t xml:space="preserve"> </w:t>
      </w:r>
      <w:r>
        <w:rPr>
          <w:iCs/>
          <w:i/>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numPr>
          <w:ilvl w:val="0"/>
          <w:numId w:val="1018"/>
        </w:numPr>
        <w:pStyle w:val="Compact"/>
      </w:pPr>
      <w:r>
        <w:t xml:space="preserve">Bitwise operations on signed integers will treat the sign bit like any other, there is no special logic involving it.</w:t>
      </w:r>
    </w:p>
    <w:p>
      <w:pPr>
        <w:numPr>
          <w:ilvl w:val="0"/>
          <w:numId w:val="1018"/>
        </w:numPr>
        <w:pStyle w:val="Compact"/>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bookmarkEnd w:id="89"/>
    <w:bookmarkStart w:id="90" w:name="status-flag-behaviour"/>
    <w:p>
      <w:pPr>
        <w:pStyle w:val="Heading2"/>
      </w:pPr>
      <w:r>
        <w:t xml:space="preserve">Status Flag Behaviour</w:t>
      </w:r>
    </w:p>
    <w:p>
      <w:pPr>
        <w:numPr>
          <w:ilvl w:val="0"/>
          <w:numId w:val="1019"/>
        </w:numPr>
        <w:pStyle w:val="Compact"/>
      </w:pPr>
      <w:r>
        <w:rPr>
          <w:rStyle w:val="VerbatimChar"/>
        </w:rPr>
        <w:t xml:space="preserve">0</w:t>
      </w:r>
      <w:r>
        <w:t xml:space="preserve"> </w:t>
      </w:r>
      <w:r>
        <w:t xml:space="preserve">= Instruction always unsets flag</w:t>
      </w:r>
    </w:p>
    <w:p>
      <w:pPr>
        <w:numPr>
          <w:ilvl w:val="0"/>
          <w:numId w:val="1019"/>
        </w:numPr>
        <w:pStyle w:val="Compact"/>
      </w:pPr>
      <w:r>
        <w:rPr>
          <w:rStyle w:val="VerbatimChar"/>
        </w:rPr>
        <w:t xml:space="preserve">1</w:t>
      </w:r>
      <w:r>
        <w:t xml:space="preserve"> </w:t>
      </w:r>
      <w:r>
        <w:t xml:space="preserve">= Instruction always sets flag</w:t>
      </w:r>
    </w:p>
    <w:p>
      <w:pPr>
        <w:numPr>
          <w:ilvl w:val="0"/>
          <w:numId w:val="1019"/>
        </w:numPr>
        <w:pStyle w:val="Compact"/>
      </w:pPr>
      <w:r>
        <w:rPr>
          <w:rStyle w:val="VerbatimChar"/>
        </w:rPr>
        <w:t xml:space="preserve">(...)</w:t>
      </w:r>
      <w:r>
        <w:t xml:space="preserve"> </w:t>
      </w:r>
      <w:r>
        <w:t xml:space="preserve">= Instruction sets flag if the given condition is satisfied, otherwise it unsets it</w:t>
      </w:r>
    </w:p>
    <w:p>
      <w:pPr>
        <w:numPr>
          <w:ilvl w:val="0"/>
          <w:numId w:val="1019"/>
        </w:numPr>
        <w:pStyle w:val="Compact"/>
      </w:pPr>
      <w:r>
        <w:rPr>
          <w:rStyle w:val="VerbatimChar"/>
        </w:rPr>
        <w:t xml:space="preserve">[...]</w:t>
      </w:r>
      <w:r>
        <w:t xml:space="preserve"> </w:t>
      </w:r>
      <w:r>
        <w:t xml:space="preserve">= Instruction sets flag if the given condition is satisfied, otherwise it maintains its current value</w:t>
      </w:r>
    </w:p>
    <w:p>
      <w:pPr>
        <w:numPr>
          <w:ilvl w:val="0"/>
          <w:numId w:val="1019"/>
        </w:numPr>
        <w:pStyle w:val="Compact"/>
      </w:pPr>
      <w:r>
        <w:rPr>
          <w:rStyle w:val="VerbatimChar"/>
        </w:rPr>
        <w:t xml:space="preserve">{...}</w:t>
      </w:r>
      <w:r>
        <w:t xml:space="preserve"> </w:t>
      </w:r>
      <w:r>
        <w:t xml:space="preserve">= Instruction unsets flag if the given condition is satisfied, otherwise it maintains its current value</w:t>
      </w:r>
    </w:p>
    <w:p>
      <w:pPr>
        <w:numPr>
          <w:ilvl w:val="0"/>
          <w:numId w:val="1019"/>
        </w:numPr>
        <w:pStyle w:val="Compact"/>
      </w:pPr>
      <w:r>
        <w:rPr>
          <w:rStyle w:val="VerbatimChar"/>
        </w:rPr>
        <w:t xml:space="preserve">X</w:t>
      </w:r>
      <w:r>
        <w:t xml:space="preserve"> </w:t>
      </w:r>
      <w:r>
        <w:t xml:space="preserve">= Instruction does not affect flag</w:t>
      </w:r>
    </w:p>
    <w:p>
      <w:pPr>
        <w:numPr>
          <w:ilvl w:val="0"/>
          <w:numId w:val="1019"/>
        </w:numPr>
        <w:pStyle w:val="Compact"/>
      </w:pPr>
      <w:r>
        <w:rPr>
          <w:rStyle w:val="VerbatimChar"/>
        </w:rPr>
        <w:t xml:space="preserve">STD</w:t>
      </w:r>
      <w:r>
        <w:t xml:space="preserve"> </w:t>
      </w:r>
      <w:r>
        <w:t xml:space="preserve">= Instruction uses standard behaviour for flag according to result, unaffected by operands. They are as follows:</w:t>
      </w:r>
    </w:p>
    <w:p>
      <w:pPr>
        <w:numPr>
          <w:ilvl w:val="1"/>
          <w:numId w:val="1020"/>
        </w:numPr>
        <w:pStyle w:val="Compact"/>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numPr>
          <w:ilvl w:val="1"/>
          <w:numId w:val="1020"/>
        </w:numPr>
        <w:pStyle w:val="Compact"/>
      </w:pPr>
      <w:r>
        <w:t xml:space="preserve">For sign flag, set if the most significant bit of the result is set, otherwise unset</w:t>
      </w:r>
    </w:p>
    <w:tbl>
      <w:tblPr>
        <w:tblStyle w:val="Table"/>
        <w:tblW w:type="pct" w:w="5000"/>
        <w:tblLook w:firstRow="1" w:lastRow="0" w:firstColumn="0" w:lastColumn="0" w:noHBand="0" w:noVBand="0" w:val="0020"/>
        <w:jc w:val="start"/>
        <w:tblLayout w:type="fixed"/>
      </w:tblPr>
      <w:tblGrid>
        <w:gridCol w:w="761"/>
        <w:gridCol w:w="304"/>
        <w:gridCol w:w="2944"/>
        <w:gridCol w:w="1624"/>
        <w:gridCol w:w="304"/>
        <w:gridCol w:w="1980"/>
      </w:tblGrid>
      <w:tr>
        <w:trPr>
          <w:tblHeader w:val="true"/>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90"/>
    <w:bookmarkStart w:id="95" w:name="full-instruction-reference"/>
    <w:p>
      <w:pPr>
        <w:pStyle w:val="Heading2"/>
      </w:pPr>
      <w:r>
        <w:t xml:space="preserve">Full Instruction Reference</w:t>
      </w:r>
    </w:p>
    <w:bookmarkStart w:id="91"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w:t>
      </w:r>
    </w:p>
    <w:p>
      <w:pPr>
        <w:pStyle w:val="BodyText"/>
      </w:pPr>
      <w:r>
        <w:t xml:space="preserve">Note that for the base instruction set (number</w:t>
      </w:r>
      <w:r>
        <w:t xml:space="preserve"> </w:t>
      </w:r>
      <w:r>
        <w:rPr>
          <w:rStyle w:val="VerbatimChar"/>
        </w:rPr>
        <w:t xml:space="preserve">0x00</w:t>
      </w:r>
      <w:r>
        <w:t xml:space="preserve">)</w:t>
      </w:r>
      <w:r>
        <w:t xml:space="preserve"> </w:t>
      </w:r>
      <w:r>
        <w:rPr>
          <w:iCs/>
          <w:i/>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Cs/>
                <w:b/>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Cs/>
                <w:b/>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Cs/>
                <w:b/>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Cs/>
                <w:b/>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Cs/>
                <w:b/>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Cs/>
                <w:b/>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Cs/>
                <w:b/>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91"/>
    <w:bookmarkStart w:id="92"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Cs/>
                <w:b/>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Cs/>
                <w:b/>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Cs/>
                <w:b/>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92"/>
    <w:bookmarkStart w:id="93"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0x51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0x53</w:t>
            </w:r>
          </w:p>
        </w:tc>
      </w:tr>
      <w:tr>
        <w:tc>
          <w:tcPr/>
          <w:p>
            <w:pPr>
              <w:pStyle w:val="Compact"/>
              <w:jc w:val="left"/>
            </w:pPr>
            <w:r>
              <w:rPr>
                <w:bCs/>
                <w:b/>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Cs/>
                <w:b/>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Cs/>
                <w:b/>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Cs/>
                <w:b/>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93"/>
    <w:bookmarkStart w:id="94"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w:t>
      </w:r>
    </w:p>
    <w:tbl>
      <w:tblPr>
        <w:tblStyle w:val="Table"/>
        <w:tblW w:type="pct" w:w="5000"/>
        <w:tblLook w:firstRow="1" w:lastRow="0" w:firstColumn="0" w:lastColumn="0" w:noHBand="0" w:noVBand="0" w:val="0020"/>
        <w:jc w:val="start"/>
        <w:tblLayout w:type="fixed"/>
      </w:tblPr>
      <w:tblGrid>
        <w:gridCol w:w="1342"/>
        <w:gridCol w:w="1476"/>
        <w:gridCol w:w="1342"/>
        <w:gridCol w:w="1342"/>
        <w:gridCol w:w="2416"/>
      </w:tblGrid>
      <w:tr>
        <w:trPr>
          <w:tblHeader w:val="true"/>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Cs/>
                <w:b/>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94"/>
    <w:bookmarkEnd w:id="95"/>
    <w:bookmarkStart w:id="96"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Code</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w:t>
            </w:r>
          </w:p>
        </w:tc>
      </w:tr>
    </w:tbl>
    <w:p>
      <w:r>
        <w:pict>
          <v:rect style="width:0;height:1.5pt" o:hralign="center" o:hrstd="t" o:hr="t"/>
        </w:pict>
      </w:r>
    </w:p>
    <w:p>
      <w:pPr>
        <w:pStyle w:val="FirstParagraph"/>
      </w:pPr>
      <w:r>
        <w:rPr>
          <w:bCs/>
          <w:b/>
        </w:rPr>
        <w:t xml:space="preserve">Copyright © 2022–2023 Ptolemy Hill</w:t>
      </w:r>
    </w:p>
    <w:bookmarkEnd w:id="96"/>
    <w:bookmarkEnd w:id="9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2023-09-12T14:20:08Z</dcterms:created>
  <dcterms:modified xsi:type="dcterms:W3CDTF">2023-09-12T14:20:08Z</dcterms:modified>
</cp:coreProperties>
</file>

<file path=docProps/custom.xml><?xml version="1.0" encoding="utf-8"?>
<Properties xmlns="http://schemas.openxmlformats.org/officeDocument/2006/custom-properties" xmlns:vt="http://schemas.openxmlformats.org/officeDocument/2006/docPropsVTypes"/>
</file>