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7"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2.0.0</w:t>
      </w:r>
    </w:p>
    <w:p>
      <w:pPr>
        <w:pStyle w:val="BodyText"/>
      </w:pPr>
      <w:r>
        <w:t xml:space="preserve">Last revised: 2023-09-09</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0"/>
        </w:numPr>
        <w:pStyle w:val="Compact"/>
      </w:pPr>
      <w:hyperlink w:anchor="escape-sequences">
        <w:r>
          <w:rPr>
            <w:rStyle w:val="Hyperlink"/>
          </w:rPr>
          <w:t xml:space="preserve">Escape Sequences</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09"/>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1"/>
        </w:numPr>
        <w:pStyle w:val="Compact"/>
      </w:pPr>
      <w:hyperlink w:anchor="opening-and-closing">
        <w:r>
          <w:rPr>
            <w:rStyle w:val="Hyperlink"/>
          </w:rPr>
          <w:t xml:space="preserve">Opening and Closing</w:t>
        </w:r>
      </w:hyperlink>
    </w:p>
    <w:p>
      <w:pPr>
        <w:numPr>
          <w:ilvl w:val="2"/>
          <w:numId w:val="1011"/>
        </w:numPr>
        <w:pStyle w:val="Compact"/>
      </w:pPr>
      <w:hyperlink w:anchor="reading-and-writing">
        <w:r>
          <w:rPr>
            <w:rStyle w:val="Hyperlink"/>
          </w:rPr>
          <w:t xml:space="preserve">Reading and Writing</w:t>
        </w:r>
      </w:hyperlink>
    </w:p>
    <w:p>
      <w:pPr>
        <w:numPr>
          <w:ilvl w:val="2"/>
          <w:numId w:val="1011"/>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2"/>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3"/>
        </w:numPr>
        <w:pStyle w:val="Compact"/>
      </w:pPr>
      <w:hyperlink w:anchor="fast-calling">
        <w:r>
          <w:rPr>
            <w:rStyle w:val="Hyperlink"/>
          </w:rPr>
          <w:t xml:space="preserve">Fast Calling</w:t>
        </w:r>
      </w:hyperlink>
    </w:p>
    <w:p>
      <w:pPr>
        <w:numPr>
          <w:ilvl w:val="2"/>
          <w:numId w:val="1013"/>
        </w:numPr>
        <w:pStyle w:val="Compact"/>
      </w:pPr>
      <w:hyperlink w:anchor="return-values">
        <w:r>
          <w:rPr>
            <w:rStyle w:val="Hyperlink"/>
          </w:rPr>
          <w:t xml:space="preserve">Return Values</w:t>
        </w:r>
      </w:hyperlink>
    </w:p>
    <w:p>
      <w:pPr>
        <w:numPr>
          <w:ilvl w:val="2"/>
          <w:numId w:val="1013"/>
        </w:numPr>
        <w:pStyle w:val="Compact"/>
      </w:pPr>
      <w:hyperlink w:anchor="subroutines-and-the-stack">
        <w:r>
          <w:rPr>
            <w:rStyle w:val="Hyperlink"/>
          </w:rPr>
          <w:t xml:space="preserve">Subroutines and the Stack</w:t>
        </w:r>
      </w:hyperlink>
    </w:p>
    <w:p>
      <w:pPr>
        <w:numPr>
          <w:ilvl w:val="2"/>
          <w:numId w:val="1013"/>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status-flag-behaviour">
        <w:r>
          <w:rPr>
            <w:rStyle w:val="Hyperlink"/>
          </w:rPr>
          <w:t xml:space="preserve">Status Flag Behaviour</w:t>
        </w:r>
      </w:hyperlink>
    </w:p>
    <w:p>
      <w:pPr>
        <w:numPr>
          <w:ilvl w:val="1"/>
          <w:numId w:val="1002"/>
        </w:numPr>
        <w:pStyle w:val="Compact"/>
      </w:pPr>
      <w:hyperlink w:anchor="full-instruction-reference">
        <w:r>
          <w:rPr>
            <w:rStyle w:val="Hyperlink"/>
          </w:rPr>
          <w:t xml:space="preserve">Full Instruction Reference</w:t>
        </w:r>
      </w:hyperlink>
    </w:p>
    <w:p>
      <w:pPr>
        <w:numPr>
          <w:ilvl w:val="2"/>
          <w:numId w:val="1014"/>
        </w:numPr>
        <w:pStyle w:val="Compact"/>
      </w:pPr>
      <w:hyperlink w:anchor="base-instruction-set">
        <w:r>
          <w:rPr>
            <w:rStyle w:val="Hyperlink"/>
          </w:rPr>
          <w:t xml:space="preserve">Base Instruction Set</w:t>
        </w:r>
      </w:hyperlink>
    </w:p>
    <w:p>
      <w:pPr>
        <w:numPr>
          <w:ilvl w:val="2"/>
          <w:numId w:val="1014"/>
        </w:numPr>
        <w:pStyle w:val="Compact"/>
      </w:pPr>
      <w:hyperlink w:anchor="signed-extension-set">
        <w:r>
          <w:rPr>
            <w:rStyle w:val="Hyperlink"/>
          </w:rPr>
          <w:t xml:space="preserve">Signed Extension Set</w:t>
        </w:r>
      </w:hyperlink>
    </w:p>
    <w:p>
      <w:pPr>
        <w:numPr>
          <w:ilvl w:val="2"/>
          <w:numId w:val="1014"/>
        </w:numPr>
        <w:pStyle w:val="Compact"/>
      </w:pPr>
      <w:hyperlink w:anchor="floating-point-extension-set">
        <w:r>
          <w:rPr>
            <w:rStyle w:val="Hyperlink"/>
          </w:rPr>
          <w:t xml:space="preserve">Floating Point Extension Set</w:t>
        </w:r>
      </w:hyperlink>
    </w:p>
    <w:p>
      <w:pPr>
        <w:numPr>
          <w:ilvl w:val="2"/>
          <w:numId w:val="1014"/>
        </w:numPr>
        <w:pStyle w:val="Compact"/>
      </w:pPr>
      <w:hyperlink w:anchor="extended-base-set">
        <w:r>
          <w:rPr>
            <w:rStyle w:val="Hyperlink"/>
          </w:rPr>
          <w:t xml:space="preserve">Extended Base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167 opcodes (49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 readable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byte that has just been read from the currently open file was the last byte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6"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1"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0"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In order 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0"/>
    <w:bookmarkEnd w:id="61"/>
    <w:bookmarkStart w:id="62"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2"/>
    <w:bookmarkStart w:id="63"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3"/>
    <w:bookmarkStart w:id="64"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4"/>
    <w:bookmarkStart w:id="65"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65"/>
    <w:bookmarkEnd w:id="66"/>
    <w:bookmarkStart w:id="67"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67"/>
    <w:bookmarkStart w:id="71" w:name="file-handling"/>
    <w:p>
      <w:pPr>
        <w:pStyle w:val="Heading2"/>
      </w:pPr>
      <w:r>
        <w:t xml:space="preserve">File Handling</w:t>
      </w:r>
    </w:p>
    <w:p>
      <w:pPr>
        <w:pStyle w:val="FirstParagraph"/>
      </w:pPr>
      <w:r>
        <w:t xml:space="preserve">As well as interfacing with the console, AssEmbly also has native support for handling files.</w:t>
      </w:r>
    </w:p>
    <w:bookmarkStart w:id="68"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8"/>
    <w:bookmarkStart w:id="69"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9"/>
    <w:bookmarkStart w:id="70"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0"/>
    <w:bookmarkEnd w:id="71"/>
    <w:bookmarkStart w:id="73"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2"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2"/>
    <w:bookmarkEnd w:id="73"/>
    <w:bookmarkStart w:id="78"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4"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4"/>
    <w:bookmarkStart w:id="75"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5"/>
    <w:bookmarkStart w:id="76"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two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6"/>
    <w:bookmarkStart w:id="77"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7"/>
    <w:bookmarkEnd w:id="78"/>
    <w:bookmarkStart w:id="79"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79"/>
    <w:bookmarkStart w:id="80" w:name="status-flag-behaviour"/>
    <w:p>
      <w:pPr>
        <w:pStyle w:val="Heading2"/>
      </w:pPr>
      <w:r>
        <w:t xml:space="preserve">Status Flag Behaviour</w:t>
      </w:r>
    </w:p>
    <w:p>
      <w:pPr>
        <w:numPr>
          <w:ilvl w:val="0"/>
          <w:numId w:val="1015"/>
        </w:numPr>
        <w:pStyle w:val="Compact"/>
      </w:pPr>
      <w:r>
        <w:rPr>
          <w:rStyle w:val="VerbatimChar"/>
        </w:rPr>
        <w:t xml:space="preserve">0</w:t>
      </w:r>
      <w:r>
        <w:t xml:space="preserve"> </w:t>
      </w:r>
      <w:r>
        <w:t xml:space="preserve">= Instruction always unsets flag</w:t>
      </w:r>
    </w:p>
    <w:p>
      <w:pPr>
        <w:numPr>
          <w:ilvl w:val="0"/>
          <w:numId w:val="1015"/>
        </w:numPr>
        <w:pStyle w:val="Compact"/>
      </w:pPr>
      <w:r>
        <w:rPr>
          <w:rStyle w:val="VerbatimChar"/>
        </w:rPr>
        <w:t xml:space="preserve">1</w:t>
      </w:r>
      <w:r>
        <w:t xml:space="preserve"> </w:t>
      </w:r>
      <w:r>
        <w:t xml:space="preserve">= Instruction always sets flag</w:t>
      </w:r>
    </w:p>
    <w:p>
      <w:pPr>
        <w:numPr>
          <w:ilvl w:val="0"/>
          <w:numId w:val="1015"/>
        </w:numPr>
        <w:pStyle w:val="Compact"/>
      </w:pPr>
      <w:r>
        <w:rPr>
          <w:rStyle w:val="VerbatimChar"/>
        </w:rPr>
        <w:t xml:space="preserve">(...)</w:t>
      </w:r>
      <w:r>
        <w:t xml:space="preserve"> </w:t>
      </w:r>
      <w:r>
        <w:t xml:space="preserve">= Instruction sets flag if the given condition is satisfied, otherwise it unsets it</w:t>
      </w:r>
    </w:p>
    <w:p>
      <w:pPr>
        <w:numPr>
          <w:ilvl w:val="0"/>
          <w:numId w:val="1015"/>
        </w:numPr>
        <w:pStyle w:val="Compact"/>
      </w:pPr>
      <w:r>
        <w:rPr>
          <w:rStyle w:val="VerbatimChar"/>
        </w:rPr>
        <w:t xml:space="preserve">[...]</w:t>
      </w:r>
      <w:r>
        <w:t xml:space="preserve"> </w:t>
      </w:r>
      <w:r>
        <w:t xml:space="preserve">= Instruction sets flag if the given condition is satisfied, otherwise it maintains its current value</w:t>
      </w:r>
    </w:p>
    <w:p>
      <w:pPr>
        <w:numPr>
          <w:ilvl w:val="0"/>
          <w:numId w:val="1015"/>
        </w:numPr>
        <w:pStyle w:val="Compact"/>
      </w:pPr>
      <w:r>
        <w:rPr>
          <w:rStyle w:val="VerbatimChar"/>
        </w:rPr>
        <w:t xml:space="preserve">{...}</w:t>
      </w:r>
      <w:r>
        <w:t xml:space="preserve"> </w:t>
      </w:r>
      <w:r>
        <w:t xml:space="preserve">= Instruction unsets flag if the given condition is satisfied, otherwise it maintains its current value</w:t>
      </w:r>
    </w:p>
    <w:p>
      <w:pPr>
        <w:numPr>
          <w:ilvl w:val="0"/>
          <w:numId w:val="1015"/>
        </w:numPr>
        <w:pStyle w:val="Compact"/>
      </w:pPr>
      <w:r>
        <w:rPr>
          <w:rStyle w:val="VerbatimChar"/>
        </w:rPr>
        <w:t xml:space="preserve">X</w:t>
      </w:r>
      <w:r>
        <w:t xml:space="preserve"> </w:t>
      </w:r>
      <w:r>
        <w:t xml:space="preserve">= Instruction does not affect flag</w:t>
      </w:r>
    </w:p>
    <w:p>
      <w:pPr>
        <w:numPr>
          <w:ilvl w:val="0"/>
          <w:numId w:val="1015"/>
        </w:numPr>
        <w:pStyle w:val="Compact"/>
      </w:pPr>
      <w:r>
        <w:rPr>
          <w:rStyle w:val="VerbatimChar"/>
        </w:rPr>
        <w:t xml:space="preserve">STD</w:t>
      </w:r>
      <w:r>
        <w:t xml:space="preserve"> </w:t>
      </w:r>
      <w:r>
        <w:t xml:space="preserve">= Instructions uses standard behaviour for flag according to result, unaffected by operands. They are as follows:</w:t>
      </w:r>
    </w:p>
    <w:p>
      <w:pPr>
        <w:numPr>
          <w:ilvl w:val="1"/>
          <w:numId w:val="1016"/>
        </w:numPr>
        <w:pStyle w:val="Compact"/>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numPr>
          <w:ilvl w:val="1"/>
          <w:numId w:val="1016"/>
        </w:numPr>
        <w:pStyle w:val="Compact"/>
      </w:pPr>
      <w:r>
        <w:t xml:space="preserve">For sign flag, set if the most significant bit of the result is set, otherwise unset</w:t>
      </w:r>
    </w:p>
    <w:tbl>
      <w:tblPr>
        <w:tblStyle w:val="Table"/>
        <w:tblW w:type="pct" w:w="5000"/>
        <w:tblLook w:firstRow="1" w:lastRow="0" w:firstColumn="0" w:lastColumn="0" w:noHBand="0" w:noVBand="0" w:val="0020"/>
        <w:jc w:val="start"/>
        <w:tblLayout w:type="fixed"/>
      </w:tblPr>
      <w:tblGrid>
        <w:gridCol w:w="825"/>
        <w:gridCol w:w="330"/>
        <w:gridCol w:w="2530"/>
        <w:gridCol w:w="1760"/>
        <w:gridCol w:w="330"/>
        <w:gridCol w:w="2145"/>
      </w:tblGrid>
      <w:tr>
        <w:trPr>
          <w:tblHeader w:val="true"/>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80"/>
    <w:bookmarkStart w:id="85" w:name="full-instruction-reference"/>
    <w:p>
      <w:pPr>
        <w:pStyle w:val="Heading2"/>
      </w:pPr>
      <w:r>
        <w:t xml:space="preserve">Full Instruction Reference</w:t>
      </w:r>
    </w:p>
    <w:bookmarkStart w:id="81"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81"/>
    <w:bookmarkStart w:id="82"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Signed</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Signed</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82"/>
    <w:bookmarkStart w:id="83"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0x51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0x53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83"/>
    <w:bookmarkStart w:id="84"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84"/>
    <w:bookmarkEnd w:id="85"/>
    <w:bookmarkStart w:id="86"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2023-09-09T13:39:21Z</dcterms:created>
  <dcterms:modified xsi:type="dcterms:W3CDTF">2023-09-09T13:39:21Z</dcterms:modified>
</cp:coreProperties>
</file>

<file path=docProps/custom.xml><?xml version="1.0" encoding="utf-8"?>
<Properties xmlns="http://schemas.openxmlformats.org/officeDocument/2006/custom-properties" xmlns:vt="http://schemas.openxmlformats.org/officeDocument/2006/docPropsVTypes"/>
</file>