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8"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2.1.0</w:t>
      </w:r>
    </w:p>
    <w:p>
      <w:pPr>
        <w:pStyle w:val="BodyText"/>
      </w:pPr>
      <w:r>
        <w:t xml:space="preserve">Last revised: 2023-10-27</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reference-manual">
        <w:r>
          <w:rPr>
            <w:rStyle w:val="Hyperlink"/>
          </w:rPr>
          <w:t xml:space="preserve">AssEmbly Reference Manual</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3"/>
          <w:numId w:val="1005"/>
        </w:numPr>
        <w:pStyle w:val="Compact"/>
      </w:pPr>
      <w:hyperlink w:anchor="character-literal">
        <w:r>
          <w:rPr>
            <w:rStyle w:val="Hyperlink"/>
          </w:rPr>
          <w:t xml:space="preserve">Character 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6"/>
        </w:numPr>
        <w:pStyle w:val="Compact"/>
      </w:pPr>
      <w:hyperlink w:anchor="register-table">
        <w:r>
          <w:rPr>
            <w:rStyle w:val="Hyperlink"/>
          </w:rPr>
          <w:t xml:space="preserve">Register Table</w:t>
        </w:r>
      </w:hyperlink>
    </w:p>
    <w:p>
      <w:pPr>
        <w:numPr>
          <w:ilvl w:val="2"/>
          <w:numId w:val="1006"/>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6"/>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6"/>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6"/>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6"/>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6"/>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6"/>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7"/>
        </w:numPr>
        <w:pStyle w:val="Compact"/>
      </w:pPr>
      <w:hyperlink w:anchor="moving-with-literals">
        <w:r>
          <w:rPr>
            <w:rStyle w:val="Hyperlink"/>
          </w:rPr>
          <w:t xml:space="preserve">Moving with Literals</w:t>
        </w:r>
      </w:hyperlink>
    </w:p>
    <w:p>
      <w:pPr>
        <w:numPr>
          <w:ilvl w:val="2"/>
          <w:numId w:val="1007"/>
        </w:numPr>
        <w:pStyle w:val="Compact"/>
      </w:pPr>
      <w:hyperlink w:anchor="moving-with-registers">
        <w:r>
          <w:rPr>
            <w:rStyle w:val="Hyperlink"/>
          </w:rPr>
          <w:t xml:space="preserve">Moving with Registers</w:t>
        </w:r>
      </w:hyperlink>
    </w:p>
    <w:p>
      <w:pPr>
        <w:numPr>
          <w:ilvl w:val="2"/>
          <w:numId w:val="1007"/>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8"/>
        </w:numPr>
        <w:pStyle w:val="Compact"/>
      </w:pPr>
      <w:hyperlink w:anchor="addition-and-multiplication">
        <w:r>
          <w:rPr>
            <w:rStyle w:val="Hyperlink"/>
          </w:rPr>
          <w:t xml:space="preserve">Addition and Multiplication</w:t>
        </w:r>
      </w:hyperlink>
    </w:p>
    <w:p>
      <w:pPr>
        <w:numPr>
          <w:ilvl w:val="2"/>
          <w:numId w:val="1008"/>
        </w:numPr>
        <w:pStyle w:val="Compact"/>
      </w:pPr>
      <w:hyperlink w:anchor="subtraction">
        <w:r>
          <w:rPr>
            <w:rStyle w:val="Hyperlink"/>
          </w:rPr>
          <w:t xml:space="preserve">Subtraction</w:t>
        </w:r>
      </w:hyperlink>
    </w:p>
    <w:p>
      <w:pPr>
        <w:numPr>
          <w:ilvl w:val="2"/>
          <w:numId w:val="1008"/>
        </w:numPr>
        <w:pStyle w:val="Compact"/>
      </w:pPr>
      <w:hyperlink w:anchor="division">
        <w:r>
          <w:rPr>
            <w:rStyle w:val="Hyperlink"/>
          </w:rPr>
          <w:t xml:space="preserve">Division</w:t>
        </w:r>
      </w:hyperlink>
    </w:p>
    <w:p>
      <w:pPr>
        <w:numPr>
          <w:ilvl w:val="2"/>
          <w:numId w:val="1008"/>
        </w:numPr>
        <w:pStyle w:val="Compact"/>
      </w:pPr>
      <w:hyperlink w:anchor="shifting">
        <w:r>
          <w:rPr>
            <w:rStyle w:val="Hyperlink"/>
          </w:rPr>
          <w:t xml:space="preserve">Shifting</w:t>
        </w:r>
      </w:hyperlink>
    </w:p>
    <w:p>
      <w:pPr>
        <w:numPr>
          <w:ilvl w:val="2"/>
          <w:numId w:val="1008"/>
        </w:numPr>
        <w:pStyle w:val="Compact"/>
      </w:pPr>
      <w:hyperlink w:anchor="bitwise">
        <w:r>
          <w:rPr>
            <w:rStyle w:val="Hyperlink"/>
          </w:rPr>
          <w:t xml:space="preserve">Bitwise</w:t>
        </w:r>
      </w:hyperlink>
    </w:p>
    <w:p>
      <w:pPr>
        <w:numPr>
          <w:ilvl w:val="2"/>
          <w:numId w:val="1008"/>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9"/>
        </w:numPr>
        <w:pStyle w:val="Compact"/>
      </w:pPr>
      <w:hyperlink w:anchor="arithmetic-right-shifting">
        <w:r>
          <w:rPr>
            <w:rStyle w:val="Hyperlink"/>
          </w:rPr>
          <w:t xml:space="preserve">Arithmetic Right Shifting</w:t>
        </w:r>
      </w:hyperlink>
    </w:p>
    <w:p>
      <w:pPr>
        <w:numPr>
          <w:ilvl w:val="2"/>
          <w:numId w:val="1009"/>
        </w:numPr>
        <w:pStyle w:val="Compact"/>
      </w:pPr>
      <w:hyperlink w:anchor="extending-smaller-signed-values">
        <w:r>
          <w:rPr>
            <w:rStyle w:val="Hyperlink"/>
          </w:rPr>
          <w:t xml:space="preserve">Extending Smaller Signed Values</w:t>
        </w:r>
      </w:hyperlink>
    </w:p>
    <w:p>
      <w:pPr>
        <w:numPr>
          <w:ilvl w:val="2"/>
          <w:numId w:val="1009"/>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10"/>
        </w:numPr>
        <w:pStyle w:val="Compact"/>
      </w:pPr>
      <w:hyperlink w:anchor="floating-point-math">
        <w:r>
          <w:rPr>
            <w:rStyle w:val="Hyperlink"/>
          </w:rPr>
          <w:t xml:space="preserve">Floating Point Math</w:t>
        </w:r>
      </w:hyperlink>
    </w:p>
    <w:p>
      <w:pPr>
        <w:numPr>
          <w:ilvl w:val="2"/>
          <w:numId w:val="1010"/>
        </w:numPr>
        <w:pStyle w:val="Compact"/>
      </w:pPr>
      <w:hyperlink w:anchor="converting-between-integers-and-floats">
        <w:r>
          <w:rPr>
            <w:rStyle w:val="Hyperlink"/>
          </w:rPr>
          <w:t xml:space="preserve">Converting Between Integers and Floats</w:t>
        </w:r>
      </w:hyperlink>
    </w:p>
    <w:p>
      <w:pPr>
        <w:numPr>
          <w:ilvl w:val="2"/>
          <w:numId w:val="1010"/>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1"/>
        </w:numPr>
        <w:pStyle w:val="Compact"/>
      </w:pPr>
      <w:hyperlink w:anchor="comparing-unsigned-numbers">
        <w:r>
          <w:rPr>
            <w:rStyle w:val="Hyperlink"/>
          </w:rPr>
          <w:t xml:space="preserve">Comparing Unsigned Numbers</w:t>
        </w:r>
      </w:hyperlink>
    </w:p>
    <w:p>
      <w:pPr>
        <w:numPr>
          <w:ilvl w:val="2"/>
          <w:numId w:val="1011"/>
        </w:numPr>
        <w:pStyle w:val="Compact"/>
      </w:pPr>
      <w:hyperlink w:anchor="comparing-signed-numbers">
        <w:r>
          <w:rPr>
            <w:rStyle w:val="Hyperlink"/>
          </w:rPr>
          <w:t xml:space="preserve">Comparing Signed Numbers</w:t>
        </w:r>
      </w:hyperlink>
    </w:p>
    <w:p>
      <w:pPr>
        <w:numPr>
          <w:ilvl w:val="2"/>
          <w:numId w:val="1011"/>
        </w:numPr>
        <w:pStyle w:val="Compact"/>
      </w:pPr>
      <w:hyperlink w:anchor="comparing-floating-point-numbers">
        <w:r>
          <w:rPr>
            <w:rStyle w:val="Hyperlink"/>
          </w:rPr>
          <w:t xml:space="preserve">Comparing Floating Point Numbers</w:t>
        </w:r>
      </w:hyperlink>
    </w:p>
    <w:p>
      <w:pPr>
        <w:numPr>
          <w:ilvl w:val="2"/>
          <w:numId w:val="1011"/>
        </w:numPr>
        <w:pStyle w:val="Compact"/>
      </w:pPr>
      <w:hyperlink w:anchor="testing-bits">
        <w:r>
          <w:rPr>
            <w:rStyle w:val="Hyperlink"/>
          </w:rPr>
          <w:t xml:space="preserve">Testing Bits</w:t>
        </w:r>
      </w:hyperlink>
    </w:p>
    <w:p>
      <w:pPr>
        <w:numPr>
          <w:ilvl w:val="2"/>
          <w:numId w:val="1011"/>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2"/>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2"/>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2"/>
          <w:numId w:val="1012"/>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2"/>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2"/>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2"/>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escape-sequences">
        <w:r>
          <w:rPr>
            <w:rStyle w:val="Hyperlink"/>
          </w:rPr>
          <w:t xml:space="preserve">Escape Sequences</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Cs/>
          <w:b/>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4"/>
    <w:bookmarkStart w:id="35"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9"/>
    <w:bookmarkStart w:id="40"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89"/>
    <w:bookmarkStart w:id="90"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90"/>
    <w:bookmarkStart w:id="91"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1"/>
    <w:bookmarkStart w:id="96" w:name="full-instruction-reference"/>
    <w:p>
      <w:pPr>
        <w:pStyle w:val="Heading2"/>
      </w:pPr>
      <w:r>
        <w:t xml:space="preserve">Full Instruction Reference</w:t>
      </w:r>
    </w:p>
    <w:bookmarkStart w:id="92"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2"/>
    <w:bookmarkStart w:id="93"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3"/>
    <w:bookmarkStart w:id="94"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4"/>
    <w:bookmarkStart w:id="95"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5"/>
    <w:bookmarkEnd w:id="96"/>
    <w:bookmarkStart w:id="97"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2023-10-27T19:19:00Z</dcterms:created>
  <dcterms:modified xsi:type="dcterms:W3CDTF">2023-10-27T19:19:00Z</dcterms:modified>
</cp:coreProperties>
</file>

<file path=docProps/custom.xml><?xml version="1.0" encoding="utf-8"?>
<Properties xmlns="http://schemas.openxmlformats.org/officeDocument/2006/custom-properties" xmlns:vt="http://schemas.openxmlformats.org/officeDocument/2006/docPropsVTypes"/>
</file>