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A37AC5" w:rsidRDefault="00FD60BB">
      <w:pPr>
        <w:rPr>
          <w:rFonts w:eastAsia="MS Mincho"/>
          <w:b/>
          <w:i/>
          <w:iCs/>
          <w:color w:val="000000" w:themeColor="text1"/>
          <w:sz w:val="18"/>
          <w:szCs w:val="18"/>
        </w:rPr>
      </w:pPr>
      <w:bookmarkStart w:id="0" w:name="_Hlk188027019"/>
      <w:r w:rsidRPr="00A37AC5">
        <w:rPr>
          <w:rFonts w:eastAsia="MS Mincho"/>
          <w:b/>
          <w:i/>
          <w:iCs/>
          <w:noProof/>
          <w:color w:val="000000" w:themeColor="text1"/>
          <w:sz w:val="44"/>
          <w:szCs w:val="44"/>
        </w:rPr>
        <w:t>Designing a</w:t>
      </w:r>
      <w:bookmarkStart w:id="1" w:name="_GoBack"/>
      <w:bookmarkEnd w:id="1"/>
      <w:r w:rsidRPr="00A37AC5">
        <w:rPr>
          <w:rFonts w:eastAsia="MS Mincho"/>
          <w:b/>
          <w:i/>
          <w:iCs/>
          <w:noProof/>
          <w:color w:val="000000" w:themeColor="text1"/>
          <w:sz w:val="44"/>
          <w:szCs w:val="44"/>
        </w:rPr>
        <w:t>nd Evaluating Climate Derivatives for Risk Mitigation in Investment Portfolios</w:t>
      </w:r>
      <w:bookmarkEnd w:id="0"/>
      <w:r w:rsidRPr="00A37AC5">
        <w:rPr>
          <w:rFonts w:eastAsia="MS Mincho"/>
          <w:b/>
          <w:i/>
          <w:iCs/>
          <w:noProof/>
          <w:color w:val="000000" w:themeColor="text1"/>
          <w:sz w:val="44"/>
          <w:szCs w:val="44"/>
        </w:rPr>
        <w:t>.</w:t>
      </w:r>
    </w:p>
    <w:p w:rsidR="008A55B5" w:rsidRPr="00A37AC5" w:rsidRDefault="008A55B5">
      <w:pPr>
        <w:pStyle w:val="Author"/>
        <w:rPr>
          <w:rFonts w:eastAsia="MS Mincho"/>
          <w:color w:val="000000" w:themeColor="text1"/>
        </w:rPr>
        <w:sectPr w:rsidR="008A55B5" w:rsidRPr="00A37AC5" w:rsidSect="006C4648">
          <w:pgSz w:w="11909" w:h="16834" w:code="9"/>
          <w:pgMar w:top="1080" w:right="734" w:bottom="2434" w:left="734" w:header="720" w:footer="720" w:gutter="0"/>
          <w:cols w:space="720"/>
          <w:docGrid w:linePitch="360"/>
        </w:sectPr>
      </w:pPr>
    </w:p>
    <w:p w:rsidR="008A55B5" w:rsidRPr="00A37AC5" w:rsidRDefault="00FD60BB">
      <w:pPr>
        <w:pStyle w:val="Author"/>
        <w:rPr>
          <w:rFonts w:eastAsia="MS Mincho"/>
          <w:color w:val="000000" w:themeColor="text1"/>
        </w:rPr>
      </w:pPr>
      <w:r w:rsidRPr="00A37AC5">
        <w:rPr>
          <w:rFonts w:eastAsia="MS Mincho"/>
          <w:color w:val="000000" w:themeColor="text1"/>
        </w:rPr>
        <w:t xml:space="preserve">Toluwalona Temitope Oloro </w:t>
      </w:r>
    </w:p>
    <w:p w:rsidR="008A55B5" w:rsidRPr="00A37AC5" w:rsidRDefault="008A55B5">
      <w:pPr>
        <w:pStyle w:val="Affiliation"/>
        <w:rPr>
          <w:rFonts w:eastAsia="MS Mincho"/>
          <w:color w:val="000000" w:themeColor="text1"/>
        </w:rPr>
      </w:pPr>
      <w:r w:rsidRPr="00A37AC5">
        <w:rPr>
          <w:rFonts w:eastAsia="MS Mincho"/>
          <w:color w:val="000000" w:themeColor="text1"/>
        </w:rPr>
        <w:t xml:space="preserve"> </w:t>
      </w:r>
      <w:r w:rsidR="00FD60BB" w:rsidRPr="00A37AC5">
        <w:rPr>
          <w:rFonts w:eastAsia="MS Mincho"/>
          <w:color w:val="000000" w:themeColor="text1"/>
        </w:rPr>
        <w:t>D</w:t>
      </w:r>
      <w:r w:rsidRPr="00A37AC5">
        <w:rPr>
          <w:rFonts w:eastAsia="MS Mincho"/>
          <w:color w:val="000000" w:themeColor="text1"/>
        </w:rPr>
        <w:t xml:space="preserve">ept. </w:t>
      </w:r>
      <w:r w:rsidR="00FD60BB" w:rsidRPr="00A37AC5">
        <w:rPr>
          <w:rFonts w:eastAsia="MS Mincho"/>
          <w:color w:val="000000" w:themeColor="text1"/>
        </w:rPr>
        <w:t>World Quant University</w:t>
      </w:r>
    </w:p>
    <w:p w:rsidR="008A55B5" w:rsidRPr="00A37AC5" w:rsidRDefault="00FD60BB">
      <w:pPr>
        <w:pStyle w:val="Affiliation"/>
        <w:rPr>
          <w:rFonts w:eastAsia="MS Mincho"/>
          <w:color w:val="000000" w:themeColor="text1"/>
        </w:rPr>
      </w:pPr>
      <w:r w:rsidRPr="00A37AC5">
        <w:rPr>
          <w:rFonts w:eastAsia="MS Mincho"/>
          <w:color w:val="000000" w:themeColor="text1"/>
        </w:rPr>
        <w:t>WQU</w:t>
      </w:r>
    </w:p>
    <w:p w:rsidR="00FD60BB" w:rsidRPr="00A37AC5" w:rsidRDefault="00FD60BB" w:rsidP="00FD60BB">
      <w:pPr>
        <w:pStyle w:val="Affiliation"/>
        <w:rPr>
          <w:rFonts w:eastAsia="MS Mincho"/>
          <w:color w:val="000000" w:themeColor="text1"/>
        </w:rPr>
      </w:pPr>
      <w:r w:rsidRPr="00A37AC5">
        <w:rPr>
          <w:rFonts w:eastAsia="MS Mincho"/>
          <w:color w:val="000000" w:themeColor="text1"/>
        </w:rPr>
        <w:t xml:space="preserve">Lagos </w:t>
      </w:r>
      <w:r w:rsidR="008A55B5" w:rsidRPr="00A37AC5">
        <w:rPr>
          <w:rFonts w:eastAsia="MS Mincho"/>
          <w:color w:val="000000" w:themeColor="text1"/>
        </w:rPr>
        <w:t xml:space="preserve">City, </w:t>
      </w:r>
      <w:r w:rsidRPr="00A37AC5">
        <w:rPr>
          <w:rFonts w:eastAsia="MS Mincho"/>
          <w:color w:val="000000" w:themeColor="text1"/>
        </w:rPr>
        <w:t>Nigeria</w:t>
      </w:r>
    </w:p>
    <w:p w:rsidR="00FD60BB" w:rsidRPr="00A37AC5" w:rsidRDefault="00720859" w:rsidP="00FD60BB">
      <w:pPr>
        <w:pStyle w:val="Affiliation"/>
        <w:rPr>
          <w:rFonts w:eastAsia="MS Mincho"/>
          <w:color w:val="000000" w:themeColor="text1"/>
        </w:rPr>
      </w:pPr>
      <w:hyperlink r:id="rId5" w:history="1">
        <w:r w:rsidR="00FD60BB" w:rsidRPr="00A37AC5">
          <w:rPr>
            <w:rStyle w:val="Hyperlink"/>
            <w:rFonts w:eastAsia="MS Mincho"/>
            <w:color w:val="000000" w:themeColor="text1"/>
          </w:rPr>
          <w:t>toluoloro2@gmail.com</w:t>
        </w:r>
      </w:hyperlink>
    </w:p>
    <w:p w:rsidR="008A55B5" w:rsidRPr="00A37AC5" w:rsidRDefault="008A55B5">
      <w:pPr>
        <w:rPr>
          <w:rFonts w:eastAsia="MS Mincho"/>
          <w:color w:val="000000" w:themeColor="text1"/>
        </w:rPr>
      </w:pPr>
    </w:p>
    <w:p w:rsidR="008A55B5" w:rsidRPr="00A37AC5" w:rsidRDefault="008A55B5">
      <w:pPr>
        <w:rPr>
          <w:rFonts w:eastAsia="MS Mincho"/>
          <w:color w:val="000000" w:themeColor="text1"/>
        </w:rPr>
        <w:sectPr w:rsidR="008A55B5" w:rsidRPr="00A37AC5" w:rsidSect="006C4648">
          <w:type w:val="continuous"/>
          <w:pgSz w:w="11909" w:h="16834" w:code="9"/>
          <w:pgMar w:top="1080" w:right="734" w:bottom="2434" w:left="734" w:header="720" w:footer="720" w:gutter="0"/>
          <w:cols w:space="720"/>
          <w:docGrid w:linePitch="360"/>
        </w:sectPr>
      </w:pPr>
    </w:p>
    <w:p w:rsidR="008A55B5" w:rsidRPr="00A37AC5" w:rsidRDefault="008A55B5">
      <w:pPr>
        <w:pStyle w:val="Abstract"/>
        <w:rPr>
          <w:color w:val="000000" w:themeColor="text1"/>
        </w:rPr>
      </w:pPr>
      <w:r w:rsidRPr="00A37AC5">
        <w:rPr>
          <w:rFonts w:eastAsia="MS Mincho"/>
          <w:i/>
          <w:iCs/>
          <w:color w:val="000000" w:themeColor="text1"/>
        </w:rPr>
        <w:t>Abstract</w:t>
      </w:r>
    </w:p>
    <w:p w:rsidR="00D276ED" w:rsidRPr="00A37AC5" w:rsidRDefault="00D276ED" w:rsidP="00D276ED">
      <w:pPr>
        <w:spacing w:after="160" w:line="278" w:lineRule="auto"/>
        <w:jc w:val="both"/>
        <w:rPr>
          <w:i/>
          <w:iCs/>
          <w:color w:val="000000" w:themeColor="text1"/>
        </w:rPr>
      </w:pPr>
      <w:r w:rsidRPr="00A37AC5">
        <w:rPr>
          <w:i/>
          <w:iCs/>
          <w:color w:val="000000" w:themeColor="text1"/>
        </w:rPr>
        <w:t xml:space="preserve">The recent years have seen enhanced occurrences and impacts of climate risk factors leading to different investors deciding to manage climate risks in their investment portfolios. The purpose of this research is to provide a critical analysis of the role of climate derivatives as hedging instruments to manage climate risk in investment portfolios. Details of a risk assessment framework were identified, and different climate hedges were created as well as priced and then tested under the climate change scenarios. The analysis proves how these derivatives can be used in investment management to minimize portfolio risks by 15 percent and enhance the management of risks -adjusted returns by 20 percent under high risk climate situations. The research also examines legal and practical issues of institutional investors inclusive of high premiums and absence of special frameworks for climate derivatives. The impact analysis incorporated into the study revealed that perceived cost of such products is significantly sensitive to climate fluctuations, moreover unpredictable states that require higher premiums. Moreover, some challenges that prevented the implementation of the approach were also established; lack of awareness among the investors involved especially those operating at a small scale and the stringencies of regulatory laws in emerging countries It is the addition of climate derivatives to the existing studies dealing with management of climate risks; these are usable over the long term and are specific to the regions of high risks including the impacts of rise in sea level and long lasting droughts. This speaks to the need for affordable reliable climate risk products and the establishing of policies that will facilitate the mainstreaming of such products. The results of the study call for more research as a way of enhancing the applicability of climate derivatives so that they become effective for all clients particularly those affected by climate change in developing </w:t>
      </w:r>
      <w:proofErr w:type="gramStart"/>
      <w:r w:rsidRPr="00A37AC5">
        <w:rPr>
          <w:i/>
          <w:iCs/>
          <w:color w:val="000000" w:themeColor="text1"/>
        </w:rPr>
        <w:t>countries..</w:t>
      </w:r>
      <w:proofErr w:type="gramEnd"/>
    </w:p>
    <w:p w:rsidR="008A55B5" w:rsidRPr="00A37AC5" w:rsidRDefault="0072064C" w:rsidP="00D276ED">
      <w:pPr>
        <w:spacing w:after="160" w:line="278" w:lineRule="auto"/>
        <w:jc w:val="both"/>
        <w:rPr>
          <w:i/>
          <w:iCs/>
          <w:color w:val="000000" w:themeColor="text1"/>
        </w:rPr>
      </w:pPr>
      <w:r w:rsidRPr="00A37AC5">
        <w:rPr>
          <w:rFonts w:eastAsia="MS Mincho"/>
          <w:color w:val="000000" w:themeColor="text1"/>
        </w:rPr>
        <w:t>Keywords—</w:t>
      </w:r>
      <w:r w:rsidR="00D276ED" w:rsidRPr="00A37AC5">
        <w:rPr>
          <w:b/>
          <w:bCs/>
          <w:i/>
          <w:iCs/>
          <w:color w:val="000000" w:themeColor="text1"/>
        </w:rPr>
        <w:t xml:space="preserve"> </w:t>
      </w:r>
      <w:r w:rsidR="00D276ED" w:rsidRPr="00A37AC5">
        <w:rPr>
          <w:rFonts w:eastAsia="MS Mincho"/>
          <w:color w:val="000000" w:themeColor="text1"/>
        </w:rPr>
        <w:t>Climate derivatives, weather options, risk management, investment portfolios, financial engineering.</w:t>
      </w:r>
    </w:p>
    <w:p w:rsidR="00D276ED" w:rsidRPr="00A37AC5" w:rsidRDefault="00D276ED" w:rsidP="00D276ED">
      <w:pPr>
        <w:pStyle w:val="Heading1"/>
        <w:numPr>
          <w:ilvl w:val="0"/>
          <w:numId w:val="0"/>
        </w:numPr>
        <w:jc w:val="both"/>
        <w:rPr>
          <w:color w:val="000000" w:themeColor="text1"/>
        </w:rPr>
      </w:pPr>
    </w:p>
    <w:p w:rsidR="008A55B5" w:rsidRPr="00A37AC5" w:rsidRDefault="008A55B5" w:rsidP="00CB1404">
      <w:pPr>
        <w:pStyle w:val="Heading1"/>
        <w:rPr>
          <w:b/>
          <w:bCs/>
          <w:color w:val="000000" w:themeColor="text1"/>
        </w:rPr>
      </w:pPr>
      <w:r w:rsidRPr="00A37AC5">
        <w:rPr>
          <w:b/>
          <w:bCs/>
          <w:color w:val="000000" w:themeColor="text1"/>
        </w:rPr>
        <w:t xml:space="preserve"> Introduction </w:t>
      </w:r>
    </w:p>
    <w:p w:rsidR="00797ED0" w:rsidRPr="00A37AC5" w:rsidRDefault="00797ED0" w:rsidP="001E346F">
      <w:pPr>
        <w:pStyle w:val="BodyText"/>
        <w:ind w:firstLine="0"/>
        <w:rPr>
          <w:color w:val="000000" w:themeColor="text1"/>
        </w:rPr>
      </w:pPr>
      <w:r w:rsidRPr="00A37AC5">
        <w:rPr>
          <w:color w:val="000000" w:themeColor="text1"/>
        </w:rPr>
        <w:t xml:space="preserve">Extreme climate events pose direct damage on assets while transition risks originate from shifts in policy or market place.” Even with RFESM awareness, most traditional approaches, such as carbon </w:t>
      </w:r>
      <w:proofErr w:type="spellStart"/>
      <w:r w:rsidRPr="00A37AC5">
        <w:rPr>
          <w:color w:val="000000" w:themeColor="text1"/>
        </w:rPr>
        <w:t>footprinting</w:t>
      </w:r>
      <w:proofErr w:type="spellEnd"/>
      <w:r w:rsidRPr="00A37AC5">
        <w:rPr>
          <w:color w:val="000000" w:themeColor="text1"/>
        </w:rPr>
        <w:t xml:space="preserve"> and scenario analysis, can appear insufficient to tackle climatic uncertainties effectively (Ceres 2024). Currently, institutional investors, and especially key asset owners, practice according to methods that are consistent with the Paris Agreement; However, there are still some difficulties with the use of new types of financial instruments to hedge long-term climate risks (TCFD 2024). Recent literature calls for practical, regional, and temporal climate adaptation tools that are ready for market application (Jewson and Brix 2005). The present research seeks to develop and assess climate derivatives as client-oriented hedging tools that can enhance the portfolio robustness and follow the principles of sustainable development.</w:t>
      </w:r>
    </w:p>
    <w:p w:rsidR="008A55B5" w:rsidRPr="00A37AC5" w:rsidRDefault="008A55B5" w:rsidP="00753F7B">
      <w:pPr>
        <w:pStyle w:val="BodyText"/>
        <w:rPr>
          <w:color w:val="000000" w:themeColor="text1"/>
        </w:rPr>
      </w:pPr>
    </w:p>
    <w:p w:rsidR="005E354B" w:rsidRPr="00A37AC5" w:rsidRDefault="005E354B" w:rsidP="005E354B">
      <w:pPr>
        <w:spacing w:after="160" w:line="278" w:lineRule="auto"/>
        <w:rPr>
          <w:b/>
          <w:bCs/>
          <w:color w:val="000000" w:themeColor="text1"/>
        </w:rPr>
      </w:pPr>
      <w:bookmarkStart w:id="2" w:name="_Hlk188029660"/>
      <w:r w:rsidRPr="00A37AC5">
        <w:rPr>
          <w:rFonts w:eastAsia="MS Mincho"/>
          <w:b/>
          <w:bCs/>
          <w:color w:val="000000" w:themeColor="text1"/>
        </w:rPr>
        <w:t>II THEORETICAL FRAMEWORK</w:t>
      </w:r>
    </w:p>
    <w:p w:rsidR="007F09CB" w:rsidRPr="00A37AC5" w:rsidRDefault="007F09CB" w:rsidP="007F09CB">
      <w:pPr>
        <w:spacing w:after="160" w:line="278" w:lineRule="auto"/>
        <w:jc w:val="both"/>
        <w:rPr>
          <w:color w:val="000000" w:themeColor="text1"/>
        </w:rPr>
      </w:pPr>
      <w:r w:rsidRPr="00A37AC5">
        <w:rPr>
          <w:color w:val="000000" w:themeColor="text1"/>
        </w:rPr>
        <w:t xml:space="preserve">The theoretical foundation of this study is rooted in risk management, financial engineering, and climate finance theories. </w:t>
      </w:r>
      <w:r w:rsidRPr="00A37AC5">
        <w:rPr>
          <w:rFonts w:eastAsia="MS Mincho"/>
          <w:color w:val="000000" w:themeColor="text1"/>
        </w:rPr>
        <w:t>Modern Portfolio Theory (MPT)</w:t>
      </w:r>
      <w:r w:rsidRPr="00A37AC5">
        <w:rPr>
          <w:color w:val="000000" w:themeColor="text1"/>
        </w:rPr>
        <w:t>, introduced by Markowitz, serves as a cornerstone for understanding risk diversification in investment portfolios (Markowitz 1952). While traditional MPT addresses market risks, its extension to climate-related risks remains underdeveloped. This study seeks to expand MPT by integrating climate derivatives as instruments to hedge against physical and transition risks.</w:t>
      </w:r>
    </w:p>
    <w:p w:rsidR="007F09CB" w:rsidRPr="00A37AC5" w:rsidRDefault="007F09CB" w:rsidP="007F09CB">
      <w:pPr>
        <w:spacing w:after="160" w:line="278" w:lineRule="auto"/>
        <w:jc w:val="both"/>
        <w:rPr>
          <w:color w:val="000000" w:themeColor="text1"/>
        </w:rPr>
      </w:pPr>
      <w:r w:rsidRPr="00A37AC5">
        <w:rPr>
          <w:color w:val="000000" w:themeColor="text1"/>
        </w:rPr>
        <w:t xml:space="preserve">The </w:t>
      </w:r>
      <w:r w:rsidRPr="00A37AC5">
        <w:rPr>
          <w:rFonts w:eastAsia="MS Mincho"/>
          <w:color w:val="000000" w:themeColor="text1"/>
        </w:rPr>
        <w:t>Efficient Market Hypothesis (EMH)</w:t>
      </w:r>
      <w:r w:rsidRPr="00A37AC5">
        <w:rPr>
          <w:color w:val="000000" w:themeColor="text1"/>
        </w:rPr>
        <w:t xml:space="preserve"> also underpins this framework, positing that asset prices reflect all available information (</w:t>
      </w:r>
      <w:proofErr w:type="spellStart"/>
      <w:r w:rsidRPr="00A37AC5">
        <w:rPr>
          <w:color w:val="000000" w:themeColor="text1"/>
        </w:rPr>
        <w:t>Fama</w:t>
      </w:r>
      <w:proofErr w:type="spellEnd"/>
      <w:r w:rsidRPr="00A37AC5">
        <w:rPr>
          <w:color w:val="000000" w:themeColor="text1"/>
        </w:rPr>
        <w:t xml:space="preserve"> 1970). By introducing climate derivatives, this research tests whether financial markets can </w:t>
      </w:r>
      <w:proofErr w:type="spellStart"/>
      <w:proofErr w:type="gramStart"/>
      <w:r w:rsidRPr="00A37AC5">
        <w:rPr>
          <w:color w:val="000000" w:themeColor="text1"/>
        </w:rPr>
        <w:t>efficiently</w:t>
      </w:r>
      <w:r w:rsidRPr="00A37AC5">
        <w:rPr>
          <w:color w:val="000000" w:themeColor="text1"/>
        </w:rPr>
        <w:t>.I</w:t>
      </w:r>
      <w:r w:rsidRPr="00A37AC5">
        <w:rPr>
          <w:color w:val="000000" w:themeColor="text1"/>
          <w:sz w:val="24"/>
          <w:szCs w:val="24"/>
        </w:rPr>
        <w:t>n</w:t>
      </w:r>
      <w:proofErr w:type="spellEnd"/>
      <w:proofErr w:type="gramEnd"/>
      <w:r w:rsidRPr="00A37AC5">
        <w:rPr>
          <w:color w:val="000000" w:themeColor="text1"/>
          <w:sz w:val="24"/>
          <w:szCs w:val="24"/>
        </w:rPr>
        <w:t xml:space="preserve"> addition, this research investigates the hypothesis that financial markets can correctly price climate derivatives with the help of climate futures.</w:t>
      </w:r>
    </w:p>
    <w:p w:rsidR="007F09CB" w:rsidRPr="00A37AC5" w:rsidRDefault="007F09CB" w:rsidP="007F09CB">
      <w:pPr>
        <w:spacing w:after="160" w:line="278" w:lineRule="auto"/>
        <w:jc w:val="both"/>
        <w:rPr>
          <w:color w:val="000000" w:themeColor="text1"/>
        </w:rPr>
      </w:pPr>
    </w:p>
    <w:p w:rsidR="007F09CB" w:rsidRPr="00A37AC5" w:rsidRDefault="007F09CB" w:rsidP="005E354B">
      <w:pPr>
        <w:spacing w:after="160" w:line="278" w:lineRule="auto"/>
        <w:jc w:val="both"/>
        <w:rPr>
          <w:color w:val="000000" w:themeColor="text1"/>
        </w:rPr>
      </w:pPr>
    </w:p>
    <w:p w:rsidR="007F09CB" w:rsidRPr="00A37AC5" w:rsidRDefault="007F09CB" w:rsidP="005E354B">
      <w:pPr>
        <w:spacing w:after="160" w:line="278" w:lineRule="auto"/>
        <w:jc w:val="both"/>
        <w:rPr>
          <w:color w:val="000000" w:themeColor="text1"/>
        </w:rPr>
      </w:pPr>
    </w:p>
    <w:p w:rsidR="007F09CB" w:rsidRPr="00A37AC5" w:rsidRDefault="007F09CB" w:rsidP="007F09CB">
      <w:pPr>
        <w:spacing w:after="160" w:line="278" w:lineRule="auto"/>
        <w:jc w:val="both"/>
        <w:rPr>
          <w:color w:val="000000" w:themeColor="text1"/>
        </w:rPr>
      </w:pPr>
      <w:r w:rsidRPr="00A37AC5">
        <w:rPr>
          <w:color w:val="000000" w:themeColor="text1"/>
        </w:rPr>
        <w:t>price climate risks with new tools.</w:t>
      </w:r>
    </w:p>
    <w:p w:rsidR="007F09CB" w:rsidRPr="00A37AC5" w:rsidRDefault="007F09CB" w:rsidP="007F09CB">
      <w:pPr>
        <w:spacing w:after="160" w:line="278" w:lineRule="auto"/>
        <w:jc w:val="both"/>
        <w:rPr>
          <w:color w:val="000000" w:themeColor="text1"/>
        </w:rPr>
      </w:pPr>
      <w:r w:rsidRPr="00A37AC5">
        <w:rPr>
          <w:color w:val="000000" w:themeColor="text1"/>
        </w:rPr>
        <w:t>Moreover, the Environmental Kuznets Curve (EKC) hypothesis which performs an analysis on economic development and polluting activities gives ideas about the utilization of financial instruments that facilitate sustainable growth (Grossman and Krueger 1995).</w:t>
      </w:r>
    </w:p>
    <w:p w:rsidR="007F09CB" w:rsidRPr="00A37AC5" w:rsidRDefault="007F09CB" w:rsidP="007F09CB">
      <w:pPr>
        <w:spacing w:after="160" w:line="278" w:lineRule="auto"/>
        <w:jc w:val="both"/>
        <w:rPr>
          <w:color w:val="000000" w:themeColor="text1"/>
        </w:rPr>
      </w:pPr>
      <w:r w:rsidRPr="00A37AC5">
        <w:rPr>
          <w:color w:val="000000" w:themeColor="text1"/>
        </w:rPr>
        <w:t>Through such integration of theoretical constructs, the framework provides the necessary guidelines in the design and assessment of climate derivatives, with a focus on the efficiency of markets and the conservation of the environment.</w:t>
      </w:r>
    </w:p>
    <w:bookmarkEnd w:id="2"/>
    <w:p w:rsidR="00D23B6B" w:rsidRPr="00A37AC5" w:rsidRDefault="00D23B6B" w:rsidP="00D23B6B">
      <w:pPr>
        <w:pStyle w:val="Heading2"/>
        <w:numPr>
          <w:ilvl w:val="0"/>
          <w:numId w:val="0"/>
        </w:numPr>
        <w:rPr>
          <w:color w:val="000000" w:themeColor="text1"/>
        </w:rPr>
      </w:pPr>
    </w:p>
    <w:p w:rsidR="007F09CB" w:rsidRPr="00A37AC5" w:rsidRDefault="007F09CB" w:rsidP="007F09CB">
      <w:pPr>
        <w:rPr>
          <w:color w:val="000000" w:themeColor="text1"/>
        </w:rPr>
      </w:pPr>
    </w:p>
    <w:p w:rsidR="00D23B6B" w:rsidRPr="00A37AC5" w:rsidRDefault="00D23B6B" w:rsidP="00D23B6B">
      <w:pPr>
        <w:spacing w:after="160" w:line="278" w:lineRule="auto"/>
        <w:jc w:val="both"/>
        <w:rPr>
          <w:b/>
          <w:bCs/>
          <w:color w:val="000000" w:themeColor="text1"/>
        </w:rPr>
      </w:pPr>
      <w:r w:rsidRPr="00A37AC5">
        <w:rPr>
          <w:rFonts w:eastAsia="MS Mincho"/>
          <w:b/>
          <w:bCs/>
          <w:color w:val="000000" w:themeColor="text1"/>
        </w:rPr>
        <w:t>III Methodology</w:t>
      </w:r>
    </w:p>
    <w:p w:rsidR="007F09CB" w:rsidRPr="00A37AC5" w:rsidRDefault="007F09CB" w:rsidP="00D23B6B">
      <w:pPr>
        <w:spacing w:after="160" w:line="278" w:lineRule="auto"/>
        <w:jc w:val="both"/>
        <w:rPr>
          <w:color w:val="000000" w:themeColor="text1"/>
        </w:rPr>
      </w:pPr>
      <w:r w:rsidRPr="00A37AC5">
        <w:rPr>
          <w:color w:val="000000" w:themeColor="text1"/>
        </w:rPr>
        <w:t>This paper describes the work carried out with respect to research methodology, data acquisition process, data analysis methods, and challenges faced in the development and assessment of climate derivatives for hedge in investment portfolios.</w:t>
      </w:r>
    </w:p>
    <w:p w:rsidR="007F09CB" w:rsidRPr="00A37AC5" w:rsidRDefault="007F09CB" w:rsidP="00D23B6B">
      <w:pPr>
        <w:spacing w:after="160" w:line="278" w:lineRule="auto"/>
        <w:jc w:val="both"/>
        <w:rPr>
          <w:color w:val="000000" w:themeColor="text1"/>
        </w:rPr>
      </w:pPr>
    </w:p>
    <w:p w:rsidR="00D23B6B" w:rsidRPr="00A37AC5" w:rsidRDefault="00D23B6B" w:rsidP="00D23B6B">
      <w:pPr>
        <w:spacing w:after="160" w:line="278" w:lineRule="auto"/>
        <w:jc w:val="both"/>
        <w:rPr>
          <w:b/>
          <w:bCs/>
          <w:color w:val="000000" w:themeColor="text1"/>
        </w:rPr>
      </w:pPr>
      <w:r w:rsidRPr="00A37AC5">
        <w:rPr>
          <w:rFonts w:eastAsia="MS Mincho"/>
          <w:b/>
          <w:bCs/>
          <w:color w:val="000000" w:themeColor="text1"/>
        </w:rPr>
        <w:t>Research Design</w:t>
      </w:r>
    </w:p>
    <w:p w:rsidR="00735E9A" w:rsidRPr="00A37AC5" w:rsidRDefault="00735E9A" w:rsidP="00D23B6B">
      <w:pPr>
        <w:spacing w:after="160" w:line="278" w:lineRule="auto"/>
        <w:jc w:val="both"/>
        <w:rPr>
          <w:color w:val="000000" w:themeColor="text1"/>
        </w:rPr>
      </w:pPr>
      <w:r w:rsidRPr="00A37AC5">
        <w:rPr>
          <w:color w:val="000000" w:themeColor="text1"/>
        </w:rPr>
        <w:t>To test the theoretical model, therefore, a quantitative research method was used in conjunction with statistical testing. This approach is devoted to the adaptation, pricing, and performance assessment of climate derivatives including weather options and catastrophe bonds under different climate contingencies (Jewson and Brix 105).</w:t>
      </w:r>
    </w:p>
    <w:p w:rsidR="00735E9A" w:rsidRPr="00A37AC5" w:rsidRDefault="00735E9A" w:rsidP="00D23B6B">
      <w:pPr>
        <w:spacing w:after="160" w:line="278" w:lineRule="auto"/>
        <w:jc w:val="both"/>
        <w:rPr>
          <w:color w:val="000000" w:themeColor="text1"/>
        </w:rPr>
      </w:pPr>
    </w:p>
    <w:p w:rsidR="00C44A50" w:rsidRPr="00A37AC5" w:rsidRDefault="00D23B6B" w:rsidP="00D23B6B">
      <w:pPr>
        <w:spacing w:after="160" w:line="278" w:lineRule="auto"/>
        <w:jc w:val="both"/>
        <w:rPr>
          <w:b/>
          <w:bCs/>
          <w:color w:val="000000" w:themeColor="text1"/>
        </w:rPr>
      </w:pPr>
      <w:r w:rsidRPr="00A37AC5">
        <w:rPr>
          <w:rFonts w:eastAsia="MS Mincho"/>
          <w:b/>
          <w:bCs/>
          <w:color w:val="000000" w:themeColor="text1"/>
        </w:rPr>
        <w:t>Data Collection</w:t>
      </w:r>
    </w:p>
    <w:p w:rsidR="00D23B6B" w:rsidRPr="00A37AC5" w:rsidRDefault="00C44A50" w:rsidP="00D23B6B">
      <w:pPr>
        <w:spacing w:after="160" w:line="278" w:lineRule="auto"/>
        <w:jc w:val="both"/>
        <w:rPr>
          <w:color w:val="000000" w:themeColor="text1"/>
        </w:rPr>
      </w:pPr>
      <w:r w:rsidRPr="00A37AC5">
        <w:rPr>
          <w:color w:val="000000" w:themeColor="text1"/>
        </w:rPr>
        <w:t xml:space="preserve">Temperature data was collected from NOAA and from IPCC reports as well as the data on changes in precipitation rate. Market data in the financial market were from Bloomberg and </w:t>
      </w:r>
      <w:proofErr w:type="spellStart"/>
      <w:r w:rsidRPr="00A37AC5">
        <w:rPr>
          <w:color w:val="000000" w:themeColor="text1"/>
        </w:rPr>
        <w:t>Refinitiv</w:t>
      </w:r>
      <w:proofErr w:type="spellEnd"/>
      <w:r w:rsidRPr="00A37AC5">
        <w:rPr>
          <w:color w:val="000000" w:themeColor="text1"/>
        </w:rPr>
        <w:t xml:space="preserve"> </w:t>
      </w:r>
      <w:proofErr w:type="spellStart"/>
      <w:r w:rsidRPr="00A37AC5">
        <w:rPr>
          <w:color w:val="000000" w:themeColor="text1"/>
        </w:rPr>
        <w:t>Eikon</w:t>
      </w:r>
      <w:proofErr w:type="spellEnd"/>
      <w:r w:rsidRPr="00A37AC5">
        <w:rPr>
          <w:color w:val="000000" w:themeColor="text1"/>
        </w:rPr>
        <w:t xml:space="preserve"> to assist with pricing and risk modeling (</w:t>
      </w:r>
      <w:proofErr w:type="spellStart"/>
      <w:r w:rsidRPr="00A37AC5">
        <w:rPr>
          <w:color w:val="000000" w:themeColor="text1"/>
        </w:rPr>
        <w:t>Impax</w:t>
      </w:r>
      <w:proofErr w:type="spellEnd"/>
      <w:r w:rsidRPr="00A37AC5">
        <w:rPr>
          <w:color w:val="000000" w:themeColor="text1"/>
        </w:rPr>
        <w:t xml:space="preserve"> Asset Management 34).</w:t>
      </w:r>
    </w:p>
    <w:p w:rsidR="00D23B6B" w:rsidRPr="00A37AC5" w:rsidRDefault="00D23B6B" w:rsidP="00D23B6B">
      <w:pPr>
        <w:spacing w:after="160" w:line="278" w:lineRule="auto"/>
        <w:jc w:val="both"/>
        <w:rPr>
          <w:rFonts w:eastAsia="MS Mincho"/>
          <w:b/>
          <w:bCs/>
          <w:color w:val="000000" w:themeColor="text1"/>
        </w:rPr>
      </w:pPr>
      <w:r w:rsidRPr="00A37AC5">
        <w:rPr>
          <w:rFonts w:eastAsia="MS Mincho"/>
          <w:b/>
          <w:bCs/>
          <w:color w:val="000000" w:themeColor="text1"/>
        </w:rPr>
        <w:t>Analytical Techniques</w:t>
      </w:r>
    </w:p>
    <w:p w:rsidR="00C44A50" w:rsidRPr="00A37AC5" w:rsidRDefault="00C44A50" w:rsidP="00C44A50">
      <w:pPr>
        <w:spacing w:after="160" w:line="278" w:lineRule="auto"/>
        <w:jc w:val="both"/>
        <w:rPr>
          <w:bCs/>
          <w:color w:val="000000" w:themeColor="text1"/>
        </w:rPr>
      </w:pPr>
      <w:r w:rsidRPr="00A37AC5">
        <w:rPr>
          <w:bCs/>
          <w:color w:val="000000" w:themeColor="text1"/>
        </w:rPr>
        <w:t>Sophisticated mathematical procedures to assess the value of financial derivatives including the Monte Carlo analysis of contingencies and stochastic model were used as strategies for evaluating contracts and for modeling probable scenarios (</w:t>
      </w:r>
      <w:proofErr w:type="spellStart"/>
      <w:r w:rsidRPr="00A37AC5">
        <w:rPr>
          <w:bCs/>
          <w:color w:val="000000" w:themeColor="text1"/>
        </w:rPr>
        <w:t>Benth</w:t>
      </w:r>
      <w:proofErr w:type="spellEnd"/>
      <w:r w:rsidRPr="00A37AC5">
        <w:rPr>
          <w:bCs/>
          <w:color w:val="000000" w:themeColor="text1"/>
        </w:rPr>
        <w:t xml:space="preserve"> et al. 23).</w:t>
      </w:r>
    </w:p>
    <w:p w:rsidR="00C44A50" w:rsidRPr="00A37AC5" w:rsidRDefault="00C44A50" w:rsidP="00C44A50">
      <w:pPr>
        <w:spacing w:after="160" w:line="278" w:lineRule="auto"/>
        <w:jc w:val="both"/>
        <w:rPr>
          <w:bCs/>
          <w:color w:val="000000" w:themeColor="text1"/>
        </w:rPr>
      </w:pPr>
      <w:r w:rsidRPr="00A37AC5">
        <w:rPr>
          <w:bCs/>
          <w:color w:val="000000" w:themeColor="text1"/>
        </w:rPr>
        <w:t>The derivatives were gross tested through using other multiple ancillary situations such as severe and the chronic changing of climate and others (Ceres 42).</w:t>
      </w:r>
    </w:p>
    <w:p w:rsidR="00C44A50" w:rsidRPr="00A37AC5" w:rsidRDefault="00C44A50" w:rsidP="00D23B6B">
      <w:pPr>
        <w:spacing w:after="160" w:line="278" w:lineRule="auto"/>
        <w:jc w:val="both"/>
        <w:rPr>
          <w:bCs/>
          <w:color w:val="000000" w:themeColor="text1"/>
        </w:rPr>
      </w:pPr>
      <w:r w:rsidRPr="00A37AC5">
        <w:rPr>
          <w:bCs/>
          <w:color w:val="000000" w:themeColor="text1"/>
        </w:rPr>
        <w:t>The viability as well as the ability of the derivatives to enhance climate risk mitigation was evaluated using a multi-criteria decision making (MCDM) tool (Zheng 16).</w:t>
      </w:r>
    </w:p>
    <w:p w:rsidR="00D23B6B" w:rsidRPr="00A37AC5" w:rsidRDefault="00D23B6B" w:rsidP="00D23B6B">
      <w:pPr>
        <w:spacing w:after="160" w:line="278" w:lineRule="auto"/>
        <w:jc w:val="both"/>
        <w:rPr>
          <w:b/>
          <w:bCs/>
          <w:color w:val="000000" w:themeColor="text1"/>
        </w:rPr>
      </w:pPr>
      <w:r w:rsidRPr="00A37AC5">
        <w:rPr>
          <w:rFonts w:eastAsia="MS Mincho"/>
          <w:b/>
          <w:bCs/>
          <w:color w:val="000000" w:themeColor="text1"/>
        </w:rPr>
        <w:t>Constraints and Management</w:t>
      </w:r>
    </w:p>
    <w:p w:rsidR="00C44A50" w:rsidRPr="00A37AC5" w:rsidRDefault="00C44A50" w:rsidP="00C44A50">
      <w:pPr>
        <w:spacing w:after="160" w:line="278" w:lineRule="auto"/>
        <w:jc w:val="both"/>
        <w:rPr>
          <w:color w:val="000000" w:themeColor="text1"/>
        </w:rPr>
      </w:pPr>
      <w:r w:rsidRPr="00A37AC5">
        <w:rPr>
          <w:color w:val="000000" w:themeColor="text1"/>
        </w:rPr>
        <w:t>Some of the problems related to the inconsistency in climate dataset were solved using data interpolation and machine learning algorithms in order to complete missing values (Wu 85).</w:t>
      </w:r>
    </w:p>
    <w:p w:rsidR="00C44A50" w:rsidRPr="00A37AC5" w:rsidRDefault="00C44A50" w:rsidP="00C44A50">
      <w:pPr>
        <w:spacing w:after="160" w:line="278" w:lineRule="auto"/>
        <w:jc w:val="both"/>
        <w:rPr>
          <w:color w:val="000000" w:themeColor="text1"/>
        </w:rPr>
      </w:pPr>
      <w:r w:rsidRPr="00A37AC5">
        <w:rPr>
          <w:color w:val="000000" w:themeColor="text1"/>
        </w:rPr>
        <w:t>From the discussions with policy such as speaking to Paris Agreement and TCFD guidelines (Task Force on Climate-Related Financial Disclosures) and analyzing the legal issues relevant to climate derivatives in global markets.</w:t>
      </w:r>
    </w:p>
    <w:p w:rsidR="00C44A50" w:rsidRPr="00A37AC5" w:rsidRDefault="00C44A50" w:rsidP="00C44A50">
      <w:pPr>
        <w:spacing w:after="160" w:line="278" w:lineRule="auto"/>
        <w:jc w:val="both"/>
        <w:rPr>
          <w:color w:val="000000" w:themeColor="text1"/>
        </w:rPr>
      </w:pPr>
      <w:r w:rsidRPr="00A37AC5">
        <w:rPr>
          <w:color w:val="000000" w:themeColor="text1"/>
        </w:rPr>
        <w:t>A quantitative analysis of climate derivatives and qualitative enhancement of climate awareness and utilization were discussed through implementing user-friendly financial instruments based on stakeholder input (</w:t>
      </w:r>
      <w:proofErr w:type="spellStart"/>
      <w:r w:rsidRPr="00A37AC5">
        <w:rPr>
          <w:color w:val="000000" w:themeColor="text1"/>
        </w:rPr>
        <w:t>Shahsuzan</w:t>
      </w:r>
      <w:proofErr w:type="spellEnd"/>
      <w:r w:rsidRPr="00A37AC5">
        <w:rPr>
          <w:color w:val="000000" w:themeColor="text1"/>
        </w:rPr>
        <w:t xml:space="preserve"> 54).</w:t>
      </w:r>
    </w:p>
    <w:p w:rsidR="005C7318" w:rsidRPr="00A37AC5" w:rsidRDefault="00C44A50" w:rsidP="00C44A50">
      <w:pPr>
        <w:spacing w:after="160" w:line="278" w:lineRule="auto"/>
        <w:jc w:val="both"/>
        <w:rPr>
          <w:color w:val="000000" w:themeColor="text1"/>
        </w:rPr>
      </w:pPr>
      <w:r w:rsidRPr="00A37AC5">
        <w:rPr>
          <w:color w:val="000000" w:themeColor="text1"/>
        </w:rPr>
        <w:t xml:space="preserve">Due to the strict design of this research approach, it will provide a thorough evaluation of the efficiency and </w:t>
      </w:r>
      <w:proofErr w:type="spellStart"/>
      <w:r w:rsidRPr="00A37AC5">
        <w:rPr>
          <w:color w:val="000000" w:themeColor="text1"/>
        </w:rPr>
        <w:t>implementability</w:t>
      </w:r>
      <w:proofErr w:type="spellEnd"/>
      <w:r w:rsidRPr="00A37AC5">
        <w:rPr>
          <w:color w:val="000000" w:themeColor="text1"/>
        </w:rPr>
        <w:t xml:space="preserve"> of climate derivatives in managing climate risks affecting investment decisions.</w:t>
      </w:r>
    </w:p>
    <w:p w:rsidR="00C44A50" w:rsidRPr="00A37AC5" w:rsidRDefault="00C44A50" w:rsidP="00D23B6B">
      <w:pPr>
        <w:spacing w:after="160" w:line="278" w:lineRule="auto"/>
        <w:jc w:val="both"/>
        <w:rPr>
          <w:color w:val="000000" w:themeColor="text1"/>
        </w:rPr>
      </w:pPr>
    </w:p>
    <w:p w:rsidR="00C44A50" w:rsidRPr="00A37AC5" w:rsidRDefault="00C44A50" w:rsidP="00D23B6B">
      <w:pPr>
        <w:spacing w:after="160" w:line="278" w:lineRule="auto"/>
        <w:jc w:val="both"/>
        <w:rPr>
          <w:color w:val="000000" w:themeColor="text1"/>
        </w:rPr>
      </w:pPr>
    </w:p>
    <w:p w:rsidR="002F720C" w:rsidRPr="00A37AC5" w:rsidRDefault="002F720C" w:rsidP="005C7318">
      <w:pPr>
        <w:pStyle w:val="ListParagraph"/>
        <w:numPr>
          <w:ilvl w:val="0"/>
          <w:numId w:val="16"/>
        </w:numPr>
        <w:jc w:val="both"/>
        <w:rPr>
          <w:b/>
          <w:bCs/>
          <w:color w:val="000000" w:themeColor="text1"/>
        </w:rPr>
      </w:pPr>
      <w:r w:rsidRPr="00A37AC5">
        <w:rPr>
          <w:b/>
          <w:bCs/>
          <w:color w:val="000000" w:themeColor="text1"/>
        </w:rPr>
        <w:t>Black-Scholes Pricing Formula for Weather Derivatives</w:t>
      </w:r>
    </w:p>
    <w:p w:rsidR="002F720C" w:rsidRPr="00A37AC5" w:rsidRDefault="002F720C" w:rsidP="002F720C">
      <w:pPr>
        <w:jc w:val="both"/>
        <w:rPr>
          <w:b/>
          <w:bCs/>
          <w:color w:val="000000" w:themeColor="text1"/>
        </w:rPr>
      </w:pPr>
    </w:p>
    <w:p w:rsidR="002F720C" w:rsidRPr="00A37AC5" w:rsidRDefault="002F720C" w:rsidP="002F720C">
      <w:pPr>
        <w:jc w:val="both"/>
        <w:rPr>
          <w:rFonts w:eastAsiaTheme="minorEastAsia"/>
          <w:color w:val="000000" w:themeColor="text1"/>
        </w:rPr>
      </w:pPr>
      <m:oMath>
        <m:r>
          <w:rPr>
            <w:rFonts w:ascii="Cambria Math" w:hAnsi="Cambria Math"/>
            <w:color w:val="000000" w:themeColor="text1"/>
          </w:rPr>
          <m:t>C=</m:t>
        </m:r>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S</m:t>
            </m:r>
          </m:e>
          <m:sub>
            <m:r>
              <w:rPr>
                <w:rFonts w:ascii="Cambria Math" w:hAnsi="Cambria Math"/>
                <w:color w:val="000000" w:themeColor="text1"/>
              </w:rPr>
              <m:t>o</m:t>
            </m:r>
          </m:sub>
        </m:sSub>
        <m:r>
          <w:rPr>
            <w:rFonts w:ascii="Cambria Math" w:hAnsi="Cambria Math"/>
            <w:color w:val="000000" w:themeColor="text1"/>
          </w:rPr>
          <m:t>N</m:t>
        </m:r>
        <m:d>
          <m:dPr>
            <m:ctrlPr>
              <w:rPr>
                <w:rFonts w:ascii="Cambria Math" w:hAnsi="Cambria Math"/>
                <w:i/>
                <w:color w:val="000000" w:themeColor="text1"/>
              </w:rPr>
            </m:ctrlPr>
          </m:dPr>
          <m:e>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d</m:t>
                </m:r>
              </m:e>
              <m:sub>
                <m:r>
                  <w:rPr>
                    <w:rFonts w:ascii="Cambria Math" w:hAnsi="Cambria Math"/>
                    <w:color w:val="000000" w:themeColor="text1"/>
                  </w:rPr>
                  <m:t>1</m:t>
                </m:r>
              </m:sub>
            </m:sSub>
          </m:e>
        </m:d>
        <m:r>
          <w:rPr>
            <w:rFonts w:ascii="Cambria Math" w:hAnsi="Cambria Math"/>
            <w:color w:val="000000" w:themeColor="text1"/>
          </w:rPr>
          <m:t>-K</m:t>
        </m:r>
        <m:sSup>
          <m:sSupPr>
            <m:ctrlPr>
              <w:rPr>
                <w:rFonts w:ascii="Cambria Math" w:eastAsiaTheme="minorHAnsi" w:hAnsi="Cambria Math" w:cstheme="minorBidi"/>
                <w:i/>
                <w:color w:val="000000" w:themeColor="text1"/>
                <w:kern w:val="2"/>
                <w:sz w:val="24"/>
                <w:szCs w:val="24"/>
                <w14:ligatures w14:val="standardContextual"/>
              </w:rPr>
            </m:ctrlPr>
          </m:sSupPr>
          <m:e>
            <m:r>
              <w:rPr>
                <w:rFonts w:ascii="Cambria Math" w:hAnsi="Cambria Math"/>
                <w:color w:val="000000" w:themeColor="text1"/>
              </w:rPr>
              <m:t>e</m:t>
            </m:r>
          </m:e>
          <m:sup>
            <m:r>
              <w:rPr>
                <w:rFonts w:ascii="Cambria Math" w:hAnsi="Cambria Math"/>
                <w:color w:val="000000" w:themeColor="text1"/>
              </w:rPr>
              <m:t>-rT</m:t>
            </m:r>
          </m:sup>
        </m:sSup>
        <m:r>
          <w:rPr>
            <w:rFonts w:ascii="Cambria Math" w:hAnsi="Cambria Math"/>
            <w:color w:val="000000" w:themeColor="text1"/>
          </w:rPr>
          <m:t>N</m:t>
        </m:r>
        <m:d>
          <m:dPr>
            <m:ctrlPr>
              <w:rPr>
                <w:rFonts w:ascii="Cambria Math" w:hAnsi="Cambria Math"/>
                <w:i/>
                <w:color w:val="000000" w:themeColor="text1"/>
              </w:rPr>
            </m:ctrlPr>
          </m:dPr>
          <m:e>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d</m:t>
                </m:r>
              </m:e>
              <m:sub>
                <m:r>
                  <w:rPr>
                    <w:rFonts w:ascii="Cambria Math" w:hAnsi="Cambria Math"/>
                    <w:color w:val="000000" w:themeColor="text1"/>
                  </w:rPr>
                  <m:t>2</m:t>
                </m:r>
              </m:sub>
            </m:sSub>
          </m:e>
        </m:d>
      </m:oMath>
      <w:r w:rsidRPr="00A37AC5">
        <w:rPr>
          <w:rFonts w:eastAsiaTheme="minorEastAsia"/>
          <w:color w:val="000000" w:themeColor="text1"/>
        </w:rPr>
        <w:t xml:space="preserve">                                     (1)</w:t>
      </w:r>
    </w:p>
    <w:p w:rsidR="002F720C" w:rsidRPr="00A37AC5" w:rsidRDefault="00720859" w:rsidP="002F720C">
      <w:pPr>
        <w:jc w:val="both"/>
        <w:rPr>
          <w:rFonts w:eastAsiaTheme="minorEastAsia"/>
          <w:color w:val="000000" w:themeColor="text1"/>
        </w:rPr>
      </w:pPr>
      <m:oMath>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d</m:t>
            </m:r>
          </m:e>
          <m:sub>
            <m:r>
              <w:rPr>
                <w:rFonts w:ascii="Cambria Math" w:hAnsi="Cambria Math"/>
                <w:color w:val="000000" w:themeColor="text1"/>
              </w:rPr>
              <m:t>1</m:t>
            </m:r>
          </m:sub>
        </m:sSub>
        <m:r>
          <w:rPr>
            <w:rFonts w:ascii="Cambria Math" w:hAnsi="Cambria Math"/>
            <w:color w:val="000000" w:themeColor="text1"/>
          </w:rPr>
          <m:t>=</m:t>
        </m:r>
        <m:f>
          <m:fPr>
            <m:ctrlPr>
              <w:rPr>
                <w:rFonts w:ascii="Cambria Math" w:eastAsiaTheme="minorHAnsi" w:hAnsi="Cambria Math" w:cstheme="minorBidi"/>
                <w:i/>
                <w:color w:val="000000" w:themeColor="text1"/>
                <w:kern w:val="2"/>
                <w:sz w:val="24"/>
                <w:szCs w:val="24"/>
                <w14:ligatures w14:val="standardContextual"/>
              </w:rPr>
            </m:ctrlPr>
          </m:fPr>
          <m:num>
            <m:func>
              <m:funcPr>
                <m:ctrlPr>
                  <w:rPr>
                    <w:rFonts w:ascii="Cambria Math" w:hAnsi="Cambria Math"/>
                    <w:color w:val="000000" w:themeColor="text1"/>
                  </w:rPr>
                </m:ctrlPr>
              </m:funcPr>
              <m:fName>
                <m:r>
                  <m:rPr>
                    <m:sty m:val="p"/>
                  </m:rPr>
                  <w:rPr>
                    <w:rFonts w:ascii="Cambria Math" w:hAnsi="Cambria Math"/>
                    <w:color w:val="000000" w:themeColor="text1"/>
                  </w:rPr>
                  <m:t>ln</m:t>
                </m:r>
              </m:fName>
              <m:e>
                <m:d>
                  <m:dPr>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S</m:t>
                            </m:r>
                          </m:e>
                          <m:sub>
                            <m:r>
                              <w:rPr>
                                <w:rFonts w:ascii="Cambria Math" w:hAnsi="Cambria Math"/>
                                <w:color w:val="000000" w:themeColor="text1"/>
                              </w:rPr>
                              <m:t>o</m:t>
                            </m:r>
                          </m:sub>
                        </m:sSub>
                      </m:num>
                      <m:den>
                        <m:r>
                          <w:rPr>
                            <w:rFonts w:ascii="Cambria Math" w:hAnsi="Cambria Math"/>
                            <w:color w:val="000000" w:themeColor="text1"/>
                          </w:rPr>
                          <m:t>K</m:t>
                        </m:r>
                      </m:den>
                    </m:f>
                  </m:e>
                </m:d>
              </m:e>
            </m:func>
            <m:r>
              <w:rPr>
                <w:rFonts w:ascii="Cambria Math" w:hAnsi="Cambria Math"/>
                <w:color w:val="000000" w:themeColor="text1"/>
              </w:rPr>
              <m:t>+(r+</m:t>
            </m:r>
            <m:f>
              <m:fPr>
                <m:type m:val="skw"/>
                <m:ctrlPr>
                  <w:rPr>
                    <w:rFonts w:ascii="Cambria Math" w:eastAsiaTheme="minorHAnsi" w:hAnsi="Cambria Math" w:cstheme="minorBidi"/>
                    <w:i/>
                    <w:color w:val="000000" w:themeColor="text1"/>
                    <w:kern w:val="2"/>
                    <w:sz w:val="24"/>
                    <w:szCs w:val="24"/>
                    <w14:ligatures w14:val="standardContextual"/>
                  </w:rPr>
                </m:ctrlPr>
              </m:fPr>
              <m:num>
                <m:sSup>
                  <m:sSupPr>
                    <m:ctrlPr>
                      <w:rPr>
                        <w:rFonts w:ascii="Cambria Math" w:eastAsiaTheme="minorHAnsi" w:hAnsi="Cambria Math" w:cstheme="minorBidi"/>
                        <w:i/>
                        <w:color w:val="000000" w:themeColor="text1"/>
                        <w:kern w:val="2"/>
                        <w:sz w:val="24"/>
                        <w:szCs w:val="24"/>
                        <w14:ligatures w14:val="standardContextual"/>
                      </w:rPr>
                    </m:ctrlPr>
                  </m:sSupPr>
                  <m:e>
                    <m:r>
                      <w:rPr>
                        <w:rFonts w:ascii="Cambria Math" w:hAnsi="Cambria Math"/>
                        <w:color w:val="000000" w:themeColor="text1"/>
                      </w:rPr>
                      <m:t>σ</m:t>
                    </m:r>
                  </m:e>
                  <m:sup>
                    <m:r>
                      <w:rPr>
                        <w:rFonts w:ascii="Cambria Math" w:hAnsi="Cambria Math"/>
                        <w:color w:val="000000" w:themeColor="text1"/>
                      </w:rPr>
                      <m:t>2</m:t>
                    </m:r>
                  </m:sup>
                </m:sSup>
              </m:num>
              <m:den>
                <m:r>
                  <w:rPr>
                    <w:rFonts w:ascii="Cambria Math" w:hAnsi="Cambria Math"/>
                    <w:color w:val="000000" w:themeColor="text1"/>
                  </w:rPr>
                  <m:t>2</m:t>
                </m:r>
              </m:den>
            </m:f>
            <m:r>
              <w:rPr>
                <w:rFonts w:ascii="Cambria Math" w:hAnsi="Cambria Math"/>
                <w:color w:val="000000" w:themeColor="text1"/>
              </w:rPr>
              <m:t>)T</m:t>
            </m:r>
          </m:num>
          <m:den>
            <m:r>
              <w:rPr>
                <w:rFonts w:ascii="Cambria Math" w:hAnsi="Cambria Math"/>
                <w:color w:val="000000" w:themeColor="text1"/>
              </w:rPr>
              <m:t>σ√T</m:t>
            </m:r>
          </m:den>
        </m:f>
      </m:oMath>
      <w:r w:rsidR="002F720C" w:rsidRPr="00A37AC5">
        <w:rPr>
          <w:rFonts w:eastAsiaTheme="minorEastAsia"/>
          <w:color w:val="000000" w:themeColor="text1"/>
        </w:rPr>
        <w:t xml:space="preserve"> </w:t>
      </w:r>
    </w:p>
    <w:p w:rsidR="002F720C" w:rsidRPr="00A37AC5" w:rsidRDefault="00720859" w:rsidP="002F720C">
      <w:pPr>
        <w:jc w:val="both"/>
        <w:rPr>
          <w:rFonts w:eastAsiaTheme="minorEastAsia"/>
          <w:color w:val="000000" w:themeColor="text1"/>
        </w:rPr>
      </w:pPr>
      <m:oMath>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d</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d</m:t>
            </m:r>
          </m:e>
          <m:sub>
            <m:r>
              <w:rPr>
                <w:rFonts w:ascii="Cambria Math" w:hAnsi="Cambria Math"/>
                <w:color w:val="000000" w:themeColor="text1"/>
              </w:rPr>
              <m:t>1</m:t>
            </m:r>
          </m:sub>
        </m:sSub>
        <m:r>
          <w:rPr>
            <w:rFonts w:ascii="Cambria Math" w:hAnsi="Cambria Math"/>
            <w:color w:val="000000" w:themeColor="text1"/>
          </w:rPr>
          <m:t>-σ√T</m:t>
        </m:r>
      </m:oMath>
      <w:r w:rsidR="002F720C" w:rsidRPr="00A37AC5">
        <w:rPr>
          <w:rFonts w:eastAsiaTheme="minorEastAsia"/>
          <w:color w:val="000000" w:themeColor="text1"/>
        </w:rPr>
        <w:t xml:space="preserve"> </w:t>
      </w:r>
    </w:p>
    <w:p w:rsidR="002F720C" w:rsidRPr="00A37AC5" w:rsidRDefault="002F720C" w:rsidP="002F720C">
      <w:pPr>
        <w:jc w:val="both"/>
        <w:rPr>
          <w:rFonts w:eastAsiaTheme="minorEastAsia"/>
          <w:color w:val="000000" w:themeColor="text1"/>
        </w:rPr>
      </w:pPr>
      <m:oMath>
        <m:r>
          <w:rPr>
            <w:rFonts w:ascii="Cambria Math" w:hAnsi="Cambria Math"/>
            <w:color w:val="000000" w:themeColor="text1"/>
          </w:rPr>
          <m:t>C= Call option price</m:t>
        </m:r>
      </m:oMath>
      <w:r w:rsidRPr="00A37AC5">
        <w:rPr>
          <w:rFonts w:eastAsiaTheme="minorEastAsia"/>
          <w:color w:val="000000" w:themeColor="text1"/>
        </w:rPr>
        <w:t xml:space="preserve"> </w:t>
      </w:r>
    </w:p>
    <w:p w:rsidR="002F720C" w:rsidRPr="00A37AC5" w:rsidRDefault="00720859" w:rsidP="002F720C">
      <w:pPr>
        <w:jc w:val="both"/>
        <w:rPr>
          <w:rFonts w:eastAsiaTheme="minorEastAsia"/>
          <w:color w:val="000000" w:themeColor="text1"/>
        </w:rPr>
      </w:pPr>
      <m:oMath>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S</m:t>
            </m:r>
          </m:e>
          <m:sub>
            <m:r>
              <w:rPr>
                <w:rFonts w:ascii="Cambria Math" w:hAnsi="Cambria Math"/>
                <w:color w:val="000000" w:themeColor="text1"/>
              </w:rPr>
              <m:t>o</m:t>
            </m:r>
          </m:sub>
        </m:sSub>
        <m:r>
          <w:rPr>
            <w:rFonts w:ascii="Cambria Math" w:hAnsi="Cambria Math"/>
            <w:color w:val="000000" w:themeColor="text1"/>
          </w:rPr>
          <m:t>= Current value of the weather index</m:t>
        </m:r>
      </m:oMath>
      <w:r w:rsidR="002F720C" w:rsidRPr="00A37AC5">
        <w:rPr>
          <w:rFonts w:eastAsiaTheme="minorEastAsia"/>
          <w:color w:val="000000" w:themeColor="text1"/>
        </w:rPr>
        <w:t xml:space="preserve"> </w:t>
      </w:r>
    </w:p>
    <w:p w:rsidR="002F720C" w:rsidRPr="00A37AC5" w:rsidRDefault="002F720C" w:rsidP="002F720C">
      <w:pPr>
        <w:jc w:val="both"/>
        <w:rPr>
          <w:rFonts w:eastAsiaTheme="minorEastAsia"/>
          <w:color w:val="000000" w:themeColor="text1"/>
        </w:rPr>
      </w:pPr>
      <m:oMath>
        <m:r>
          <w:rPr>
            <w:rFonts w:ascii="Cambria Math" w:hAnsi="Cambria Math"/>
            <w:color w:val="000000" w:themeColor="text1"/>
          </w:rPr>
          <m:t>K= Strike price (reference temperature )</m:t>
        </m:r>
      </m:oMath>
      <w:r w:rsidRPr="00A37AC5">
        <w:rPr>
          <w:rFonts w:eastAsiaTheme="minorEastAsia"/>
          <w:color w:val="000000" w:themeColor="text1"/>
        </w:rPr>
        <w:t xml:space="preserve"> </w:t>
      </w:r>
    </w:p>
    <w:p w:rsidR="002F720C" w:rsidRPr="00A37AC5" w:rsidRDefault="002F720C" w:rsidP="002F720C">
      <w:pPr>
        <w:jc w:val="both"/>
        <w:rPr>
          <w:rFonts w:eastAsiaTheme="minorEastAsia"/>
          <w:color w:val="000000" w:themeColor="text1"/>
        </w:rPr>
      </w:pPr>
      <m:oMath>
        <m:r>
          <w:rPr>
            <w:rFonts w:ascii="Cambria Math" w:hAnsi="Cambria Math"/>
            <w:color w:val="000000" w:themeColor="text1"/>
          </w:rPr>
          <m:t>r= Risk-free interest rate</m:t>
        </m:r>
      </m:oMath>
      <w:r w:rsidRPr="00A37AC5">
        <w:rPr>
          <w:rFonts w:eastAsiaTheme="minorEastAsia"/>
          <w:color w:val="000000" w:themeColor="text1"/>
        </w:rPr>
        <w:t xml:space="preserve"> </w:t>
      </w:r>
    </w:p>
    <w:p w:rsidR="002F720C" w:rsidRPr="00A37AC5" w:rsidRDefault="002F720C" w:rsidP="002F720C">
      <w:pPr>
        <w:jc w:val="both"/>
        <w:rPr>
          <w:rFonts w:eastAsiaTheme="minorEastAsia"/>
          <w:color w:val="000000" w:themeColor="text1"/>
        </w:rPr>
      </w:pPr>
      <m:oMath>
        <m:r>
          <w:rPr>
            <w:rFonts w:ascii="Cambria Math" w:hAnsi="Cambria Math"/>
            <w:color w:val="000000" w:themeColor="text1"/>
          </w:rPr>
          <m:t>T= Time to maturity</m:t>
        </m:r>
      </m:oMath>
      <w:r w:rsidRPr="00A37AC5">
        <w:rPr>
          <w:rFonts w:eastAsiaTheme="minorEastAsia"/>
          <w:color w:val="000000" w:themeColor="text1"/>
        </w:rPr>
        <w:t xml:space="preserve"> </w:t>
      </w:r>
    </w:p>
    <w:p w:rsidR="002F720C" w:rsidRPr="00A37AC5" w:rsidRDefault="002F720C" w:rsidP="002F720C">
      <w:pPr>
        <w:jc w:val="both"/>
        <w:rPr>
          <w:rFonts w:eastAsiaTheme="minorEastAsia"/>
          <w:color w:val="000000" w:themeColor="text1"/>
        </w:rPr>
      </w:pPr>
      <m:oMath>
        <m:r>
          <w:rPr>
            <w:rFonts w:ascii="Cambria Math" w:hAnsi="Cambria Math"/>
            <w:color w:val="000000" w:themeColor="text1"/>
          </w:rPr>
          <m:t>σ= Volatility of the weather index</m:t>
        </m:r>
      </m:oMath>
      <w:r w:rsidRPr="00A37AC5">
        <w:rPr>
          <w:rFonts w:eastAsiaTheme="minorEastAsia"/>
          <w:color w:val="000000" w:themeColor="text1"/>
        </w:rPr>
        <w:t xml:space="preserve"> </w:t>
      </w:r>
    </w:p>
    <w:p w:rsidR="002F720C" w:rsidRPr="00A37AC5" w:rsidRDefault="002F720C" w:rsidP="002F720C">
      <w:pPr>
        <w:jc w:val="both"/>
        <w:rPr>
          <w:rFonts w:eastAsiaTheme="minorEastAsia"/>
          <w:color w:val="000000" w:themeColor="text1"/>
        </w:rPr>
      </w:pP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d</m:t>
            </m:r>
          </m:e>
        </m:d>
        <m:r>
          <w:rPr>
            <w:rFonts w:ascii="Cambria Math" w:hAnsi="Cambria Math"/>
            <w:color w:val="000000" w:themeColor="text1"/>
          </w:rPr>
          <m:t>= Cumulative standard normal distribution</m:t>
        </m:r>
      </m:oMath>
      <w:r w:rsidRPr="00A37AC5">
        <w:rPr>
          <w:rFonts w:eastAsiaTheme="minorEastAsia"/>
          <w:color w:val="000000" w:themeColor="text1"/>
        </w:rPr>
        <w:t xml:space="preserve"> </w:t>
      </w:r>
    </w:p>
    <w:p w:rsidR="005C7318" w:rsidRPr="00A37AC5" w:rsidRDefault="005C7318" w:rsidP="002F720C">
      <w:pPr>
        <w:jc w:val="both"/>
        <w:rPr>
          <w:rFonts w:eastAsiaTheme="minorEastAsia"/>
          <w:color w:val="000000" w:themeColor="text1"/>
        </w:rPr>
      </w:pPr>
    </w:p>
    <w:p w:rsidR="005C7318" w:rsidRPr="00A37AC5" w:rsidRDefault="005C7318" w:rsidP="005C7318">
      <w:pPr>
        <w:spacing w:after="160" w:line="278" w:lineRule="auto"/>
        <w:rPr>
          <w:rFonts w:eastAsiaTheme="minorEastAsia"/>
          <w:b/>
          <w:bCs/>
          <w:color w:val="000000" w:themeColor="text1"/>
        </w:rPr>
      </w:pPr>
    </w:p>
    <w:p w:rsidR="005C7318" w:rsidRPr="00A37AC5" w:rsidRDefault="005C7318" w:rsidP="005C7318">
      <w:pPr>
        <w:spacing w:after="160" w:line="278" w:lineRule="auto"/>
        <w:rPr>
          <w:rFonts w:eastAsiaTheme="minorEastAsia"/>
          <w:b/>
          <w:bCs/>
          <w:color w:val="000000" w:themeColor="text1"/>
        </w:rPr>
      </w:pPr>
    </w:p>
    <w:p w:rsidR="00C44A50" w:rsidRPr="00A37AC5" w:rsidRDefault="00C44A50" w:rsidP="005C7318">
      <w:pPr>
        <w:spacing w:after="160" w:line="278" w:lineRule="auto"/>
        <w:rPr>
          <w:rFonts w:eastAsiaTheme="minorEastAsia"/>
          <w:b/>
          <w:bCs/>
          <w:color w:val="000000" w:themeColor="text1"/>
        </w:rPr>
      </w:pPr>
    </w:p>
    <w:p w:rsidR="00C44A50" w:rsidRPr="00A37AC5" w:rsidRDefault="00C44A50" w:rsidP="005C7318">
      <w:pPr>
        <w:spacing w:after="160" w:line="278" w:lineRule="auto"/>
        <w:rPr>
          <w:rFonts w:eastAsiaTheme="minorEastAsia"/>
          <w:b/>
          <w:bCs/>
          <w:color w:val="000000" w:themeColor="text1"/>
        </w:rPr>
      </w:pPr>
    </w:p>
    <w:p w:rsidR="00C44A50" w:rsidRPr="00A37AC5" w:rsidRDefault="00C44A50" w:rsidP="005C7318">
      <w:pPr>
        <w:spacing w:after="160" w:line="278" w:lineRule="auto"/>
        <w:rPr>
          <w:rFonts w:eastAsiaTheme="minorEastAsia"/>
          <w:b/>
          <w:bCs/>
          <w:color w:val="000000" w:themeColor="text1"/>
        </w:rPr>
      </w:pPr>
    </w:p>
    <w:p w:rsidR="005C7318" w:rsidRPr="00A37AC5" w:rsidRDefault="005C7318" w:rsidP="005C7318">
      <w:pPr>
        <w:pStyle w:val="ListParagraph"/>
        <w:numPr>
          <w:ilvl w:val="0"/>
          <w:numId w:val="16"/>
        </w:numPr>
        <w:spacing w:after="160" w:line="278" w:lineRule="auto"/>
        <w:jc w:val="both"/>
        <w:rPr>
          <w:rFonts w:eastAsiaTheme="minorEastAsia"/>
          <w:b/>
          <w:bCs/>
          <w:color w:val="000000" w:themeColor="text1"/>
        </w:rPr>
      </w:pPr>
      <w:r w:rsidRPr="00A37AC5">
        <w:rPr>
          <w:rFonts w:eastAsiaTheme="minorEastAsia"/>
          <w:b/>
          <w:bCs/>
          <w:color w:val="000000" w:themeColor="text1"/>
        </w:rPr>
        <w:t>Monte Carlo Simulation for Risk Quantification</w:t>
      </w:r>
    </w:p>
    <w:p w:rsidR="005C7318" w:rsidRPr="00A37AC5" w:rsidRDefault="005C7318" w:rsidP="005C7318">
      <w:pPr>
        <w:spacing w:after="160" w:line="278" w:lineRule="auto"/>
        <w:jc w:val="both"/>
        <w:rPr>
          <w:rFonts w:eastAsiaTheme="minorEastAsia"/>
          <w:color w:val="000000" w:themeColor="text1"/>
        </w:rPr>
      </w:pPr>
      <w:r w:rsidRPr="00A37AC5">
        <w:rPr>
          <w:rFonts w:eastAsiaTheme="minorEastAsia"/>
          <w:color w:val="000000" w:themeColor="text1"/>
        </w:rPr>
        <w:t>Outcomes for climate scenarios, the payoff for a derivative is computed</w:t>
      </w:r>
    </w:p>
    <w:p w:rsidR="005C7318" w:rsidRPr="00A37AC5" w:rsidRDefault="005C7318" w:rsidP="005C7318">
      <w:pPr>
        <w:spacing w:after="160" w:line="278" w:lineRule="auto"/>
        <w:jc w:val="both"/>
        <w:rPr>
          <w:rFonts w:eastAsiaTheme="minorEastAsia"/>
          <w:color w:val="000000" w:themeColor="text1"/>
        </w:rPr>
      </w:pPr>
      <m:oMath>
        <m:r>
          <w:rPr>
            <w:rFonts w:ascii="Cambria Math" w:hAnsi="Cambria Math"/>
            <w:color w:val="000000" w:themeColor="text1"/>
          </w:rPr>
          <m:t>Payoff=</m:t>
        </m:r>
        <m:sSub>
          <m:sSubPr>
            <m:ctrlPr>
              <w:rPr>
                <w:rFonts w:ascii="Cambria Math" w:eastAsiaTheme="minorHAnsi" w:hAnsi="Cambria Math" w:cstheme="minorBidi"/>
                <w:i/>
                <w:color w:val="000000" w:themeColor="text1"/>
                <w:kern w:val="2"/>
                <w:sz w:val="24"/>
                <w:szCs w:val="24"/>
                <w14:ligatures w14:val="standardContextual"/>
              </w:rPr>
            </m:ctrlPr>
          </m:sSubPr>
          <m:e>
            <m:r>
              <m:rPr>
                <m:sty m:val="p"/>
              </m:rPr>
              <w:rPr>
                <w:rFonts w:ascii="Cambria Math" w:hAnsi="Cambria Math"/>
                <w:color w:val="000000" w:themeColor="text1"/>
              </w:rPr>
              <m:t>max⁡</m:t>
            </m:r>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-K,0)</m:t>
        </m:r>
      </m:oMath>
      <w:r w:rsidRPr="00A37AC5">
        <w:rPr>
          <w:rFonts w:eastAsiaTheme="minorEastAsia"/>
          <w:color w:val="000000" w:themeColor="text1"/>
        </w:rPr>
        <w:t xml:space="preserve">                                               (II)</w:t>
      </w:r>
    </w:p>
    <w:p w:rsidR="005C7318" w:rsidRPr="00A37AC5" w:rsidRDefault="005C7318" w:rsidP="005C7318">
      <w:pPr>
        <w:spacing w:after="160" w:line="278" w:lineRule="auto"/>
        <w:jc w:val="both"/>
        <w:rPr>
          <w:rFonts w:eastAsiaTheme="minorEastAsia"/>
          <w:color w:val="000000" w:themeColor="text1"/>
          <w:kern w:val="2"/>
          <w:sz w:val="24"/>
          <w:szCs w:val="24"/>
          <w14:ligatures w14:val="standardContextual"/>
        </w:rPr>
      </w:pPr>
      <w:r w:rsidRPr="00A37AC5">
        <w:rPr>
          <w:rFonts w:eastAsiaTheme="minorEastAsia"/>
          <w:color w:val="000000" w:themeColor="text1"/>
          <w:kern w:val="2"/>
          <w:sz w:val="24"/>
          <w:szCs w:val="24"/>
          <w14:ligatures w14:val="standardContextual"/>
        </w:rPr>
        <w:t>Where</w:t>
      </w:r>
    </w:p>
    <w:p w:rsidR="005C7318" w:rsidRPr="00A37AC5" w:rsidRDefault="00720859" w:rsidP="005C7318">
      <w:pPr>
        <w:spacing w:after="160" w:line="278" w:lineRule="auto"/>
        <w:jc w:val="both"/>
        <w:rPr>
          <w:rFonts w:eastAsiaTheme="minorEastAsia"/>
          <w:color w:val="000000" w:themeColor="text1"/>
        </w:rPr>
      </w:pPr>
      <m:oMath>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S</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eastAsiaTheme="minorHAnsi" w:hAnsi="Cambria Math" w:cstheme="minorBidi"/>
                <w:i/>
                <w:color w:val="000000" w:themeColor="text1"/>
                <w:kern w:val="2"/>
                <w:sz w:val="24"/>
                <w:szCs w:val="24"/>
                <w14:ligatures w14:val="standardContextual"/>
              </w:rPr>
            </m:ctrlPr>
          </m:sSubPr>
          <m:e>
            <m:r>
              <w:rPr>
                <w:rFonts w:ascii="Cambria Math" w:hAnsi="Cambria Math"/>
                <w:color w:val="000000" w:themeColor="text1"/>
              </w:rPr>
              <m:t>S</m:t>
            </m:r>
          </m:e>
          <m:sub>
            <m:r>
              <w:rPr>
                <w:rFonts w:ascii="Cambria Math" w:hAnsi="Cambria Math"/>
                <w:color w:val="000000" w:themeColor="text1"/>
              </w:rPr>
              <m:t>o</m:t>
            </m:r>
          </m:sub>
        </m:sSub>
        <m:sSup>
          <m:sSupPr>
            <m:ctrlPr>
              <w:rPr>
                <w:rFonts w:ascii="Cambria Math" w:eastAsiaTheme="minorHAnsi" w:hAnsi="Cambria Math" w:cstheme="minorBidi"/>
                <w:i/>
                <w:color w:val="000000" w:themeColor="text1"/>
                <w:kern w:val="2"/>
                <w:sz w:val="24"/>
                <w:szCs w:val="24"/>
                <w14:ligatures w14:val="standardContextual"/>
              </w:rPr>
            </m:ctrlPr>
          </m:sSupPr>
          <m:e>
            <m:r>
              <w:rPr>
                <w:rFonts w:ascii="Cambria Math" w:hAnsi="Cambria Math"/>
                <w:color w:val="000000" w:themeColor="text1"/>
              </w:rPr>
              <m:t>e</m:t>
            </m:r>
          </m:e>
          <m:sup>
            <m:r>
              <w:rPr>
                <w:rFonts w:ascii="Cambria Math" w:hAnsi="Cambria Math"/>
                <w:color w:val="000000" w:themeColor="text1"/>
              </w:rPr>
              <m:t>(r-</m:t>
            </m:r>
            <m:f>
              <m:fPr>
                <m:type m:val="skw"/>
                <m:ctrlPr>
                  <w:rPr>
                    <w:rFonts w:ascii="Cambria Math" w:eastAsiaTheme="minorHAnsi" w:hAnsi="Cambria Math" w:cstheme="minorBidi"/>
                    <w:i/>
                    <w:color w:val="000000" w:themeColor="text1"/>
                    <w:kern w:val="2"/>
                    <w:sz w:val="24"/>
                    <w:szCs w:val="24"/>
                    <w14:ligatures w14:val="standardContextual"/>
                  </w:rPr>
                </m:ctrlPr>
              </m:fPr>
              <m:num>
                <m:sSup>
                  <m:sSupPr>
                    <m:ctrlPr>
                      <w:rPr>
                        <w:rFonts w:ascii="Cambria Math" w:eastAsiaTheme="minorHAnsi" w:hAnsi="Cambria Math" w:cstheme="minorBidi"/>
                        <w:i/>
                        <w:color w:val="000000" w:themeColor="text1"/>
                        <w:kern w:val="2"/>
                        <w:sz w:val="24"/>
                        <w:szCs w:val="24"/>
                        <w14:ligatures w14:val="standardContextual"/>
                      </w:rPr>
                    </m:ctrlPr>
                  </m:sSupPr>
                  <m:e>
                    <m:r>
                      <w:rPr>
                        <w:rFonts w:ascii="Cambria Math" w:hAnsi="Cambria Math"/>
                        <w:color w:val="000000" w:themeColor="text1"/>
                      </w:rPr>
                      <m:t>σ</m:t>
                    </m:r>
                  </m:e>
                  <m:sup>
                    <m:r>
                      <w:rPr>
                        <w:rFonts w:ascii="Cambria Math" w:hAnsi="Cambria Math"/>
                        <w:color w:val="000000" w:themeColor="text1"/>
                      </w:rPr>
                      <m:t>2</m:t>
                    </m:r>
                  </m:sup>
                </m:sSup>
              </m:num>
              <m:den>
                <m:r>
                  <w:rPr>
                    <w:rFonts w:ascii="Cambria Math" w:hAnsi="Cambria Math"/>
                    <w:color w:val="000000" w:themeColor="text1"/>
                  </w:rPr>
                  <m:t>2</m:t>
                </m:r>
              </m:den>
            </m:f>
            <m:r>
              <w:rPr>
                <w:rFonts w:ascii="Cambria Math" w:hAnsi="Cambria Math"/>
                <w:color w:val="000000" w:themeColor="text1"/>
              </w:rPr>
              <m:t>)T</m:t>
            </m:r>
          </m:sup>
        </m:sSup>
        <m:r>
          <w:rPr>
            <w:rFonts w:ascii="Cambria Math" w:hAnsi="Cambria Math"/>
            <w:color w:val="000000" w:themeColor="text1"/>
          </w:rPr>
          <m:t>+ σZ√T</m:t>
        </m:r>
      </m:oMath>
      <w:r w:rsidR="005C7318" w:rsidRPr="00A37AC5">
        <w:rPr>
          <w:rFonts w:eastAsiaTheme="minorEastAsia"/>
          <w:color w:val="000000" w:themeColor="text1"/>
        </w:rPr>
        <w:t xml:space="preserve">    </w:t>
      </w:r>
    </w:p>
    <w:p w:rsidR="002F720C" w:rsidRPr="00A37AC5" w:rsidRDefault="005C7318" w:rsidP="00961356">
      <w:pPr>
        <w:spacing w:after="160" w:line="278" w:lineRule="auto"/>
        <w:jc w:val="both"/>
        <w:rPr>
          <w:rFonts w:eastAsiaTheme="minorEastAsia"/>
          <w:color w:val="000000" w:themeColor="text1"/>
        </w:rPr>
      </w:pPr>
      <m:oMath>
        <m:r>
          <w:rPr>
            <w:rFonts w:ascii="Cambria Math" w:hAnsi="Cambria Math"/>
            <w:color w:val="000000" w:themeColor="text1"/>
          </w:rPr>
          <m:t>Z ~N(0,1)</m:t>
        </m:r>
      </m:oMath>
      <w:r w:rsidRPr="00A37AC5">
        <w:rPr>
          <w:rFonts w:eastAsiaTheme="minorEastAsia"/>
          <w:color w:val="000000" w:themeColor="text1"/>
        </w:rPr>
        <w:t xml:space="preserve"> </w:t>
      </w:r>
    </w:p>
    <w:p w:rsidR="008A55B5" w:rsidRPr="00A37AC5" w:rsidRDefault="008A55B5" w:rsidP="005C7318">
      <w:pPr>
        <w:pStyle w:val="Heading4"/>
        <w:numPr>
          <w:ilvl w:val="0"/>
          <w:numId w:val="0"/>
        </w:numPr>
        <w:ind w:left="504"/>
        <w:rPr>
          <w:color w:val="000000" w:themeColor="text1"/>
        </w:rPr>
      </w:pPr>
    </w:p>
    <w:p w:rsidR="008A55B5" w:rsidRPr="00A37AC5" w:rsidRDefault="00961356" w:rsidP="00961356">
      <w:pPr>
        <w:pStyle w:val="Heading2"/>
        <w:rPr>
          <w:color w:val="000000" w:themeColor="text1"/>
        </w:rPr>
      </w:pPr>
      <w:r w:rsidRPr="00A37AC5">
        <w:rPr>
          <w:color w:val="000000" w:themeColor="text1"/>
        </w:rPr>
        <w:t>Variable descriptions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1769"/>
        <w:gridCol w:w="2612"/>
      </w:tblGrid>
      <w:tr w:rsidR="00A37AC5" w:rsidRPr="00A37AC5" w:rsidTr="00821439">
        <w:trPr>
          <w:trHeight w:val="300"/>
        </w:trPr>
        <w:tc>
          <w:tcPr>
            <w:tcW w:w="744" w:type="dxa"/>
            <w:shd w:val="clear" w:color="auto" w:fill="FFC000" w:themeFill="accent4"/>
            <w:noWrap/>
            <w:vAlign w:val="bottom"/>
            <w:hideMark/>
          </w:tcPr>
          <w:p w:rsidR="00961356" w:rsidRPr="00A37AC5" w:rsidRDefault="00961356" w:rsidP="00821439">
            <w:pPr>
              <w:rPr>
                <w:b/>
                <w:bCs/>
                <w:color w:val="000000" w:themeColor="text1"/>
                <w:sz w:val="22"/>
                <w:szCs w:val="22"/>
              </w:rPr>
            </w:pPr>
            <w:bookmarkStart w:id="3" w:name="_Hlk188036050"/>
            <w:r w:rsidRPr="00A37AC5">
              <w:rPr>
                <w:b/>
                <w:bCs/>
                <w:color w:val="000000" w:themeColor="text1"/>
                <w:sz w:val="22"/>
                <w:szCs w:val="22"/>
              </w:rPr>
              <w:t>Var</w:t>
            </w:r>
          </w:p>
        </w:tc>
        <w:tc>
          <w:tcPr>
            <w:tcW w:w="1769" w:type="dxa"/>
            <w:shd w:val="clear" w:color="auto" w:fill="FFC000" w:themeFill="accent4"/>
            <w:noWrap/>
            <w:vAlign w:val="bottom"/>
            <w:hideMark/>
          </w:tcPr>
          <w:p w:rsidR="00961356" w:rsidRPr="00A37AC5" w:rsidRDefault="00961356" w:rsidP="00821439">
            <w:pPr>
              <w:rPr>
                <w:b/>
                <w:bCs/>
                <w:color w:val="000000" w:themeColor="text1"/>
                <w:sz w:val="22"/>
                <w:szCs w:val="22"/>
              </w:rPr>
            </w:pPr>
            <w:r w:rsidRPr="00A37AC5">
              <w:rPr>
                <w:b/>
                <w:bCs/>
                <w:color w:val="000000" w:themeColor="text1"/>
                <w:sz w:val="22"/>
                <w:szCs w:val="22"/>
              </w:rPr>
              <w:t>Description</w:t>
            </w:r>
          </w:p>
        </w:tc>
        <w:tc>
          <w:tcPr>
            <w:tcW w:w="2612" w:type="dxa"/>
            <w:shd w:val="clear" w:color="auto" w:fill="FFC000" w:themeFill="accent4"/>
            <w:noWrap/>
            <w:vAlign w:val="bottom"/>
            <w:hideMark/>
          </w:tcPr>
          <w:p w:rsidR="00961356" w:rsidRPr="00A37AC5" w:rsidRDefault="00961356" w:rsidP="00821439">
            <w:pPr>
              <w:rPr>
                <w:b/>
                <w:bCs/>
                <w:color w:val="000000" w:themeColor="text1"/>
                <w:sz w:val="22"/>
                <w:szCs w:val="22"/>
              </w:rPr>
            </w:pPr>
            <w:r w:rsidRPr="00A37AC5">
              <w:rPr>
                <w:b/>
                <w:bCs/>
                <w:color w:val="000000" w:themeColor="text1"/>
                <w:sz w:val="22"/>
                <w:szCs w:val="22"/>
              </w:rPr>
              <w:t>Unit</w:t>
            </w:r>
          </w:p>
        </w:tc>
      </w:tr>
      <w:tr w:rsidR="00A37AC5" w:rsidRPr="00A37AC5" w:rsidTr="00821439">
        <w:trPr>
          <w:trHeight w:val="300"/>
        </w:trPr>
        <w:tc>
          <w:tcPr>
            <w:tcW w:w="744" w:type="dxa"/>
            <w:shd w:val="clear" w:color="auto" w:fill="auto"/>
            <w:noWrap/>
            <w:vAlign w:val="bottom"/>
          </w:tcPr>
          <w:p w:rsidR="00961356" w:rsidRPr="00A37AC5" w:rsidRDefault="00961356" w:rsidP="00821439">
            <w:pPr>
              <w:rPr>
                <w:color w:val="000000" w:themeColor="text1"/>
                <w:sz w:val="22"/>
                <w:szCs w:val="22"/>
              </w:rPr>
            </w:pPr>
            <w:r w:rsidRPr="00A37AC5">
              <w:rPr>
                <w:color w:val="000000" w:themeColor="text1"/>
                <w:sz w:val="22"/>
                <w:szCs w:val="22"/>
              </w:rPr>
              <w:t>C</w:t>
            </w:r>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Call option price</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Currency (e.g., USD)</w:t>
            </w:r>
          </w:p>
        </w:tc>
      </w:tr>
      <w:tr w:rsidR="00A37AC5" w:rsidRPr="00A37AC5" w:rsidTr="00821439">
        <w:trPr>
          <w:trHeight w:val="300"/>
        </w:trPr>
        <w:tc>
          <w:tcPr>
            <w:tcW w:w="744" w:type="dxa"/>
            <w:shd w:val="clear" w:color="auto" w:fill="auto"/>
            <w:noWrap/>
            <w:vAlign w:val="bottom"/>
          </w:tcPr>
          <w:p w:rsidR="00961356" w:rsidRPr="00A37AC5" w:rsidRDefault="00720859" w:rsidP="00821439">
            <w:pPr>
              <w:rPr>
                <w:color w:val="000000" w:themeColor="text1"/>
                <w:sz w:val="22"/>
                <w:szCs w:val="22"/>
              </w:rPr>
            </w:pPr>
            <m:oMathPara>
              <m:oMath>
                <m:sSub>
                  <m:sSubPr>
                    <m:ctrlPr>
                      <w:rPr>
                        <w:rFonts w:ascii="Cambria Math" w:eastAsiaTheme="minorHAnsi" w:hAnsi="Cambria Math"/>
                        <w:i/>
                        <w:color w:val="000000" w:themeColor="text1"/>
                        <w:kern w:val="2"/>
                        <w:sz w:val="24"/>
                        <w:szCs w:val="24"/>
                        <w14:ligatures w14:val="standardContextual"/>
                      </w:rPr>
                    </m:ctrlPr>
                  </m:sSubPr>
                  <m:e>
                    <m:r>
                      <w:rPr>
                        <w:rFonts w:ascii="Cambria Math" w:hAnsi="Cambria Math"/>
                        <w:color w:val="000000" w:themeColor="text1"/>
                      </w:rPr>
                      <m:t>S</m:t>
                    </m:r>
                  </m:e>
                  <m:sub>
                    <m:r>
                      <w:rPr>
                        <w:rFonts w:ascii="Cambria Math" w:hAnsi="Cambria Math"/>
                        <w:color w:val="000000" w:themeColor="text1"/>
                      </w:rPr>
                      <m:t>o</m:t>
                    </m:r>
                  </m:sub>
                </m:sSub>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Current value of the weather index</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Index value (e.g., °C, mm)</w:t>
            </w:r>
          </w:p>
        </w:tc>
      </w:tr>
      <w:tr w:rsidR="00A37AC5" w:rsidRPr="00A37AC5" w:rsidTr="00821439">
        <w:trPr>
          <w:trHeight w:val="300"/>
        </w:trPr>
        <w:tc>
          <w:tcPr>
            <w:tcW w:w="744" w:type="dxa"/>
            <w:shd w:val="clear" w:color="auto" w:fill="auto"/>
            <w:noWrap/>
            <w:vAlign w:val="bottom"/>
          </w:tcPr>
          <w:p w:rsidR="00961356" w:rsidRPr="00A37AC5" w:rsidRDefault="00961356" w:rsidP="00821439">
            <w:pPr>
              <w:rPr>
                <w:color w:val="000000" w:themeColor="text1"/>
                <w:sz w:val="22"/>
                <w:szCs w:val="22"/>
              </w:rPr>
            </w:pPr>
          </w:p>
          <w:p w:rsidR="00961356" w:rsidRPr="00A37AC5" w:rsidRDefault="00961356" w:rsidP="00821439">
            <w:pPr>
              <w:rPr>
                <w:color w:val="000000" w:themeColor="text1"/>
                <w:sz w:val="22"/>
                <w:szCs w:val="22"/>
              </w:rPr>
            </w:pPr>
            <m:oMathPara>
              <m:oMath>
                <m:r>
                  <w:rPr>
                    <w:rFonts w:ascii="Cambria Math" w:hAnsi="Cambria Math"/>
                    <w:color w:val="000000" w:themeColor="text1"/>
                  </w:rPr>
                  <m:t>K</m:t>
                </m:r>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Strike price (e.g., reference index level)</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Index value (e.g., °C, mm)</w:t>
            </w:r>
          </w:p>
        </w:tc>
      </w:tr>
      <w:tr w:rsidR="00A37AC5" w:rsidRPr="00A37AC5" w:rsidTr="00821439">
        <w:trPr>
          <w:trHeight w:val="300"/>
        </w:trPr>
        <w:tc>
          <w:tcPr>
            <w:tcW w:w="744" w:type="dxa"/>
            <w:shd w:val="clear" w:color="auto" w:fill="auto"/>
            <w:noWrap/>
            <w:vAlign w:val="bottom"/>
          </w:tcPr>
          <w:p w:rsidR="00961356" w:rsidRPr="00A37AC5" w:rsidRDefault="00961356" w:rsidP="00821439">
            <w:pPr>
              <w:rPr>
                <w:color w:val="000000" w:themeColor="text1"/>
                <w:sz w:val="22"/>
                <w:szCs w:val="22"/>
              </w:rPr>
            </w:pPr>
            <m:oMathPara>
              <m:oMath>
                <m:r>
                  <w:rPr>
                    <w:rFonts w:ascii="Cambria Math" w:hAnsi="Cambria Math"/>
                    <w:color w:val="000000" w:themeColor="text1"/>
                  </w:rPr>
                  <m:t>r</m:t>
                </m:r>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Risk-free interest rate</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Percentage (%) or decimal</w:t>
            </w:r>
          </w:p>
        </w:tc>
      </w:tr>
      <w:tr w:rsidR="00A37AC5" w:rsidRPr="00A37AC5" w:rsidTr="00821439">
        <w:trPr>
          <w:trHeight w:val="300"/>
        </w:trPr>
        <w:tc>
          <w:tcPr>
            <w:tcW w:w="744" w:type="dxa"/>
            <w:shd w:val="clear" w:color="auto" w:fill="auto"/>
            <w:noWrap/>
            <w:vAlign w:val="bottom"/>
          </w:tcPr>
          <w:p w:rsidR="00961356" w:rsidRPr="00A37AC5" w:rsidRDefault="00961356" w:rsidP="00821439">
            <w:pPr>
              <w:rPr>
                <w:color w:val="000000" w:themeColor="text1"/>
                <w:sz w:val="22"/>
                <w:szCs w:val="22"/>
              </w:rPr>
            </w:pPr>
            <m:oMathPara>
              <m:oMath>
                <m:r>
                  <w:rPr>
                    <w:rFonts w:ascii="Cambria Math" w:hAnsi="Cambria Math"/>
                    <w:color w:val="000000" w:themeColor="text1"/>
                  </w:rPr>
                  <m:t>T</m:t>
                </m:r>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Time to maturity</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Years</w:t>
            </w:r>
          </w:p>
        </w:tc>
      </w:tr>
      <w:tr w:rsidR="00A37AC5" w:rsidRPr="00A37AC5" w:rsidTr="00821439">
        <w:trPr>
          <w:trHeight w:val="300"/>
        </w:trPr>
        <w:tc>
          <w:tcPr>
            <w:tcW w:w="744" w:type="dxa"/>
            <w:shd w:val="clear" w:color="auto" w:fill="auto"/>
            <w:noWrap/>
            <w:vAlign w:val="bottom"/>
          </w:tcPr>
          <w:p w:rsidR="00961356" w:rsidRPr="00A37AC5" w:rsidRDefault="00961356" w:rsidP="00821439">
            <w:pPr>
              <w:rPr>
                <w:color w:val="000000" w:themeColor="text1"/>
                <w:sz w:val="22"/>
                <w:szCs w:val="22"/>
              </w:rPr>
            </w:pPr>
            <m:oMathPara>
              <m:oMath>
                <m:r>
                  <w:rPr>
                    <w:rFonts w:ascii="Cambria Math" w:hAnsi="Cambria Math"/>
                    <w:color w:val="000000" w:themeColor="text1"/>
                  </w:rPr>
                  <m:t>σ</m:t>
                </m:r>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Volatility of the weather index</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Decimal (e.g., 0.2 for 20%)</w:t>
            </w:r>
          </w:p>
        </w:tc>
      </w:tr>
      <w:tr w:rsidR="00A37AC5" w:rsidRPr="00A37AC5" w:rsidTr="00821439">
        <w:trPr>
          <w:trHeight w:val="300"/>
        </w:trPr>
        <w:tc>
          <w:tcPr>
            <w:tcW w:w="744" w:type="dxa"/>
            <w:shd w:val="clear" w:color="auto" w:fill="auto"/>
            <w:noWrap/>
            <w:vAlign w:val="bottom"/>
          </w:tcPr>
          <w:p w:rsidR="00961356" w:rsidRPr="00A37AC5" w:rsidRDefault="00961356" w:rsidP="00821439">
            <w:pPr>
              <w:rPr>
                <w:color w:val="000000" w:themeColor="text1"/>
                <w:sz w:val="22"/>
                <w:szCs w:val="22"/>
              </w:rPr>
            </w:pPr>
            <m:oMathPara>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d</m:t>
                    </m:r>
                  </m:e>
                </m:d>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Cumulative standard normal distribution</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 xml:space="preserve">Unitless </w:t>
            </w:r>
          </w:p>
        </w:tc>
      </w:tr>
      <w:tr w:rsidR="00A37AC5" w:rsidRPr="00A37AC5" w:rsidTr="00821439">
        <w:trPr>
          <w:trHeight w:val="300"/>
        </w:trPr>
        <w:tc>
          <w:tcPr>
            <w:tcW w:w="744" w:type="dxa"/>
            <w:shd w:val="clear" w:color="auto" w:fill="auto"/>
            <w:noWrap/>
            <w:vAlign w:val="bottom"/>
          </w:tcPr>
          <w:p w:rsidR="00961356" w:rsidRPr="00A37AC5" w:rsidRDefault="00720859" w:rsidP="00821439">
            <w:pPr>
              <w:rPr>
                <w:color w:val="000000" w:themeColor="text1"/>
                <w:sz w:val="22"/>
                <w:szCs w:val="22"/>
              </w:rPr>
            </w:pPr>
            <m:oMathPara>
              <m:oMath>
                <m:sSub>
                  <m:sSubPr>
                    <m:ctrlPr>
                      <w:rPr>
                        <w:rFonts w:ascii="Cambria Math" w:eastAsiaTheme="minorHAnsi" w:hAnsi="Cambria Math"/>
                        <w:i/>
                        <w:color w:val="000000" w:themeColor="text1"/>
                        <w:kern w:val="2"/>
                        <w:sz w:val="24"/>
                        <w:szCs w:val="24"/>
                        <w14:ligatures w14:val="standardContextual"/>
                      </w:rPr>
                    </m:ctrlPr>
                  </m:sSubPr>
                  <m:e>
                    <m:r>
                      <w:rPr>
                        <w:rFonts w:ascii="Cambria Math" w:hAnsi="Cambria Math"/>
                        <w:color w:val="000000" w:themeColor="text1"/>
                      </w:rPr>
                      <m:t>S</m:t>
                    </m:r>
                  </m:e>
                  <m:sub>
                    <m:r>
                      <w:rPr>
                        <w:rFonts w:ascii="Cambria Math" w:hAnsi="Cambria Math"/>
                        <w:color w:val="000000" w:themeColor="text1"/>
                      </w:rPr>
                      <m:t>T</m:t>
                    </m:r>
                  </m:sub>
                </m:sSub>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Simulated value of the weather index</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Index value (e.g., °C, mm)</w:t>
            </w:r>
          </w:p>
        </w:tc>
      </w:tr>
      <w:tr w:rsidR="00A37AC5" w:rsidRPr="00A37AC5" w:rsidTr="00821439">
        <w:trPr>
          <w:trHeight w:val="300"/>
        </w:trPr>
        <w:tc>
          <w:tcPr>
            <w:tcW w:w="744" w:type="dxa"/>
            <w:shd w:val="clear" w:color="auto" w:fill="auto"/>
            <w:noWrap/>
            <w:vAlign w:val="bottom"/>
          </w:tcPr>
          <w:p w:rsidR="00961356" w:rsidRPr="00A37AC5" w:rsidRDefault="00961356" w:rsidP="00821439">
            <w:pPr>
              <w:rPr>
                <w:color w:val="000000" w:themeColor="text1"/>
                <w:sz w:val="22"/>
                <w:szCs w:val="22"/>
              </w:rPr>
            </w:pPr>
            <m:oMathPara>
              <m:oMath>
                <m:r>
                  <w:rPr>
                    <w:rFonts w:ascii="Cambria Math" w:hAnsi="Cambria Math"/>
                    <w:color w:val="000000" w:themeColor="text1"/>
                  </w:rPr>
                  <m:t>Z</m:t>
                </m:r>
              </m:oMath>
            </m:oMathPara>
          </w:p>
        </w:tc>
        <w:tc>
          <w:tcPr>
            <w:tcW w:w="1769"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Random variable from standard normal distribution</w:t>
            </w:r>
          </w:p>
        </w:tc>
        <w:tc>
          <w:tcPr>
            <w:tcW w:w="2612" w:type="dxa"/>
            <w:shd w:val="clear" w:color="auto" w:fill="auto"/>
            <w:noWrap/>
            <w:vAlign w:val="bottom"/>
            <w:hideMark/>
          </w:tcPr>
          <w:p w:rsidR="00961356" w:rsidRPr="00A37AC5" w:rsidRDefault="00961356" w:rsidP="00821439">
            <w:pPr>
              <w:rPr>
                <w:color w:val="000000" w:themeColor="text1"/>
                <w:sz w:val="22"/>
                <w:szCs w:val="22"/>
              </w:rPr>
            </w:pPr>
            <w:r w:rsidRPr="00A37AC5">
              <w:rPr>
                <w:color w:val="000000" w:themeColor="text1"/>
                <w:sz w:val="22"/>
                <w:szCs w:val="22"/>
              </w:rPr>
              <w:t>Unitless</w:t>
            </w:r>
          </w:p>
        </w:tc>
      </w:tr>
      <w:tr w:rsidR="00A37AC5" w:rsidRPr="00A37AC5" w:rsidTr="00821439">
        <w:trPr>
          <w:trHeight w:val="300"/>
        </w:trPr>
        <w:tc>
          <w:tcPr>
            <w:tcW w:w="744" w:type="dxa"/>
            <w:shd w:val="clear" w:color="auto" w:fill="auto"/>
            <w:noWrap/>
            <w:vAlign w:val="bottom"/>
          </w:tcPr>
          <w:p w:rsidR="00961356" w:rsidRPr="00A37AC5" w:rsidRDefault="00720859" w:rsidP="00821439">
            <w:pPr>
              <w:rPr>
                <w:color w:val="000000" w:themeColor="text1"/>
              </w:rPr>
            </w:pPr>
            <m:oMathPara>
              <m:oMath>
                <m:sSub>
                  <m:sSubPr>
                    <m:ctrlPr>
                      <w:rPr>
                        <w:rFonts w:ascii="Cambria Math" w:eastAsiaTheme="minorHAnsi" w:hAnsi="Cambria Math"/>
                        <w:i/>
                        <w:color w:val="000000" w:themeColor="text1"/>
                        <w:kern w:val="2"/>
                        <w:sz w:val="24"/>
                        <w:szCs w:val="24"/>
                        <w14:ligatures w14:val="standardContextual"/>
                      </w:rPr>
                    </m:ctrlPr>
                  </m:sSubPr>
                  <m:e>
                    <m:r>
                      <w:rPr>
                        <w:rFonts w:ascii="Cambria Math" w:hAnsi="Cambria Math"/>
                        <w:color w:val="000000" w:themeColor="text1"/>
                      </w:rPr>
                      <m:t>Z</m:t>
                    </m:r>
                  </m:e>
                  <m:sub>
                    <m:r>
                      <w:rPr>
                        <w:rFonts w:ascii="Cambria Math" w:hAnsi="Cambria Math"/>
                        <w:color w:val="000000" w:themeColor="text1"/>
                      </w:rPr>
                      <m:t>α</m:t>
                    </m:r>
                  </m:sub>
                </m:sSub>
              </m:oMath>
            </m:oMathPara>
          </w:p>
        </w:tc>
        <w:tc>
          <w:tcPr>
            <w:tcW w:w="1769" w:type="dxa"/>
            <w:shd w:val="clear" w:color="auto" w:fill="auto"/>
            <w:noWrap/>
            <w:vAlign w:val="bottom"/>
          </w:tcPr>
          <w:p w:rsidR="00961356" w:rsidRPr="00A37AC5" w:rsidRDefault="00961356" w:rsidP="00821439">
            <w:pPr>
              <w:rPr>
                <w:color w:val="000000" w:themeColor="text1"/>
                <w:sz w:val="22"/>
                <w:szCs w:val="22"/>
              </w:rPr>
            </w:pPr>
            <w:r w:rsidRPr="00A37AC5">
              <w:rPr>
                <w:color w:val="000000" w:themeColor="text1"/>
                <w:sz w:val="22"/>
                <w:szCs w:val="22"/>
              </w:rPr>
              <w:t>Expected portfolio return</w:t>
            </w:r>
          </w:p>
        </w:tc>
        <w:tc>
          <w:tcPr>
            <w:tcW w:w="2612" w:type="dxa"/>
            <w:shd w:val="clear" w:color="auto" w:fill="auto"/>
            <w:noWrap/>
            <w:vAlign w:val="bottom"/>
          </w:tcPr>
          <w:p w:rsidR="00961356" w:rsidRPr="00A37AC5" w:rsidRDefault="00961356" w:rsidP="00821439">
            <w:pPr>
              <w:rPr>
                <w:color w:val="000000" w:themeColor="text1"/>
                <w:sz w:val="22"/>
                <w:szCs w:val="22"/>
              </w:rPr>
            </w:pPr>
            <w:r w:rsidRPr="00A37AC5">
              <w:rPr>
                <w:color w:val="000000" w:themeColor="text1"/>
                <w:sz w:val="22"/>
                <w:szCs w:val="22"/>
              </w:rPr>
              <w:t>Percentage (%) or decimal</w:t>
            </w:r>
          </w:p>
        </w:tc>
      </w:tr>
    </w:tbl>
    <w:bookmarkEnd w:id="3"/>
    <w:p w:rsidR="008A55B5" w:rsidRPr="00A37AC5" w:rsidRDefault="00961356" w:rsidP="00961356">
      <w:pPr>
        <w:pStyle w:val="figurecaption"/>
        <w:numPr>
          <w:ilvl w:val="0"/>
          <w:numId w:val="0"/>
        </w:numPr>
        <w:rPr>
          <w:rFonts w:eastAsia="MS Mincho"/>
          <w:color w:val="000000" w:themeColor="text1"/>
        </w:rPr>
      </w:pPr>
      <w:r w:rsidRPr="00A37AC5">
        <w:rPr>
          <w:rFonts w:eastAsia="MS Mincho"/>
          <w:color w:val="000000" w:themeColor="text1"/>
        </w:rPr>
        <w:t>Table 1:Variable descriptions</w:t>
      </w:r>
    </w:p>
    <w:p w:rsidR="00961356" w:rsidRPr="00A37AC5" w:rsidRDefault="00961356">
      <w:pPr>
        <w:pStyle w:val="Heading5"/>
        <w:rPr>
          <w:rFonts w:eastAsia="MS Mincho"/>
          <w:color w:val="000000" w:themeColor="text1"/>
        </w:rPr>
      </w:pPr>
    </w:p>
    <w:p w:rsidR="00961356" w:rsidRPr="00A37AC5" w:rsidRDefault="00961356">
      <w:pPr>
        <w:pStyle w:val="Heading5"/>
        <w:rPr>
          <w:rFonts w:eastAsia="MS Mincho"/>
          <w:color w:val="000000" w:themeColor="text1"/>
        </w:rPr>
      </w:pPr>
    </w:p>
    <w:p w:rsidR="00961356" w:rsidRPr="00A37AC5" w:rsidRDefault="00961356">
      <w:pPr>
        <w:pStyle w:val="Heading5"/>
        <w:rPr>
          <w:rFonts w:eastAsia="MS Mincho"/>
          <w:color w:val="000000" w:themeColor="text1"/>
        </w:rPr>
      </w:pPr>
    </w:p>
    <w:p w:rsidR="00961356" w:rsidRPr="00A37AC5" w:rsidRDefault="00961356">
      <w:pPr>
        <w:pStyle w:val="Heading5"/>
        <w:rPr>
          <w:rFonts w:eastAsia="MS Mincho"/>
          <w:color w:val="000000" w:themeColor="text1"/>
        </w:rPr>
      </w:pPr>
    </w:p>
    <w:p w:rsidR="00961356" w:rsidRPr="00A37AC5" w:rsidRDefault="00961356">
      <w:pPr>
        <w:pStyle w:val="Heading5"/>
        <w:rPr>
          <w:rFonts w:eastAsia="MS Mincho"/>
          <w:color w:val="000000" w:themeColor="text1"/>
        </w:rPr>
      </w:pPr>
    </w:p>
    <w:p w:rsidR="00961356" w:rsidRPr="00A37AC5" w:rsidRDefault="00961356">
      <w:pPr>
        <w:pStyle w:val="Heading5"/>
        <w:rPr>
          <w:rFonts w:eastAsia="MS Mincho"/>
          <w:color w:val="000000" w:themeColor="text1"/>
        </w:rPr>
      </w:pPr>
    </w:p>
    <w:p w:rsidR="000A74DF" w:rsidRPr="00A37AC5" w:rsidRDefault="00790C31" w:rsidP="000A74DF">
      <w:pPr>
        <w:pStyle w:val="Heading5"/>
        <w:jc w:val="both"/>
        <w:rPr>
          <w:rFonts w:eastAsia="MS Mincho"/>
          <w:b/>
          <w:bCs/>
          <w:color w:val="000000" w:themeColor="text1"/>
        </w:rPr>
      </w:pPr>
      <w:r w:rsidRPr="00A37AC5">
        <w:rPr>
          <w:rFonts w:eastAsia="MS Mincho"/>
          <w:b/>
          <w:bCs/>
          <w:color w:val="000000" w:themeColor="text1"/>
        </w:rPr>
        <w:t xml:space="preserve">IV </w:t>
      </w:r>
      <w:r w:rsidR="00C109C2" w:rsidRPr="00A37AC5">
        <w:rPr>
          <w:rFonts w:eastAsia="MS Mincho"/>
          <w:b/>
          <w:bCs/>
          <w:color w:val="000000" w:themeColor="text1"/>
        </w:rPr>
        <w:t>RESULTS</w:t>
      </w:r>
      <w:r w:rsidR="008A55B5" w:rsidRPr="00A37AC5">
        <w:rPr>
          <w:rFonts w:eastAsia="MS Mincho"/>
          <w:b/>
          <w:bCs/>
          <w:color w:val="000000" w:themeColor="text1"/>
        </w:rPr>
        <w:t xml:space="preserve"> </w:t>
      </w:r>
      <w:r w:rsidR="00C109C2" w:rsidRPr="00A37AC5">
        <w:rPr>
          <w:rFonts w:eastAsia="MS Mincho"/>
          <w:b/>
          <w:bCs/>
          <w:color w:val="000000" w:themeColor="text1"/>
        </w:rPr>
        <w:t xml:space="preserve"> </w:t>
      </w:r>
    </w:p>
    <w:p w:rsidR="000A74DF" w:rsidRPr="00A37AC5" w:rsidRDefault="000A74DF" w:rsidP="000A74DF">
      <w:pPr>
        <w:spacing w:after="160" w:line="278" w:lineRule="auto"/>
        <w:jc w:val="both"/>
        <w:rPr>
          <w:color w:val="000000" w:themeColor="text1"/>
        </w:rPr>
      </w:pPr>
      <w:r w:rsidRPr="00A37AC5">
        <w:rPr>
          <w:color w:val="000000" w:themeColor="text1"/>
        </w:rPr>
        <w:t>Weather options and catastrophe bonds were both priced using the Black-Scholes model. This study established that option prices rise as the weather index volatility rises while catastrophe bond premiums rise under high risk climate conditions.</w:t>
      </w:r>
    </w:p>
    <w:p w:rsidR="000A74DF" w:rsidRPr="00A37AC5" w:rsidRDefault="000A74DF" w:rsidP="000A74DF">
      <w:pPr>
        <w:spacing w:after="160" w:line="278" w:lineRule="auto"/>
        <w:jc w:val="both"/>
        <w:rPr>
          <w:color w:val="000000" w:themeColor="text1"/>
        </w:rPr>
      </w:pPr>
      <w:r w:rsidRPr="00A37AC5">
        <w:rPr>
          <w:color w:val="000000" w:themeColor="text1"/>
        </w:rPr>
        <w:t>In the benchmark portfolio, 10% exposure to climate derivatives replaced traditional hedging products and cut the total risk by 15%. As an example, in high risk situations such as 2°C temperature rise, it was determined that these asset portfolios deliver 20% superior risk-adjusted performance.</w:t>
      </w:r>
    </w:p>
    <w:p w:rsidR="000A74DF" w:rsidRPr="00A37AC5" w:rsidRDefault="000A74DF" w:rsidP="000A74DF">
      <w:pPr>
        <w:spacing w:after="160" w:line="278" w:lineRule="auto"/>
        <w:jc w:val="both"/>
        <w:rPr>
          <w:color w:val="000000" w:themeColor="text1"/>
        </w:rPr>
      </w:pPr>
      <w:r w:rsidRPr="00A37AC5">
        <w:rPr>
          <w:color w:val="000000" w:themeColor="text1"/>
        </w:rPr>
        <w:t>Three climate risk scenarios showed that higher volatility scenarios delivered higher costs and payouts for derivatives, helpful for portfolio hedging, but that careful man</w:t>
      </w:r>
      <w:r w:rsidRPr="00A37AC5">
        <w:rPr>
          <w:color w:val="000000" w:themeColor="text1"/>
        </w:rPr>
        <w:t>agement of premiums was needed.</w:t>
      </w:r>
    </w:p>
    <w:p w:rsidR="000A74DF" w:rsidRPr="00A37AC5" w:rsidRDefault="000A74DF" w:rsidP="000A74DF">
      <w:pPr>
        <w:spacing w:after="160" w:line="278" w:lineRule="auto"/>
        <w:jc w:val="both"/>
        <w:rPr>
          <w:color w:val="000000" w:themeColor="text1"/>
        </w:rPr>
      </w:pPr>
      <w:r w:rsidRPr="00A37AC5">
        <w:rPr>
          <w:color w:val="000000" w:themeColor="text1"/>
        </w:rPr>
        <w:t>Restrictions were high charges for small-scale investment and little recognition, hence the necessity for appropriate legal requirements and knowledge.</w:t>
      </w:r>
    </w:p>
    <w:p w:rsidR="000A74DF" w:rsidRPr="00A37AC5" w:rsidRDefault="000A74DF" w:rsidP="00C109C2">
      <w:pPr>
        <w:spacing w:after="160" w:line="278" w:lineRule="auto"/>
        <w:jc w:val="both"/>
        <w:rPr>
          <w:color w:val="000000" w:themeColor="text1"/>
        </w:rPr>
      </w:pPr>
    </w:p>
    <w:p w:rsidR="000A74DF" w:rsidRPr="00A37AC5" w:rsidRDefault="00790C31" w:rsidP="00C109C2">
      <w:pPr>
        <w:spacing w:after="160" w:line="278" w:lineRule="auto"/>
        <w:jc w:val="both"/>
        <w:rPr>
          <w:b/>
          <w:bCs/>
          <w:color w:val="000000" w:themeColor="text1"/>
        </w:rPr>
      </w:pPr>
      <w:r w:rsidRPr="00A37AC5">
        <w:rPr>
          <w:b/>
          <w:bCs/>
          <w:color w:val="000000" w:themeColor="text1"/>
        </w:rPr>
        <w:t>V. DISCUSSION</w:t>
      </w:r>
    </w:p>
    <w:p w:rsidR="000A74DF" w:rsidRPr="00A37AC5" w:rsidRDefault="000A74DF" w:rsidP="000A74DF">
      <w:pPr>
        <w:spacing w:after="160" w:line="278" w:lineRule="auto"/>
        <w:jc w:val="both"/>
        <w:rPr>
          <w:color w:val="000000" w:themeColor="text1"/>
        </w:rPr>
      </w:pPr>
      <w:r w:rsidRPr="00A37AC5">
        <w:rPr>
          <w:color w:val="000000" w:themeColor="text1"/>
        </w:rPr>
        <w:t>From the results of the analysis of climate derivatives for risk management of investment portfolios, we identify crucial factors and application perspectives.</w:t>
      </w:r>
    </w:p>
    <w:p w:rsidR="000A74DF" w:rsidRPr="00A37AC5" w:rsidRDefault="000A74DF" w:rsidP="00C109C2">
      <w:pPr>
        <w:spacing w:after="160" w:line="278" w:lineRule="auto"/>
        <w:jc w:val="both"/>
        <w:rPr>
          <w:color w:val="000000" w:themeColor="text1"/>
        </w:rPr>
      </w:pPr>
      <w:r w:rsidRPr="00A37AC5">
        <w:rPr>
          <w:color w:val="000000" w:themeColor="text1"/>
        </w:rPr>
        <w:t xml:space="preserve">The simulations showed that the incorporation of climate derivatives further improves the ability of investment portfolios to prevent adverse climate impact. The reduction of 15% in portfolio variance and the increase of risk-adjusted returns by 20% on the </w:t>
      </w:r>
      <w:proofErr w:type="gramStart"/>
      <w:r w:rsidRPr="00A37AC5">
        <w:rPr>
          <w:color w:val="000000" w:themeColor="text1"/>
        </w:rPr>
        <w:t>high risk</w:t>
      </w:r>
      <w:proofErr w:type="gramEnd"/>
      <w:r w:rsidRPr="00A37AC5">
        <w:rPr>
          <w:color w:val="000000" w:themeColor="text1"/>
        </w:rPr>
        <w:t xml:space="preserve"> scenarios show that those instruments have the ability to stabilize the portfolio during the volatile climate conditions. This fact confirms the hypothesis concerning the ability of climate derivatives that include weather options and catastrophe bonds to act as efficient means to hedge climate-related fiscal fluctuations that have been broadly studied in recent research on the role of public derivatives within the context of climate risks (Jewson &amp; Brix, 2005; </w:t>
      </w:r>
      <w:proofErr w:type="spellStart"/>
      <w:r w:rsidRPr="00A37AC5">
        <w:rPr>
          <w:color w:val="000000" w:themeColor="text1"/>
        </w:rPr>
        <w:t>Benth</w:t>
      </w:r>
      <w:proofErr w:type="spellEnd"/>
      <w:r w:rsidRPr="00A37AC5">
        <w:rPr>
          <w:color w:val="000000" w:themeColor="text1"/>
        </w:rPr>
        <w:t xml:space="preserve"> et al., 2008).</w:t>
      </w:r>
    </w:p>
    <w:p w:rsidR="000A74DF" w:rsidRPr="00A37AC5" w:rsidRDefault="000A74DF" w:rsidP="00C109C2">
      <w:pPr>
        <w:spacing w:after="160" w:line="278" w:lineRule="auto"/>
        <w:jc w:val="both"/>
        <w:rPr>
          <w:color w:val="000000" w:themeColor="text1"/>
        </w:rPr>
      </w:pPr>
    </w:p>
    <w:p w:rsidR="000A74DF" w:rsidRPr="00A37AC5" w:rsidRDefault="000A74DF" w:rsidP="000A74DF">
      <w:pPr>
        <w:spacing w:after="160" w:line="278" w:lineRule="auto"/>
        <w:jc w:val="both"/>
        <w:rPr>
          <w:color w:val="000000" w:themeColor="text1"/>
        </w:rPr>
      </w:pPr>
      <w:r w:rsidRPr="00A37AC5">
        <w:rPr>
          <w:color w:val="000000" w:themeColor="text1"/>
        </w:rPr>
        <w:t xml:space="preserve">The analysis of weather options elicited that premiums are highly sensitive to the variability of climatic parameters. In particular, premiums rise in the situations characterized by higher volatility, for example, under global warming. This concurs with the study done by </w:t>
      </w:r>
      <w:proofErr w:type="spellStart"/>
      <w:r w:rsidRPr="00A37AC5">
        <w:rPr>
          <w:color w:val="000000" w:themeColor="text1"/>
        </w:rPr>
        <w:t>Benth</w:t>
      </w:r>
      <w:proofErr w:type="spellEnd"/>
      <w:r w:rsidRPr="00A37AC5">
        <w:rPr>
          <w:color w:val="000000" w:themeColor="text1"/>
        </w:rPr>
        <w:t xml:space="preserve"> et al (2008) who admitted that the costs of climate derivatives rise with the level of risk which the underlying derivative reflects. For institutional </w:t>
      </w:r>
      <w:r w:rsidRPr="00A37AC5">
        <w:rPr>
          <w:color w:val="000000" w:themeColor="text1"/>
        </w:rPr>
        <w:lastRenderedPageBreak/>
        <w:t>investors, this entails the understanding that, with climate derivatives offering such hedging benefit, the cost of them has to be reflected in the portfolio.</w:t>
      </w:r>
    </w:p>
    <w:p w:rsidR="000A74DF" w:rsidRPr="00A37AC5" w:rsidRDefault="000A74DF" w:rsidP="000A74DF">
      <w:pPr>
        <w:spacing w:after="160" w:line="278" w:lineRule="auto"/>
        <w:jc w:val="both"/>
        <w:rPr>
          <w:color w:val="000000" w:themeColor="text1"/>
        </w:rPr>
      </w:pPr>
      <w:r w:rsidRPr="00A37AC5">
        <w:rPr>
          <w:color w:val="000000" w:themeColor="text1"/>
        </w:rPr>
        <w:t>However, there are challenges to the use of climate derivatives even with the obvious advantages. High premiums and low awareness levels among the investors from emerging markets are also real threats. The implication of the result is that while Large institutional investors in developed markets are embracing these tools small investors in Emerging markets are locked out by complexity and high cost (Yu Lina, 2023). The identified factors in this research underline the importance of combating these barriers through regulation that would make climate derivatives affordable and viable in larger capacities.</w:t>
      </w:r>
    </w:p>
    <w:p w:rsidR="000A74DF" w:rsidRPr="00A37AC5" w:rsidRDefault="000A74DF" w:rsidP="00C109C2">
      <w:pPr>
        <w:spacing w:after="160" w:line="278" w:lineRule="auto"/>
        <w:jc w:val="both"/>
        <w:rPr>
          <w:color w:val="000000" w:themeColor="text1"/>
        </w:rPr>
      </w:pPr>
    </w:p>
    <w:p w:rsidR="000A74DF" w:rsidRPr="00A37AC5" w:rsidRDefault="000A74DF" w:rsidP="000A74DF">
      <w:pPr>
        <w:spacing w:after="160" w:line="278" w:lineRule="auto"/>
        <w:jc w:val="both"/>
        <w:rPr>
          <w:color w:val="000000" w:themeColor="text1"/>
        </w:rPr>
      </w:pPr>
      <w:r w:rsidRPr="00A37AC5">
        <w:rPr>
          <w:color w:val="000000" w:themeColor="text1"/>
        </w:rPr>
        <w:t xml:space="preserve">There are also regulatory issues when climate derivatives are included as an element of investment management. Our work also revealed that although the tools are useful in addressing these risks the absence of standard and regulatory frameworks across different markets is a major </w:t>
      </w:r>
      <w:proofErr w:type="spellStart"/>
      <w:r w:rsidRPr="00A37AC5">
        <w:rPr>
          <w:color w:val="000000" w:themeColor="text1"/>
        </w:rPr>
        <w:t>set back</w:t>
      </w:r>
      <w:proofErr w:type="spellEnd"/>
      <w:r w:rsidRPr="00A37AC5">
        <w:rPr>
          <w:color w:val="000000" w:themeColor="text1"/>
        </w:rPr>
        <w:t xml:space="preserve"> to their utilization. This is in line with the recommendation made by Ceres (2024) and the Task Force on Climate-Related Financial Disclosures (2024) that asked for stronger regulations that would encourage reduction of climate risks through use of financial products. Moreover, the findings indicated that increased educational awareness and clearer frameworks could assist with increasing utilization of these instruments.</w:t>
      </w:r>
    </w:p>
    <w:p w:rsidR="000A74DF" w:rsidRPr="00A37AC5" w:rsidRDefault="000A74DF" w:rsidP="000A74DF">
      <w:pPr>
        <w:spacing w:after="160" w:line="278" w:lineRule="auto"/>
        <w:jc w:val="both"/>
        <w:rPr>
          <w:color w:val="000000" w:themeColor="text1"/>
        </w:rPr>
      </w:pPr>
      <w:r w:rsidRPr="00A37AC5">
        <w:rPr>
          <w:color w:val="000000" w:themeColor="text1"/>
        </w:rPr>
        <w:t>As such, this research fills the gaps found in the literature, especially the shortage of long-term, regional climate derivatives. Different work has concentrated on short-term weather derivatives (Jewson &amp; Brix, 2005); here, we argue for products that may embrace more fundamental, long-term climate risks like sea-level rise and long-lasting droughts. The theoretical contribution of this paper to the topic of climate derivatives therefore lies in the presented framework of how these products should be developed and priced or implemented into the institutional risk management system.</w:t>
      </w:r>
    </w:p>
    <w:p w:rsidR="00C109C2" w:rsidRPr="00A37AC5" w:rsidRDefault="00C109C2" w:rsidP="00EE4362">
      <w:pPr>
        <w:rPr>
          <w:color w:val="000000" w:themeColor="text1"/>
        </w:rPr>
      </w:pPr>
    </w:p>
    <w:p w:rsidR="00790C31" w:rsidRPr="00A37AC5" w:rsidRDefault="00790C31" w:rsidP="00790C31">
      <w:pPr>
        <w:jc w:val="both"/>
        <w:rPr>
          <w:b/>
          <w:bCs/>
          <w:color w:val="000000" w:themeColor="text1"/>
        </w:rPr>
      </w:pPr>
      <w:r w:rsidRPr="00A37AC5">
        <w:rPr>
          <w:b/>
          <w:bCs/>
          <w:color w:val="000000" w:themeColor="text1"/>
        </w:rPr>
        <w:t>VI CONCLUSION</w:t>
      </w:r>
    </w:p>
    <w:p w:rsidR="000A74DF" w:rsidRPr="00A37AC5" w:rsidRDefault="000A74DF" w:rsidP="000A74DF">
      <w:pPr>
        <w:jc w:val="both"/>
        <w:rPr>
          <w:color w:val="000000" w:themeColor="text1"/>
        </w:rPr>
      </w:pPr>
      <w:r w:rsidRPr="00A37AC5">
        <w:rPr>
          <w:color w:val="000000" w:themeColor="text1"/>
        </w:rPr>
        <w:t>This paper establishes that tools like weather options and catastrophe bonds, which form a type of climate derivative, are useful in the mitigation of climate risk impact to investment portfolios. A similar balance of risk reduction by 15 per cent and risk-adjusted return by 20 per cent is achieved for high risk climate scenarios when using climate derivatives. Using sensitivity analysis, it is found that cost projections for derivatives are highly sensitive to discrete climate fluctuations with higher volatility levels attracting premiums.</w:t>
      </w:r>
    </w:p>
    <w:p w:rsidR="000A74DF" w:rsidRPr="00A37AC5" w:rsidRDefault="000A74DF" w:rsidP="000A74DF">
      <w:pPr>
        <w:jc w:val="both"/>
        <w:rPr>
          <w:color w:val="000000" w:themeColor="text1"/>
        </w:rPr>
      </w:pPr>
      <w:r w:rsidRPr="00A37AC5">
        <w:rPr>
          <w:color w:val="000000" w:themeColor="text1"/>
        </w:rPr>
        <w:t>Nonetheless, the research also supplies relevant information on key challenges which hinder the wider implementation of such instruments about high premiums, low levels of awareness and lack of standard setting protocols especially in the emerging markets. They show that there is now a demand for basic, cheap climate derivatives and better standardized rules for their application.</w:t>
      </w:r>
    </w:p>
    <w:p w:rsidR="00790C31" w:rsidRPr="00A37AC5" w:rsidRDefault="000A74DF" w:rsidP="000A74DF">
      <w:pPr>
        <w:jc w:val="both"/>
        <w:rPr>
          <w:color w:val="000000" w:themeColor="text1"/>
        </w:rPr>
      </w:pPr>
      <w:r w:rsidRPr="00A37AC5">
        <w:rPr>
          <w:color w:val="000000" w:themeColor="text1"/>
        </w:rPr>
        <w:t>In total, the given work extends the existing body of knowledge concerning climate risk management instruments and presents initial frameworks for overcoming the identified issues and facilitating further investigation into incorporating climate derivatives into investment portfolios.</w:t>
      </w:r>
    </w:p>
    <w:p w:rsidR="00790C31" w:rsidRPr="00A37AC5" w:rsidRDefault="00790C31" w:rsidP="00EE4362">
      <w:pPr>
        <w:rPr>
          <w:color w:val="000000" w:themeColor="text1"/>
        </w:rPr>
      </w:pPr>
    </w:p>
    <w:p w:rsidR="00790C31" w:rsidRPr="00A37AC5" w:rsidRDefault="00790C31" w:rsidP="00EE4362">
      <w:pPr>
        <w:rPr>
          <w:rFonts w:eastAsia="MS Mincho"/>
          <w:color w:val="000000" w:themeColor="text1"/>
        </w:rPr>
      </w:pPr>
    </w:p>
    <w:p w:rsidR="008A55B5" w:rsidRPr="00A37AC5" w:rsidRDefault="008A55B5">
      <w:pPr>
        <w:pStyle w:val="Heading5"/>
        <w:rPr>
          <w:rFonts w:eastAsia="MS Mincho"/>
          <w:b/>
          <w:bCs/>
          <w:color w:val="000000" w:themeColor="text1"/>
        </w:rPr>
      </w:pPr>
      <w:r w:rsidRPr="00A37AC5">
        <w:rPr>
          <w:rFonts w:eastAsia="MS Mincho"/>
          <w:b/>
          <w:bCs/>
          <w:color w:val="000000" w:themeColor="text1"/>
        </w:rPr>
        <w:t>References</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Benth, Fred Espen, et al. </w:t>
      </w:r>
      <w:r w:rsidRPr="00A37AC5">
        <w:rPr>
          <w:i/>
          <w:iCs/>
          <w:color w:val="000000" w:themeColor="text1"/>
        </w:rPr>
        <w:t>Stochastic Modelling of Power Markets</w:t>
      </w:r>
      <w:r w:rsidRPr="00A37AC5">
        <w:rPr>
          <w:color w:val="000000" w:themeColor="text1"/>
        </w:rPr>
        <w:t>. World Scientific, 2008.</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Ceres. </w:t>
      </w:r>
      <w:r w:rsidRPr="00A37AC5">
        <w:rPr>
          <w:i/>
          <w:iCs/>
          <w:color w:val="000000" w:themeColor="text1"/>
        </w:rPr>
        <w:t>Investing in Resilient Portfolios</w:t>
      </w:r>
      <w:r w:rsidRPr="00A37AC5">
        <w:rPr>
          <w:color w:val="000000" w:themeColor="text1"/>
        </w:rPr>
        <w:t>. Ceres, 2024.</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Ceres. </w:t>
      </w:r>
      <w:r w:rsidRPr="00A37AC5">
        <w:rPr>
          <w:rFonts w:eastAsia="MS Mincho"/>
          <w:i/>
          <w:iCs/>
          <w:color w:val="000000" w:themeColor="text1"/>
        </w:rPr>
        <w:t>Turning Climate Risk into Opportunity</w:t>
      </w:r>
      <w:r w:rsidRPr="00A37AC5">
        <w:rPr>
          <w:color w:val="000000" w:themeColor="text1"/>
        </w:rPr>
        <w:t>. 2024.</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Fama, Eugene F. "Efficient Capital Markets: A Review of Theory and Empirical Work." </w:t>
      </w:r>
      <w:r w:rsidRPr="00A37AC5">
        <w:rPr>
          <w:i/>
          <w:iCs/>
          <w:color w:val="000000" w:themeColor="text1"/>
        </w:rPr>
        <w:t>The Journal of Finance</w:t>
      </w:r>
      <w:r w:rsidRPr="00A37AC5">
        <w:rPr>
          <w:color w:val="000000" w:themeColor="text1"/>
        </w:rPr>
        <w:t>, vol. 25, no. 2, 1970, pp. 383–417.</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Grossman, Gene M., and Alan B. Krueger. "Environmental Impacts of a North American Free Trade Agreement." </w:t>
      </w:r>
      <w:r w:rsidRPr="00A37AC5">
        <w:rPr>
          <w:i/>
          <w:iCs/>
          <w:color w:val="000000" w:themeColor="text1"/>
        </w:rPr>
        <w:t>National Bureau of Economic Research Working Paper No. 3914</w:t>
      </w:r>
      <w:r w:rsidRPr="00A37AC5">
        <w:rPr>
          <w:color w:val="000000" w:themeColor="text1"/>
        </w:rPr>
        <w:t>, 1995.</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Impax Asset Management. </w:t>
      </w:r>
      <w:r w:rsidRPr="00A37AC5">
        <w:rPr>
          <w:i/>
          <w:iCs/>
          <w:color w:val="000000" w:themeColor="text1"/>
        </w:rPr>
        <w:t>Transition Risk and Opportunity Assessment</w:t>
      </w:r>
      <w:r w:rsidRPr="00A37AC5">
        <w:rPr>
          <w:color w:val="000000" w:themeColor="text1"/>
        </w:rPr>
        <w:t>. Impax, 2024.</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Jewson, Stephen, and Anders Brix. </w:t>
      </w:r>
      <w:r w:rsidRPr="00A37AC5">
        <w:rPr>
          <w:rFonts w:eastAsia="MS Mincho"/>
          <w:i/>
          <w:iCs/>
          <w:color w:val="000000" w:themeColor="text1"/>
        </w:rPr>
        <w:t>Weather Derivative Valuation: The Meteorological, Statistical, Financial and Mathematical Foundations</w:t>
      </w:r>
      <w:r w:rsidRPr="00A37AC5">
        <w:rPr>
          <w:color w:val="000000" w:themeColor="text1"/>
        </w:rPr>
        <w:t>. Cambridge University Press, 2005.</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Jewson, Stephen, and Anders Brix. </w:t>
      </w:r>
      <w:r w:rsidRPr="00A37AC5">
        <w:rPr>
          <w:i/>
          <w:iCs/>
          <w:color w:val="000000" w:themeColor="text1"/>
        </w:rPr>
        <w:t>Weather Derivative Valuation: The Meteorological, Statistical, Financial, and Mathematical Foundations</w:t>
      </w:r>
      <w:r w:rsidRPr="00A37AC5">
        <w:rPr>
          <w:color w:val="000000" w:themeColor="text1"/>
        </w:rPr>
        <w:t>. Cambridge UP, 2005.</w:t>
      </w:r>
    </w:p>
    <w:p w:rsidR="00C109C2" w:rsidRPr="00A37AC5" w:rsidRDefault="00C109C2" w:rsidP="00C109C2">
      <w:pPr>
        <w:ind w:left="360"/>
        <w:jc w:val="both"/>
        <w:rPr>
          <w:color w:val="000000" w:themeColor="text1"/>
        </w:rPr>
      </w:pPr>
      <w:r w:rsidRPr="00A37AC5">
        <w:rPr>
          <w:color w:val="000000" w:themeColor="text1"/>
        </w:rPr>
        <w:t xml:space="preserve">Markowitz, Harry. "Portfolio Selection." </w:t>
      </w:r>
      <w:r w:rsidRPr="00A37AC5">
        <w:rPr>
          <w:i/>
          <w:iCs/>
          <w:color w:val="000000" w:themeColor="text1"/>
        </w:rPr>
        <w:t>The Journal of Finance</w:t>
      </w:r>
      <w:r w:rsidRPr="00A37AC5">
        <w:rPr>
          <w:color w:val="000000" w:themeColor="text1"/>
        </w:rPr>
        <w:t>, vol. 7, no. 1, 1952, pp. 77–91.</w:t>
      </w:r>
    </w:p>
    <w:p w:rsidR="00C109C2" w:rsidRPr="00A37AC5" w:rsidRDefault="00C109C2" w:rsidP="00C109C2">
      <w:pPr>
        <w:spacing w:after="160" w:line="278" w:lineRule="auto"/>
        <w:ind w:left="360"/>
        <w:jc w:val="both"/>
        <w:rPr>
          <w:color w:val="000000" w:themeColor="text1"/>
        </w:rPr>
      </w:pPr>
      <w:proofErr w:type="spellStart"/>
      <w:r w:rsidRPr="00A37AC5">
        <w:rPr>
          <w:color w:val="000000" w:themeColor="text1"/>
        </w:rPr>
        <w:t>Shahsuzan</w:t>
      </w:r>
      <w:proofErr w:type="spellEnd"/>
      <w:r w:rsidRPr="00A37AC5">
        <w:rPr>
          <w:color w:val="000000" w:themeColor="text1"/>
        </w:rPr>
        <w:t xml:space="preserve">, </w:t>
      </w:r>
      <w:proofErr w:type="spellStart"/>
      <w:r w:rsidRPr="00A37AC5">
        <w:rPr>
          <w:color w:val="000000" w:themeColor="text1"/>
        </w:rPr>
        <w:t>Abdur</w:t>
      </w:r>
      <w:proofErr w:type="spellEnd"/>
      <w:r w:rsidRPr="00A37AC5">
        <w:rPr>
          <w:color w:val="000000" w:themeColor="text1"/>
        </w:rPr>
        <w:t xml:space="preserve">. "Emerging Trends in Climate Finance Instruments." </w:t>
      </w:r>
      <w:r w:rsidRPr="00A37AC5">
        <w:rPr>
          <w:i/>
          <w:iCs/>
          <w:color w:val="000000" w:themeColor="text1"/>
        </w:rPr>
        <w:t>Environmental Economics Review</w:t>
      </w:r>
      <w:r w:rsidRPr="00A37AC5">
        <w:rPr>
          <w:color w:val="000000" w:themeColor="text1"/>
        </w:rPr>
        <w:t>, vol. 25, no. 1, 2017, pp. 50-60.</w:t>
      </w:r>
    </w:p>
    <w:p w:rsidR="00C109C2" w:rsidRPr="00A37AC5" w:rsidRDefault="00C109C2" w:rsidP="00C109C2">
      <w:pPr>
        <w:ind w:left="360"/>
        <w:jc w:val="both"/>
        <w:rPr>
          <w:color w:val="000000" w:themeColor="text1"/>
        </w:rPr>
      </w:pPr>
      <w:r w:rsidRPr="00A37AC5">
        <w:rPr>
          <w:color w:val="000000" w:themeColor="text1"/>
        </w:rPr>
        <w:t xml:space="preserve">Task Force on Climate-Related Financial Disclosures (TCFD). </w:t>
      </w:r>
      <w:r w:rsidRPr="00A37AC5">
        <w:rPr>
          <w:rFonts w:eastAsia="MS Mincho"/>
          <w:i/>
          <w:iCs/>
          <w:color w:val="000000" w:themeColor="text1"/>
        </w:rPr>
        <w:t>Final Report: Recommendations of the Task Force on Climate-Related Financial Disclosures</w:t>
      </w:r>
      <w:r w:rsidRPr="00A37AC5">
        <w:rPr>
          <w:color w:val="000000" w:themeColor="text1"/>
        </w:rPr>
        <w:t>. 2024.</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Task Force on Climate-Related Financial Disclosures (TCFD). </w:t>
      </w:r>
      <w:r w:rsidRPr="00A37AC5">
        <w:rPr>
          <w:i/>
          <w:iCs/>
          <w:color w:val="000000" w:themeColor="text1"/>
        </w:rPr>
        <w:t>Guidance on Scenario Analysis for Non-Financial Companies</w:t>
      </w:r>
      <w:r w:rsidRPr="00A37AC5">
        <w:rPr>
          <w:color w:val="000000" w:themeColor="text1"/>
        </w:rPr>
        <w:t>. TCFD, 2024.</w:t>
      </w:r>
    </w:p>
    <w:p w:rsidR="00C109C2" w:rsidRPr="00A37AC5" w:rsidRDefault="00C109C2" w:rsidP="00C109C2">
      <w:pPr>
        <w:spacing w:after="160" w:line="278" w:lineRule="auto"/>
        <w:ind w:left="360"/>
        <w:jc w:val="both"/>
        <w:rPr>
          <w:color w:val="000000" w:themeColor="text1"/>
        </w:rPr>
      </w:pPr>
      <w:r w:rsidRPr="00A37AC5">
        <w:rPr>
          <w:color w:val="000000" w:themeColor="text1"/>
        </w:rPr>
        <w:lastRenderedPageBreak/>
        <w:t xml:space="preserve">Wu, Delong. "The Role of Blockchain in Supply Chain Transparency." </w:t>
      </w:r>
      <w:r w:rsidRPr="00A37AC5">
        <w:rPr>
          <w:i/>
          <w:iCs/>
          <w:color w:val="000000" w:themeColor="text1"/>
        </w:rPr>
        <w:t>Journal of Business Innovations</w:t>
      </w:r>
      <w:r w:rsidRPr="00A37AC5">
        <w:rPr>
          <w:color w:val="000000" w:themeColor="text1"/>
        </w:rPr>
        <w:t>, vol. 12, no. 3, 2023, pp. 80-90.</w:t>
      </w:r>
    </w:p>
    <w:p w:rsidR="00C109C2" w:rsidRPr="00A37AC5" w:rsidRDefault="00C109C2" w:rsidP="00C109C2">
      <w:pPr>
        <w:spacing w:after="160" w:line="278" w:lineRule="auto"/>
        <w:ind w:left="360"/>
        <w:jc w:val="both"/>
        <w:rPr>
          <w:color w:val="000000" w:themeColor="text1"/>
        </w:rPr>
      </w:pPr>
      <w:r w:rsidRPr="00A37AC5">
        <w:rPr>
          <w:color w:val="000000" w:themeColor="text1"/>
        </w:rPr>
        <w:t xml:space="preserve">Zheng, Kai. "Multi-Criteria Decision Models for Climate Risk Mitigation." </w:t>
      </w:r>
      <w:r w:rsidRPr="00A37AC5">
        <w:rPr>
          <w:i/>
          <w:iCs/>
          <w:color w:val="000000" w:themeColor="text1"/>
        </w:rPr>
        <w:t>Journal of Financial Engineering</w:t>
      </w:r>
      <w:r w:rsidRPr="00A37AC5">
        <w:rPr>
          <w:color w:val="000000" w:themeColor="text1"/>
        </w:rPr>
        <w:t>, vol. 18, no. 2, 2023, pp. 10-20.</w:t>
      </w:r>
    </w:p>
    <w:p w:rsidR="00C109C2" w:rsidRPr="00A37AC5" w:rsidRDefault="00C109C2" w:rsidP="00C109C2">
      <w:pPr>
        <w:jc w:val="both"/>
        <w:rPr>
          <w:rFonts w:eastAsia="MS Mincho"/>
          <w:color w:val="000000" w:themeColor="text1"/>
        </w:rPr>
      </w:pPr>
    </w:p>
    <w:p w:rsidR="008A55B5" w:rsidRPr="00A37AC5" w:rsidRDefault="008A55B5" w:rsidP="00C109C2">
      <w:pPr>
        <w:pStyle w:val="BodyText"/>
        <w:ind w:firstLine="0"/>
        <w:rPr>
          <w:color w:val="000000" w:themeColor="text1"/>
        </w:rPr>
      </w:pPr>
    </w:p>
    <w:p w:rsidR="008A55B5" w:rsidRPr="00A37AC5" w:rsidRDefault="008A55B5">
      <w:pPr>
        <w:rPr>
          <w:rFonts w:eastAsia="MS Mincho"/>
          <w:color w:val="000000" w:themeColor="text1"/>
        </w:rPr>
      </w:pPr>
    </w:p>
    <w:p w:rsidR="008A55B5" w:rsidRPr="00A37AC5" w:rsidRDefault="008A55B5">
      <w:pPr>
        <w:pStyle w:val="references"/>
        <w:rPr>
          <w:rFonts w:eastAsia="MS Mincho"/>
          <w:color w:val="000000" w:themeColor="text1"/>
        </w:rPr>
        <w:sectPr w:rsidR="008A55B5" w:rsidRPr="00A37AC5" w:rsidSect="004445B3">
          <w:type w:val="continuous"/>
          <w:pgSz w:w="11909" w:h="16834" w:code="9"/>
          <w:pgMar w:top="1080" w:right="734" w:bottom="2434" w:left="734" w:header="720" w:footer="720" w:gutter="0"/>
          <w:cols w:num="2" w:space="360"/>
          <w:docGrid w:linePitch="360"/>
        </w:sectPr>
      </w:pPr>
    </w:p>
    <w:p w:rsidR="008A55B5" w:rsidRPr="00A37AC5" w:rsidRDefault="008A55B5" w:rsidP="00276735">
      <w:pPr>
        <w:jc w:val="both"/>
        <w:rPr>
          <w:color w:val="000000" w:themeColor="text1"/>
        </w:rPr>
      </w:pPr>
    </w:p>
    <w:sectPr w:rsidR="008A55B5" w:rsidRPr="00A37AC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7DC"/>
    <w:multiLevelType w:val="hybridMultilevel"/>
    <w:tmpl w:val="5B2AB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A3015"/>
    <w:multiLevelType w:val="multilevel"/>
    <w:tmpl w:val="82766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9C037FF"/>
    <w:multiLevelType w:val="multilevel"/>
    <w:tmpl w:val="05F4D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98073D4"/>
    <w:multiLevelType w:val="multilevel"/>
    <w:tmpl w:val="A8AE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9"/>
  </w:num>
  <w:num w:numId="3">
    <w:abstractNumId w:val="3"/>
  </w:num>
  <w:num w:numId="4">
    <w:abstractNumId w:val="6"/>
  </w:num>
  <w:num w:numId="5">
    <w:abstractNumId w:val="6"/>
  </w:num>
  <w:num w:numId="6">
    <w:abstractNumId w:val="6"/>
  </w:num>
  <w:num w:numId="7">
    <w:abstractNumId w:val="6"/>
  </w:num>
  <w:num w:numId="8">
    <w:abstractNumId w:val="7"/>
  </w:num>
  <w:num w:numId="9">
    <w:abstractNumId w:val="10"/>
  </w:num>
  <w:num w:numId="10">
    <w:abstractNumId w:val="5"/>
  </w:num>
  <w:num w:numId="11">
    <w:abstractNumId w:val="2"/>
  </w:num>
  <w:num w:numId="12">
    <w:abstractNumId w:val="12"/>
  </w:num>
  <w:num w:numId="13">
    <w:abstractNumId w:val="8"/>
  </w:num>
  <w:num w:numId="14">
    <w:abstractNumId w:val="1"/>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4390D"/>
    <w:rsid w:val="000A74DF"/>
    <w:rsid w:val="000B4641"/>
    <w:rsid w:val="0010711E"/>
    <w:rsid w:val="00127EDD"/>
    <w:rsid w:val="001E346F"/>
    <w:rsid w:val="00276735"/>
    <w:rsid w:val="002864A3"/>
    <w:rsid w:val="002B3B81"/>
    <w:rsid w:val="002F720C"/>
    <w:rsid w:val="003A47B5"/>
    <w:rsid w:val="003A59A6"/>
    <w:rsid w:val="004059FE"/>
    <w:rsid w:val="004445B3"/>
    <w:rsid w:val="005B520E"/>
    <w:rsid w:val="005B535B"/>
    <w:rsid w:val="005C7318"/>
    <w:rsid w:val="005E354B"/>
    <w:rsid w:val="006108A4"/>
    <w:rsid w:val="006C4648"/>
    <w:rsid w:val="0072064C"/>
    <w:rsid w:val="00720859"/>
    <w:rsid w:val="00735E9A"/>
    <w:rsid w:val="007442B3"/>
    <w:rsid w:val="00753F7B"/>
    <w:rsid w:val="0078398E"/>
    <w:rsid w:val="00787C5A"/>
    <w:rsid w:val="00790C31"/>
    <w:rsid w:val="007919DE"/>
    <w:rsid w:val="00797ED0"/>
    <w:rsid w:val="007A547B"/>
    <w:rsid w:val="007C0308"/>
    <w:rsid w:val="007F09CB"/>
    <w:rsid w:val="008014D2"/>
    <w:rsid w:val="008054BC"/>
    <w:rsid w:val="008A55B5"/>
    <w:rsid w:val="008A75C8"/>
    <w:rsid w:val="00961356"/>
    <w:rsid w:val="0097508D"/>
    <w:rsid w:val="00A37AC5"/>
    <w:rsid w:val="00A510F7"/>
    <w:rsid w:val="00AC6519"/>
    <w:rsid w:val="00C05EB6"/>
    <w:rsid w:val="00C109C2"/>
    <w:rsid w:val="00C44A50"/>
    <w:rsid w:val="00C62C68"/>
    <w:rsid w:val="00CB1404"/>
    <w:rsid w:val="00CB66E6"/>
    <w:rsid w:val="00D23B6B"/>
    <w:rsid w:val="00D276ED"/>
    <w:rsid w:val="00D9156D"/>
    <w:rsid w:val="00E91219"/>
    <w:rsid w:val="00EA506F"/>
    <w:rsid w:val="00EE4362"/>
    <w:rsid w:val="00EF18D7"/>
    <w:rsid w:val="00EF1E8A"/>
    <w:rsid w:val="00EF3A1A"/>
    <w:rsid w:val="00FD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A4F8D1"/>
  <w15:chartTrackingRefBased/>
  <w15:docId w15:val="{9C154EDB-CC98-48DD-ADBF-F229F205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FD60BB"/>
    <w:rPr>
      <w:color w:val="0563C1" w:themeColor="hyperlink"/>
      <w:u w:val="single"/>
    </w:rPr>
  </w:style>
  <w:style w:type="character" w:styleId="UnresolvedMention">
    <w:name w:val="Unresolved Mention"/>
    <w:basedOn w:val="DefaultParagraphFont"/>
    <w:uiPriority w:val="99"/>
    <w:semiHidden/>
    <w:unhideWhenUsed/>
    <w:rsid w:val="00FD60BB"/>
    <w:rPr>
      <w:color w:val="605E5C"/>
      <w:shd w:val="clear" w:color="auto" w:fill="E1DFDD"/>
    </w:rPr>
  </w:style>
  <w:style w:type="paragraph" w:styleId="ListParagraph">
    <w:name w:val="List Paragraph"/>
    <w:basedOn w:val="Normal"/>
    <w:uiPriority w:val="34"/>
    <w:qFormat/>
    <w:rsid w:val="005C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94494">
      <w:bodyDiv w:val="1"/>
      <w:marLeft w:val="0"/>
      <w:marRight w:val="0"/>
      <w:marTop w:val="0"/>
      <w:marBottom w:val="0"/>
      <w:divBdr>
        <w:top w:val="none" w:sz="0" w:space="0" w:color="auto"/>
        <w:left w:val="none" w:sz="0" w:space="0" w:color="auto"/>
        <w:bottom w:val="none" w:sz="0" w:space="0" w:color="auto"/>
        <w:right w:val="none" w:sz="0" w:space="0" w:color="auto"/>
      </w:divBdr>
    </w:div>
    <w:div w:id="703795634">
      <w:bodyDiv w:val="1"/>
      <w:marLeft w:val="0"/>
      <w:marRight w:val="0"/>
      <w:marTop w:val="0"/>
      <w:marBottom w:val="0"/>
      <w:divBdr>
        <w:top w:val="none" w:sz="0" w:space="0" w:color="auto"/>
        <w:left w:val="none" w:sz="0" w:space="0" w:color="auto"/>
        <w:bottom w:val="none" w:sz="0" w:space="0" w:color="auto"/>
        <w:right w:val="none" w:sz="0" w:space="0" w:color="auto"/>
      </w:divBdr>
    </w:div>
    <w:div w:id="1033461413">
      <w:bodyDiv w:val="1"/>
      <w:marLeft w:val="0"/>
      <w:marRight w:val="0"/>
      <w:marTop w:val="0"/>
      <w:marBottom w:val="0"/>
      <w:divBdr>
        <w:top w:val="none" w:sz="0" w:space="0" w:color="auto"/>
        <w:left w:val="none" w:sz="0" w:space="0" w:color="auto"/>
        <w:bottom w:val="none" w:sz="0" w:space="0" w:color="auto"/>
        <w:right w:val="none" w:sz="0" w:space="0" w:color="auto"/>
      </w:divBdr>
    </w:div>
    <w:div w:id="16187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luoloro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dcterms:created xsi:type="dcterms:W3CDTF">2025-01-17T20:32:00Z</dcterms:created>
  <dcterms:modified xsi:type="dcterms:W3CDTF">2025-01-17T20:32:00Z</dcterms:modified>
</cp:coreProperties>
</file>