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2.1 Выбор информационной модели</w:t>
      </w:r>
    </w:p>
    <w:p/>
    <w:p>
      <w:pPr>
        <w:ind w:firstLine="720"/>
        <w:jc w:val="both"/>
      </w:pPr>
      <w:r>
        <w:t>Для разработки базы данных информационной системы «Расписание занятий в вузе» необходимо определить, какая модель данных будет использоваться. Модель данных — это способ организации и структурирования информации в базе данных. Существует несколько основных типов моделей данных: иерархическая, сетевая, реляционная, объектно-ориентированная и документоориентированная. Каждая из них имеет свои особенности и области применения.</w:t>
      </w:r>
    </w:p>
    <w:p>
      <w:pPr>
        <w:ind w:firstLine="720"/>
        <w:jc w:val="both"/>
      </w:pPr>
      <w:r>
        <w:t>В рамках данного проекта была выбрана реляционная модель данных. Реляционная модель основана на математической теории множеств и реляционной алгебре. В этой модели данные представлены в виде двумерных таблиц, называемых отношениями или реляциями. Каждая таблица состоит из строк (записей) и столбцов (полей). Строки содержат конкретные экземпляры данных, а столбцы определяют атрибуты этих данных. Таблицы связаны между собой с помощью ключей — специальных полей, которые обеспечивают целостность данных и позволяют устанавливать отношения между различными таблицами.</w:t>
      </w:r>
    </w:p>
    <w:p>
      <w:pPr>
        <w:ind w:firstLine="720"/>
        <w:jc w:val="both"/>
      </w:pPr>
      <w:r>
        <w:t>Выбор реляционной модели обусловлен рядом причин. Во-первых, реляционная модель является наиболее распространённой и хорошо изученной. Она используется в большинстве современных систем управления базами данных, что обеспечивает широкую поддержку, наличие обширной документации и готовых решений. Во-вторых, реляционная модель предоставляет простой и интуитивно понятный способ организации данных. Представление информации в виде таблиц легко воспринимается человеком и соответствует привычному табличному формату, который используется в повседневной работе. В-третьих, реляционные СУБД обладают развитыми механизмами обеспечения целостности данных. Первичные ключи гарантируют уникальность каждой записи в таблице, а внешние ключи обеспечивают согласованность данных между связанными таблицами. Это особенно важно для системы расписания, где необходимо исключить ситуации, при которых занятие назначается несуществующему преподавателю или в несуществующую аудиторию.</w:t>
      </w:r>
    </w:p>
    <w:p>
      <w:pPr>
        <w:ind w:firstLine="720"/>
        <w:jc w:val="both"/>
      </w:pPr>
      <w:r>
        <w:t>Кроме того, реляционные базы данных поддерживают стандартизированный язык запросов SQL (Structured Query Language), который позволяет выполнять операции выборки, добавления, изменения и удаления данных. SQL является декларативным языком, что означает возможность описывать, какие данные необходимо получить, не указывая конкретные шаги для их извлечения. Это упрощает разработку и сопровождение системы. Реляционная модель также обеспечивает независимость данных от приложений. Структура базы данных может изменяться без необходимости переписывания программного кода, что делает систему более гибкой и масштабируемой.</w:t>
      </w:r>
    </w:p>
    <w:p>
      <w:pPr>
        <w:ind w:firstLine="720"/>
        <w:jc w:val="both"/>
      </w:pPr>
      <w:r>
        <w:t>В качестве конкретной системы управления базами данных была выбрана Microsoft SQL Server. SQL Server — это промышленная реляционная СУБД, разработанная корпорацией Microsoft. Она обеспечивает высокую надёжность хранения данных, поддержку транзакций, средства резервного копирования и восстановления информации. SQL Server интегрируется с платформой .NET Framework, что упрощает разработку приложений на языке C#. Также SQL Server Management Studio предоставляет удобные графические инструменты для администрирования базы данных, выполнения запросов и мониторинга производительности. Выбор SQL Server обусловлен его распространённостью в образовательных учреждениях и наличием бесплатной редакции Express для учебных целей.</w:t>
      </w:r>
    </w:p>
    <w:p>
      <w:pPr>
        <w:ind w:firstLine="720"/>
        <w:jc w:val="both"/>
      </w:pPr>
      <w:r>
        <w:t>Таким образом, реляционная модель данных и СУБД Microsoft SQL Server являются оптимальным выбором для реализации информационной системы управления расписанием занятий в вузе. Они обеспечивают необходимый функционал, надёжность и удобство разработки.</w:t>
      </w:r>
    </w:p>
    <w:p/>
    <w:p/>
    <w:p>
      <w:r>
        <w:rPr>
          <w:b/>
          <w:sz w:val="28"/>
        </w:rPr>
        <w:t>2.2 Выделение информационных объектов</w:t>
      </w:r>
    </w:p>
    <w:p/>
    <w:p>
      <w:pPr>
        <w:ind w:firstLine="720"/>
        <w:jc w:val="both"/>
      </w:pPr>
      <w:r>
        <w:t>Проектирование базы данных начинается с выделения информационных объектов предметной области. Информационный объект (сущность) — это абстракция реального объекта или явления, сведения о котором необходимо хранить в базе данных. Каждая сущность обладает набором характеристик — атрибутов, которые описывают её свойства. Процесс выделения сущностей основывается на анализе предметной области, проведённом в первой части работы, и позволяет определить основные компоненты системы управления расписанием.</w:t>
      </w:r>
    </w:p>
    <w:p>
      <w:pPr>
        <w:ind w:firstLine="720"/>
        <w:jc w:val="both"/>
      </w:pPr>
      <w:r>
        <w:t>При анализе процесса составления и ведения расписания занятий были выделены следующие основные информационные объекты, необходимые для функционирования системы: преподаватель, группа, аудитория, расписание и пользователь. Рассмотрим каждую из этих сущностей подробнее.</w:t>
      </w:r>
    </w:p>
    <w:p/>
    <w:p>
      <w:pPr>
        <w:ind w:firstLine="720"/>
      </w:pPr>
      <w:r>
        <w:rPr>
          <w:b/>
        </w:rPr>
        <w:t>Преподаватель</w:t>
      </w:r>
    </w:p>
    <w:p>
      <w:pPr>
        <w:ind w:firstLine="720"/>
        <w:jc w:val="both"/>
      </w:pPr>
      <w:r>
        <w:t>Преподаватель — это сотрудник учебного заведения, осуществляющий образовательную деятельность. Данная сущность является одной из ключевых в системе, поскольку именно преподаватели проводят занятия со студентами. Каждый преподаватель характеризуется уникальным идентификатором (кодом преподавателя), фамилией, именем и отчеством, а также принадлежностью к определённой кафедре. Код преподавателя представляет собой числовое значение, автоматически генерируемое системой при добавлении нового сотрудника, и служит первичным ключом таблицы. ФИО преподавателя хранится в текстовом виде и используется для идентификации сотрудника при формировании расписания. Информация о кафедре также является текстовой и указывает на структурное подразделение, к которому относится преподаватель. Эти данные необходимы для корректного распределения нагрузки между кафедрами и контроля занятости преподавателей.</w:t>
      </w:r>
    </w:p>
    <w:p/>
    <w:p>
      <w:pPr>
        <w:ind w:firstLine="720"/>
      </w:pPr>
      <w:r>
        <w:rPr>
          <w:b/>
        </w:rPr>
        <w:t>Группа</w:t>
      </w:r>
    </w:p>
    <w:p>
      <w:pPr>
        <w:ind w:firstLine="720"/>
        <w:jc w:val="both"/>
      </w:pPr>
      <w:r>
        <w:t>Группа — это учебный коллектив студентов, объединённых общим учебным планом и обучающихся по одной специальности. Группа является основной организационной единицей учебного процесса. Каждая группа имеет уникальный код (идентификатор группы) и название. Код группы — числовое значение, выполняющее функцию первичного ключа. Название группы представляет собой текстовую строку, которая обычно состоит из аббревиатуры специальности, номера группы и года начала обучения, например «ИСП-Б-234-2024». Это название должно быть уникальным в пределах учебного заведения, чтобы исключить возможность путаницы при формировании расписания. Информация о группах необходима для определения, каким студенческим коллективам назначаются те или иные занятия. Также данные о группе используются при формировании отчётов и при организации просмотра расписания студентами.</w:t>
      </w:r>
    </w:p>
    <w:p/>
    <w:p>
      <w:pPr>
        <w:ind w:firstLine="720"/>
      </w:pPr>
      <w:r>
        <w:rPr>
          <w:b/>
        </w:rPr>
        <w:t>Аудитория</w:t>
      </w:r>
    </w:p>
    <w:p>
      <w:pPr>
        <w:ind w:firstLine="720"/>
        <w:jc w:val="both"/>
      </w:pPr>
      <w:r>
        <w:t>Аудитория — это помещение, в котором проводятся учебные занятия. Управление аудиторным фондом является важной частью процесса составления расписания, поскольку необходимо эффективно распределять имеющиеся помещения между различными занятиями и предотвращать ситуации, когда одна аудитория одновременно назначена для проведения нескольких пар. Каждая аудитория описывается уникальным кодом и номером. Код аудитории — числовой идентификатор, служащий первичным ключом. Номер аудитории — текстовое поле, содержащее обозначение помещения, например «201», «А-305» или «Актовый зал». Использование текстового типа для номера аудитории обусловлено тем, что обозначения могут включать буквы, указывающие на корпус или тип помещения. Хранение информации об аудиториях позволяет контролировать их занятость и своевременно выявлять конфликты при назначении занятий.</w:t>
      </w:r>
    </w:p>
    <w:p/>
    <w:p>
      <w:pPr>
        <w:ind w:firstLine="720"/>
      </w:pPr>
      <w:r>
        <w:rPr>
          <w:b/>
        </w:rPr>
        <w:t>Расписание</w:t>
      </w:r>
    </w:p>
    <w:p>
      <w:pPr>
        <w:ind w:firstLine="720"/>
        <w:jc w:val="both"/>
      </w:pPr>
      <w:r>
        <w:t>Расписание — это центральная сущность системы, которая связывает воедино информацию о преподавателях, группах и аудиториях. Каждая запись в расписании описывает конкретное занятие и содержит сведения о том, когда, где, для кого и кем проводится данная пара. Сущность «Расписание» обладает следующими атрибутами: код записи, день недели, номер пары, название предмета, а также ссылки на преподавателя, группу и аудиторию. Код записи — уникальный числовой идентификатор, автоматически присваиваемый каждому занятию. День недели указывает, в какой день проводится пара, и хранится в текстовом виде (например, «Понедельник», «Вторник»). Номер пары определяет временной слот в расписании и представляет собой целое число от 1 до 5, соответствующее порядковому номеру занятия в течение дня. Название предмета — текстовое поле, содержащее наименование изучаемой дисциплины. Помимо собственных атрибутов, запись расписания включает внешние ключи, которые связывают её с таблицами преподавателей, групп и аудиторий. Это позволяет однозначно определить все параметры занятия и обеспечить целостность данных.</w:t>
      </w:r>
    </w:p>
    <w:p/>
    <w:p>
      <w:pPr>
        <w:ind w:firstLine="720"/>
      </w:pPr>
      <w:r>
        <w:rPr>
          <w:b/>
        </w:rPr>
        <w:t>Пользователь</w:t>
      </w:r>
    </w:p>
    <w:p>
      <w:pPr>
        <w:ind w:firstLine="720"/>
        <w:jc w:val="both"/>
      </w:pPr>
      <w:r>
        <w:t>Пользователь — это сотрудник учебной части или деканата, который имеет право доступа к системе для создания, изменения и удаления записей в расписании. Разграничение прав доступа необходимо для обеспечения безопасности данных и предотвращения несанкционированных изменений расписания. Сущность «Пользователь» характеризуется уникальным кодом пользователя, логином и паролем. Код пользователя — числовой идентификатор, выполняющий функцию первичного ключа. Логин представляет собой уникальное текстовое имя, используемое для входа в систему. Уникальность логина обеспечивается соответствующим ограничением в базе данных. Пароль хранится в текстовом виде и служит для проверки подлинности пользователя при авторизации. В реальных условиях пароль должен храниться в зашифрованном виде, однако в рамках учебного проекта используется упрощённая схема. Наличие системы авторизации позволяет контролировать доступ к функциям редактирования расписания и обеспечивает ответственность за вносимые изменения.</w:t>
      </w:r>
    </w:p>
    <w:p/>
    <w:p>
      <w:pPr>
        <w:ind w:firstLine="720"/>
        <w:jc w:val="both"/>
      </w:pPr>
      <w:r>
        <w:t>Таким образом, выделенные информационные объекты охватывают все основные аспекты процесса управления расписанием занятий. Преподаватели, группы и аудитории представляют собой ресурсы, которые необходимо распределить во времени. Расписание фиксирует результат этого распределения, связывая ресурсы с конкретными временными слотами. Пользователи обеспечивают контролируемый доступ к данным системы. Эти пять сущностей составляют основу для дальнейшего проектирования структуры базы данных.</w:t>
      </w:r>
    </w:p>
    <w:p>
      <w:r>
        <w:br w:type="page"/>
      </w:r>
    </w:p>
    <w:p>
      <w:r>
        <w:rPr>
          <w:b/>
          <w:sz w:val="28"/>
        </w:rPr>
        <w:t>2.3 Концептуальное проектирование базы данных</w:t>
      </w:r>
    </w:p>
    <w:p/>
    <w:p>
      <w:pPr>
        <w:ind w:firstLine="720"/>
        <w:jc w:val="both"/>
      </w:pPr>
      <w:r>
        <w:t>Концептуальное проектирование — это этап разработки базы данных, на котором создаётся абстрактная модель предметной области, не зависящая от конкретной СУБД и особенностей её реализации. Основная цель концептуального проектирования — построить модель, которая отражает структуру данных и связи между ними на логическом уровне, понятном как разработчикам, так и заказчикам системы. Для описания концептуальной модели используется подход «сущность-связь», также известный как ER-модель (Entity-Relationship Model). Этот подход был предложен Питером Ченом в 1976 году и с тех пор стал стандартом де-факто для концептуального моделирования баз данных.</w:t>
      </w:r>
    </w:p>
    <w:p>
      <w:pPr>
        <w:ind w:firstLine="720"/>
        <w:jc w:val="both"/>
      </w:pPr>
      <w:r>
        <w:t>ER-модель представляет предметную область в виде набора сущностей, их атрибутов и связей между сущностями. Сущность — это объект реального мира, информацию о котором необходимо хранить. Атрибут — это характеристика или свойство сущности. Связь — это отношение между двумя или более сущностями, которое отражает взаимодействие между ними. Графическое представление ER-модели осуществляется с помощью диаграмм, где сущности обозначаются прямоугольниками, атрибуты — овалами, а связи — ромбами или линиями с указанием типа связи.</w:t>
      </w:r>
    </w:p>
    <w:p>
      <w:pPr>
        <w:ind w:firstLine="720"/>
        <w:jc w:val="both"/>
      </w:pPr>
      <w:r>
        <w:t>В процессе концептуального проектирования базы данных для системы управления расписанием были выполнены следующие шаги: составление глоссария терминов предметной области, выделение сущностей и их атрибутов, определение доменов атрибутов, установление связей между сущностями и построение ER-диаграммы. Рассмотрим каждый из этих шагов подробнее.</w:t>
      </w:r>
    </w:p>
    <w:p/>
    <w:p>
      <w:pPr>
        <w:ind w:firstLine="720"/>
      </w:pPr>
      <w:r>
        <w:rPr>
          <w:b/>
          <w:sz w:val="26"/>
        </w:rPr>
        <w:t>Глоссарий</w:t>
      </w:r>
    </w:p>
    <w:p>
      <w:pPr>
        <w:ind w:firstLine="720"/>
        <w:jc w:val="both"/>
      </w:pPr>
      <w:r>
        <w:t>Глоссарий — это словарь терминов предметной области, в котором даётся определение каждого понятия, используемого при описании системы. Составление глоссария необходимо для того, чтобы все участники проекта одинаково понимали смысл используемых терминов. Это позволяет избежать недоразумений и неоднозначностей при дальнейшей разработке. В таблице ниже приведён глоссарий основных понятий системы управления расписанием.</w:t>
      </w:r>
    </w:p>
    <w:p/>
    <w:tbl>
      <w:tblPr>
        <w:tblStyle w:val="TableGrid"/>
        <w:tblW w:type="auto" w:w="0"/>
        <w:tblLook w:firstColumn="1" w:firstRow="1" w:lastColumn="0" w:lastRow="0" w:noHBand="0" w:noVBand="1" w:val="04A0"/>
      </w:tblPr>
      <w:tblGrid>
        <w:gridCol w:w="4320"/>
        <w:gridCol w:w="4320"/>
      </w:tblGrid>
      <w:tr>
        <w:tc>
          <w:tcPr>
            <w:tcW w:type="dxa" w:w="4320"/>
          </w:tcPr>
          <w:p>
            <w:r>
              <w:rPr>
                <w:b/>
              </w:rPr>
              <w:t>Понятие</w:t>
            </w:r>
          </w:p>
        </w:tc>
        <w:tc>
          <w:tcPr>
            <w:tcW w:type="dxa" w:w="4320"/>
          </w:tcPr>
          <w:p>
            <w:r>
              <w:rPr>
                <w:b/>
              </w:rPr>
              <w:t>Смысл</w:t>
            </w:r>
          </w:p>
        </w:tc>
      </w:tr>
      <w:tr>
        <w:tc>
          <w:tcPr>
            <w:tcW w:type="dxa" w:w="4320"/>
          </w:tcPr>
          <w:p>
            <w:r>
              <w:t>Преподаватель</w:t>
            </w:r>
          </w:p>
        </w:tc>
        <w:tc>
          <w:tcPr>
            <w:tcW w:type="dxa" w:w="4320"/>
          </w:tcPr>
          <w:p>
            <w:r>
              <w:t>Лицо, осуществляющее образовательную деятельность</w:t>
            </w:r>
          </w:p>
        </w:tc>
      </w:tr>
      <w:tr>
        <w:tc>
          <w:tcPr>
            <w:tcW w:type="dxa" w:w="4320"/>
          </w:tcPr>
          <w:p>
            <w:r>
              <w:t>Код преподавателя</w:t>
            </w:r>
          </w:p>
        </w:tc>
        <w:tc>
          <w:tcPr>
            <w:tcW w:type="dxa" w:w="4320"/>
          </w:tcPr>
          <w:p>
            <w:r>
              <w:t>Уникальный номер, присвоенный преподавателю для идентификации</w:t>
            </w:r>
          </w:p>
        </w:tc>
      </w:tr>
      <w:tr>
        <w:tc>
          <w:tcPr>
            <w:tcW w:type="dxa" w:w="4320"/>
          </w:tcPr>
          <w:p>
            <w:r>
              <w:t>ФИО Преподавателя</w:t>
            </w:r>
          </w:p>
        </w:tc>
        <w:tc>
          <w:tcPr>
            <w:tcW w:type="dxa" w:w="4320"/>
          </w:tcPr>
          <w:p>
            <w:r>
              <w:t>Полная фамилия, имя и отчество сотрудника</w:t>
            </w:r>
          </w:p>
        </w:tc>
      </w:tr>
      <w:tr>
        <w:tc>
          <w:tcPr>
            <w:tcW w:type="dxa" w:w="4320"/>
          </w:tcPr>
          <w:p>
            <w:r>
              <w:t>Группа</w:t>
            </w:r>
          </w:p>
        </w:tc>
        <w:tc>
          <w:tcPr>
            <w:tcW w:type="dxa" w:w="4320"/>
          </w:tcPr>
          <w:p>
            <w:r>
              <w:t>Студенческий коллектив, объединенный общим учебным планом</w:t>
            </w:r>
          </w:p>
        </w:tc>
      </w:tr>
      <w:tr>
        <w:tc>
          <w:tcPr>
            <w:tcW w:type="dxa" w:w="4320"/>
          </w:tcPr>
          <w:p>
            <w:r>
              <w:t>Название группы</w:t>
            </w:r>
          </w:p>
        </w:tc>
        <w:tc>
          <w:tcPr>
            <w:tcW w:type="dxa" w:w="4320"/>
          </w:tcPr>
          <w:p>
            <w:r>
              <w:t>Уникальный код или имя группы</w:t>
            </w:r>
          </w:p>
        </w:tc>
      </w:tr>
      <w:tr>
        <w:tc>
          <w:tcPr>
            <w:tcW w:type="dxa" w:w="4320"/>
          </w:tcPr>
          <w:p>
            <w:r>
              <w:t>Аудитория</w:t>
            </w:r>
          </w:p>
        </w:tc>
        <w:tc>
          <w:tcPr>
            <w:tcW w:type="dxa" w:w="4320"/>
          </w:tcPr>
          <w:p>
            <w:r>
              <w:t>Учебный кабинет, в котором проводятся занятия.</w:t>
            </w:r>
          </w:p>
        </w:tc>
      </w:tr>
      <w:tr>
        <w:tc>
          <w:tcPr>
            <w:tcW w:type="dxa" w:w="4320"/>
          </w:tcPr>
          <w:p>
            <w:r>
              <w:t>Номер аудитории</w:t>
            </w:r>
          </w:p>
        </w:tc>
        <w:tc>
          <w:tcPr>
            <w:tcW w:type="dxa" w:w="4320"/>
          </w:tcPr>
          <w:p>
            <w:r>
              <w:t>Обозначение кабинета в здании вуза.</w:t>
            </w:r>
          </w:p>
        </w:tc>
      </w:tr>
      <w:tr>
        <w:tc>
          <w:tcPr>
            <w:tcW w:type="dxa" w:w="4320"/>
          </w:tcPr>
          <w:p>
            <w:r>
              <w:t>Расписание</w:t>
            </w:r>
          </w:p>
        </w:tc>
        <w:tc>
          <w:tcPr>
            <w:tcW w:type="dxa" w:w="4320"/>
          </w:tcPr>
          <w:p>
            <w:r>
              <w:t>Структурированный перечень учебных занятий</w:t>
            </w:r>
          </w:p>
        </w:tc>
      </w:tr>
      <w:tr>
        <w:tc>
          <w:tcPr>
            <w:tcW w:type="dxa" w:w="4320"/>
          </w:tcPr>
          <w:p>
            <w:r>
              <w:t>Предмет</w:t>
            </w:r>
          </w:p>
        </w:tc>
        <w:tc>
          <w:tcPr>
            <w:tcW w:type="dxa" w:w="4320"/>
          </w:tcPr>
          <w:p>
            <w:r>
              <w:t>Наименование изучаемой дисциплины</w:t>
            </w:r>
          </w:p>
        </w:tc>
      </w:tr>
      <w:tr>
        <w:tc>
          <w:tcPr>
            <w:tcW w:type="dxa" w:w="4320"/>
          </w:tcPr>
          <w:p>
            <w:r>
              <w:t>Пара</w:t>
            </w:r>
          </w:p>
        </w:tc>
        <w:tc>
          <w:tcPr>
            <w:tcW w:type="dxa" w:w="4320"/>
          </w:tcPr>
          <w:p>
            <w:r>
              <w:t>Порядковый номер занятия и его временной интервал</w:t>
            </w:r>
          </w:p>
        </w:tc>
      </w:tr>
    </w:tbl>
    <w:p/>
    <w:p/>
    <w:p>
      <w:pPr>
        <w:ind w:firstLine="720"/>
      </w:pPr>
      <w:r>
        <w:rPr>
          <w:b/>
          <w:sz w:val="26"/>
        </w:rPr>
        <w:t>Определение связей между сущностями</w:t>
      </w:r>
    </w:p>
    <w:p>
      <w:pPr>
        <w:ind w:firstLine="720"/>
        <w:jc w:val="both"/>
      </w:pPr>
      <w:r>
        <w:t>Связь (отношение) — это ассоциация между двумя или более сущностями. Связи отражают то, как сущности взаимодействуют друг с другом в рамках предметной области. Каждая связь характеризуется типом (один к одному, один ко многим, многие ко многим) и степенью участия сущностей (обязательное или необязательное). В системе управления расписанием занятий были выделены следующие основные связи.</w:t>
      </w:r>
    </w:p>
    <w:p/>
    <w:p>
      <w:pPr>
        <w:ind w:firstLine="720"/>
      </w:pPr>
      <w:r>
        <w:rPr>
          <w:b/>
        </w:rPr>
        <w:t>Связь «Группа — Расписание»</w:t>
      </w:r>
    </w:p>
    <w:p>
      <w:pPr>
        <w:ind w:firstLine="720"/>
        <w:jc w:val="both"/>
      </w:pPr>
      <w:r>
        <w:t>Каждая учебная группа может иметь множество записей в расписании, поскольку для группы назначаются различные занятия в разные дни недели и в разное время. В то же время каждая конкретная запись в расписании относится только к одной группе. Таким образом, между сущностями «Группа» и «Расписание» существует связь типа «один ко многим» (1:М). Эта связь обозначается как «обучается» или «имеет занятия». Данная связь является обязательной со стороны расписания: каждое занятие должно быть назначено какой-либо группе. Со стороны группы связь также обязательна, так как группа без расписания не имеет смысла в контексте учебного процесса.</w:t>
      </w:r>
    </w:p>
    <w:p/>
    <w:p>
      <w:pPr>
        <w:ind w:firstLine="720"/>
      </w:pPr>
      <w:r>
        <w:rPr>
          <w:b/>
        </w:rPr>
        <w:t>Связь «Преподаватель — Расписание»</w:t>
      </w:r>
    </w:p>
    <w:p>
      <w:pPr>
        <w:ind w:firstLine="720"/>
        <w:jc w:val="both"/>
      </w:pPr>
      <w:r>
        <w:t>Один преподаватель может проводить несколько занятий в различное время и для разных групп. Однако каждое конкретное занятие ведёт только один преподаватель. Следовательно, между сущностями «Преподаватель» и «Расписание» также существует связь «один ко многим» (1:М). Эта связь обозначается как «проводит» или «ведёт занятия». Связь является обязательной с обеих сторон: каждое занятие должно иметь назначенного преподавателя, а у каждого преподавателя должна быть хотя бы одна пара в расписании (в противном случае его данные не имеют смысла в контексте системы). В реальных условиях возможны ситуации, когда преподаватель временно не ведёт занятий, однако для упрощения модели мы рассматриваем только активных сотрудников.</w:t>
      </w:r>
    </w:p>
    <w:p/>
    <w:p>
      <w:pPr>
        <w:ind w:firstLine="720"/>
      </w:pPr>
      <w:r>
        <w:rPr>
          <w:b/>
        </w:rPr>
        <w:t>Связь «Аудитория — Расписание»</w:t>
      </w:r>
    </w:p>
    <w:p>
      <w:pPr>
        <w:ind w:firstLine="720"/>
        <w:jc w:val="both"/>
      </w:pPr>
      <w:r>
        <w:t>Одна аудитория может использоваться для проведения множества занятий в разное время. При этом каждое занятие проводится в одной конкретной аудитории. Таким образом, между сущностями «Аудитория» и «Расписание» существует связь типа «один ко многим» (1:М), которая обозначается как «занимается» или «используется для». Эта связь обязательна со стороны расписания: каждое занятие должно быть привязано к определённой аудитории. Важным аспектом данной связи является контроль уникальности: одна и та же аудитория не может быть занята несколькими занятиями одновременно, то есть в один день недели в одно и то же время (на одной паре).</w:t>
      </w:r>
    </w:p>
    <w:p/>
    <w:p>
      <w:pPr>
        <w:ind w:firstLine="720"/>
        <w:jc w:val="both"/>
      </w:pPr>
      <w:r>
        <w:t>Важно отметить, что все три связи сходятся на сущности «Расписание», которая выступает в роли связующего элемента между преподавателями, группами и аудиториями. Именно в таблице расписания хранятся ссылки (внешние ключи) на соответствующие записи в таблицах преподавателей, групп и аудиторий. Такая структура позволяет гибко управлять распределением ресурсов и обеспечивает целостность данных.</w:t>
      </w:r>
    </w:p>
    <w:p/>
    <w:p/>
    <w:p>
      <w:pPr>
        <w:ind w:firstLine="720"/>
      </w:pPr>
      <w:r>
        <w:rPr>
          <w:b/>
          <w:sz w:val="26"/>
        </w:rPr>
        <w:t>ER-модель в нотации Чена</w:t>
      </w:r>
    </w:p>
    <w:p>
      <w:pPr>
        <w:ind w:firstLine="720"/>
        <w:jc w:val="both"/>
      </w:pPr>
      <w:r>
        <w:t>На основе выделенных сущностей, их атрибутов и установленных связей была построена ER-диаграмма в нотации Питера Чена. В данной нотации сущности изображаются прямоугольниками, атрибуты — овалами, связанными линиями с соответствующими сущностями, а отношения между сущностями обозначаются ромбами. Ключевые атрибуты, которые однозначно идентифицируют экземпляр сущности, подчёркиваются. Кардинальность связи (тип отношения) обозначается символами «1» для стороны «один» и «М» для стороны «много».</w:t>
      </w:r>
    </w:p>
    <w:p>
      <w:pPr>
        <w:ind w:firstLine="720"/>
        <w:jc w:val="both"/>
      </w:pPr>
      <w:r>
        <w:t>На диаграмме представлены все пять сущностей системы: Преподаватель, Группа, Аудитория, Расписание и Пользователь. Для каждой сущности указаны её основные атрибуты. Так, у сущности «Преподаватель» показаны атрибуты «Код преподавателя» (ключевой атрибут), «ФИО» и «Кафедра». У сущности «Группа» — «Код группы» (ключ) и «Название». У сущности «Аудитория» — «Код аудитории» (ключ) и «Номер аудитории». Сущность «Расписание» имеет собственные атрибуты «Код записи» (ключ), «День недели», «Номер пары» и «Предмет», а также связи с тремя другими сущностями. Сущность «Пользователь» включает атрибуты «Код пользователя» (ключ), «Логин» и «Пароль».</w:t>
      </w:r>
    </w:p>
    <w:p>
      <w:pPr>
        <w:ind w:firstLine="720"/>
        <w:jc w:val="both"/>
      </w:pPr>
      <w:r>
        <w:t>Связи между сущностями отображены следующим образом: между «Группа» и «Расписание» — связь «Обучается» с кардинальностью 1:М, между «Преподаватель» и «Расписание» — связь «Проводит» с кардинальностью 1:М, между «Аудитория» и «Расписание» — связь «Занимает» с кардинальностью 1:М. Графическое представление модели приведено на рисунке 1.</w:t>
      </w:r>
    </w:p>
    <w:p/>
    <w:p>
      <w:pPr>
        <w:jc w:val="center"/>
      </w:pPr>
      <w:r>
        <w:rPr>
          <w:rFonts w:ascii="Times New Roman" w:hAnsi="Times New Roman" w:cs="Times New Roman"/>
          <w:noProof/>
          <w:sz w:val="28"/>
          <w:szCs w:val="28"/>
          <w:lang w:eastAsia="ru-RU"/>
        </w:rPr>
        <w:lastRenderedPageBreak/>
        <w:drawing>
          <wp:inline distT="0" distB="0" distL="0" distR="0">
            <wp:extent cx="5027403" cy="4360419"/>
            <wp:effectExtent l="19050" t="0" r="1797"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5036862" cy="4368623"/>
                    </a:xfrm>
                    <a:prstGeom prst="rect">
                      <a:avLst/>
                    </a:prstGeom>
                    <a:noFill/>
                    <a:ln w="9525">
                      <a:noFill/>
                      <a:miter lim="800000"/>
                      <a:headEnd/>
                      <a:tailEnd/>
                    </a:ln>
                  </pic:spPr>
                </pic:pic>
              </a:graphicData>
            </a:graphic>
          </wp:inline>
        </w:drawing>
      </w:r>
    </w:p>
    <w:p/>
    <w:p>
      <w:pPr>
        <w:jc w:val="center"/>
      </w:pPr>
      <w:r>
        <w:rPr>
          <w:sz w:val="24"/>
        </w:rPr>
        <w:t>Рисунок 1 — Концептуальная модель базы данных</w:t>
      </w:r>
    </w:p>
    <w:p/>
    <w:p/>
    <w:p>
      <w:pPr>
        <w:ind w:firstLine="720"/>
      </w:pPr>
      <w:r>
        <w:rPr>
          <w:b/>
          <w:sz w:val="26"/>
        </w:rPr>
        <w:t>Определение характеристик атрибутов и доменов</w:t>
      </w:r>
    </w:p>
    <w:p>
      <w:pPr>
        <w:ind w:firstLine="720"/>
        <w:jc w:val="both"/>
      </w:pPr>
      <w:r>
        <w:t>Атрибут — это свойство или характеристика сущности. Каждый атрибут имеет имя, которое должно быть уникальным в пределах одной сущности, и тип данных, определяющий допустимые значения. Домен атрибута — это множество всех возможных значений, которые может принимать данный атрибут. Например, домен атрибута «Номер пары» — это целые числа от 1 до 5, поскольку в течение учебного дня проводится не более пяти пар. Домен атрибута «День недели» — это названия дней недели от понедельника до пятницы.</w:t>
      </w:r>
    </w:p>
    <w:p>
      <w:pPr>
        <w:ind w:firstLine="720"/>
        <w:jc w:val="both"/>
      </w:pPr>
      <w:r>
        <w:t>Атрибуты классифицируются по нескольким признакам. По количеству значений атрибуты делятся на однозначные (принимающие одно значение для каждого экземпляра сущности) и многозначные (могущие принимать несколько значений). В нашей модели все атрибуты являются однозначными. По роли в идентификации сущности атрибуты делятся на ключевые и описательные. Ключевой атрибут (или группа атрибутов) однозначно идентифицирует каждый экземпляр сущности. В разработанной модели ключевыми атрибутами являются коды (идентификаторы) сущностей: код преподавателя, код группы, код аудитории, код записи расписания и код пользователя. Описательные атрибуты предоставляют дополнительную информацию о сущности.</w:t>
      </w:r>
    </w:p>
    <w:p>
      <w:pPr>
        <w:ind w:firstLine="720"/>
        <w:jc w:val="both"/>
      </w:pPr>
      <w:r>
        <w:t>Для наглядного представления характеристик атрибутов была составлена таблица, в которой для каждого атрибута указаны его наименование, вид (сущность или атрибут), домен (множество допустимых значений) и характеристики. Характеристики включают тип данных (числовой или текстовый), является ли атрибут целым числом, однозначным или многозначным, а также выполняет ли он роль потенциального ключа, внешнего ключа или обычного описательного атрибута.</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НАИМЕНОВАНИЕ</w:t>
            </w:r>
          </w:p>
        </w:tc>
        <w:tc>
          <w:tcPr>
            <w:tcW w:type="dxa" w:w="2160"/>
          </w:tcPr>
          <w:p>
            <w:r>
              <w:rPr>
                <w:b/>
              </w:rPr>
              <w:t>ВИД</w:t>
            </w:r>
          </w:p>
        </w:tc>
        <w:tc>
          <w:tcPr>
            <w:tcW w:type="dxa" w:w="2160"/>
          </w:tcPr>
          <w:p>
            <w:r>
              <w:rPr>
                <w:b/>
              </w:rPr>
              <w:t>ДОМЕН</w:t>
            </w:r>
          </w:p>
        </w:tc>
        <w:tc>
          <w:tcPr>
            <w:tcW w:type="dxa" w:w="2160"/>
          </w:tcPr>
          <w:p>
            <w:r>
              <w:rPr>
                <w:b/>
              </w:rPr>
              <w:t>ХАРАКТЕРИСТИКИ АТРИБУТА</w:t>
            </w:r>
          </w:p>
        </w:tc>
      </w:tr>
      <w:tr>
        <w:tc>
          <w:tcPr>
            <w:tcW w:type="dxa" w:w="2160"/>
          </w:tcPr>
          <w:p>
            <w:r>
              <w:t>Преподаватель</w:t>
            </w:r>
          </w:p>
        </w:tc>
        <w:tc>
          <w:tcPr>
            <w:tcW w:type="dxa" w:w="2160"/>
          </w:tcPr>
          <w:p>
            <w:r>
              <w:t>сущность</w:t>
            </w:r>
          </w:p>
        </w:tc>
        <w:tc>
          <w:tcPr>
            <w:tcW w:type="dxa" w:w="2160"/>
          </w:tcPr>
          <w:p>
            <w:r>
              <w:t>-</w:t>
            </w:r>
          </w:p>
        </w:tc>
        <w:tc>
          <w:tcPr>
            <w:tcW w:type="dxa" w:w="2160"/>
          </w:tcPr>
          <w:p>
            <w:r>
              <w:t>-</w:t>
            </w:r>
          </w:p>
        </w:tc>
      </w:tr>
      <w:tr>
        <w:tc>
          <w:tcPr>
            <w:tcW w:type="dxa" w:w="2160"/>
          </w:tcPr>
          <w:p>
            <w:r>
              <w:t>Код преподавателя</w:t>
            </w:r>
          </w:p>
        </w:tc>
        <w:tc>
          <w:tcPr>
            <w:tcW w:type="dxa" w:w="2160"/>
          </w:tcPr>
          <w:p>
            <w:r>
              <w:t>атрибут</w:t>
            </w:r>
          </w:p>
        </w:tc>
        <w:tc>
          <w:tcPr>
            <w:tcW w:type="dxa" w:w="2160"/>
          </w:tcPr>
          <w:p>
            <w:r>
              <w:t>Число более 1</w:t>
            </w:r>
          </w:p>
        </w:tc>
        <w:tc>
          <w:tcPr>
            <w:tcW w:type="dxa" w:w="2160"/>
          </w:tcPr>
          <w:p>
            <w:r>
              <w:t>Числовой, целый, однозначный, потенциальный ключ</w:t>
            </w:r>
          </w:p>
        </w:tc>
      </w:tr>
      <w:tr>
        <w:tc>
          <w:tcPr>
            <w:tcW w:type="dxa" w:w="2160"/>
          </w:tcPr>
          <w:p>
            <w:r>
              <w:t>ФИО Преподавателя</w:t>
            </w:r>
          </w:p>
        </w:tc>
        <w:tc>
          <w:tcPr>
            <w:tcW w:type="dxa" w:w="2160"/>
          </w:tcPr>
          <w:p>
            <w:r>
              <w:t>атрибут</w:t>
            </w:r>
          </w:p>
        </w:tc>
        <w:tc>
          <w:tcPr>
            <w:tcW w:type="dxa" w:w="2160"/>
          </w:tcPr>
          <w:p>
            <w:r>
              <w:t>Текстовые значения</w:t>
            </w:r>
          </w:p>
        </w:tc>
        <w:tc>
          <w:tcPr>
            <w:tcW w:type="dxa" w:w="2160"/>
          </w:tcPr>
          <w:p>
            <w:r>
              <w:t>Текстовый, однозначный</w:t>
            </w:r>
          </w:p>
        </w:tc>
      </w:tr>
      <w:tr>
        <w:tc>
          <w:tcPr>
            <w:tcW w:type="dxa" w:w="2160"/>
          </w:tcPr>
          <w:p>
            <w:r>
              <w:t>Кафедра</w:t>
            </w:r>
          </w:p>
        </w:tc>
        <w:tc>
          <w:tcPr>
            <w:tcW w:type="dxa" w:w="2160"/>
          </w:tcPr>
          <w:p>
            <w:r>
              <w:t>атрибут</w:t>
            </w:r>
          </w:p>
        </w:tc>
        <w:tc>
          <w:tcPr>
            <w:tcW w:type="dxa" w:w="2160"/>
          </w:tcPr>
          <w:p>
            <w:r>
              <w:t>Текстовые значения</w:t>
            </w:r>
          </w:p>
        </w:tc>
        <w:tc>
          <w:tcPr>
            <w:tcW w:type="dxa" w:w="2160"/>
          </w:tcPr>
          <w:p>
            <w:r>
              <w:t>Текстовый, однозначный</w:t>
            </w:r>
          </w:p>
        </w:tc>
      </w:tr>
      <w:tr>
        <w:tc>
          <w:tcPr>
            <w:tcW w:type="dxa" w:w="2160"/>
          </w:tcPr>
          <w:p>
            <w:r>
              <w:t>Группа</w:t>
            </w:r>
          </w:p>
        </w:tc>
        <w:tc>
          <w:tcPr>
            <w:tcW w:type="dxa" w:w="2160"/>
          </w:tcPr>
          <w:p>
            <w:r>
              <w:t>сущность</w:t>
            </w:r>
          </w:p>
        </w:tc>
        <w:tc>
          <w:tcPr>
            <w:tcW w:type="dxa" w:w="2160"/>
          </w:tcPr>
          <w:p>
            <w:r>
              <w:t>-</w:t>
            </w:r>
          </w:p>
        </w:tc>
        <w:tc>
          <w:tcPr>
            <w:tcW w:type="dxa" w:w="2160"/>
          </w:tcPr>
          <w:p>
            <w:r>
              <w:t>-</w:t>
            </w:r>
          </w:p>
        </w:tc>
      </w:tr>
      <w:tr>
        <w:tc>
          <w:tcPr>
            <w:tcW w:type="dxa" w:w="2160"/>
          </w:tcPr>
          <w:p>
            <w:r>
              <w:t>Код группы</w:t>
            </w:r>
          </w:p>
        </w:tc>
        <w:tc>
          <w:tcPr>
            <w:tcW w:type="dxa" w:w="2160"/>
          </w:tcPr>
          <w:p>
            <w:r>
              <w:t>атрибут</w:t>
            </w:r>
          </w:p>
        </w:tc>
        <w:tc>
          <w:tcPr>
            <w:tcW w:type="dxa" w:w="2160"/>
          </w:tcPr>
          <w:p>
            <w:r>
              <w:t>Число более 1</w:t>
            </w:r>
          </w:p>
        </w:tc>
        <w:tc>
          <w:tcPr>
            <w:tcW w:type="dxa" w:w="2160"/>
          </w:tcPr>
          <w:p>
            <w:r>
              <w:t>Числовой, целый, однозначный, потенциальный ключ</w:t>
            </w:r>
          </w:p>
        </w:tc>
      </w:tr>
      <w:tr>
        <w:tc>
          <w:tcPr>
            <w:tcW w:type="dxa" w:w="2160"/>
          </w:tcPr>
          <w:p>
            <w:r>
              <w:t>Название группы</w:t>
            </w:r>
          </w:p>
        </w:tc>
        <w:tc>
          <w:tcPr>
            <w:tcW w:type="dxa" w:w="2160"/>
          </w:tcPr>
          <w:p>
            <w:r>
              <w:t>атрибут</w:t>
            </w:r>
          </w:p>
        </w:tc>
        <w:tc>
          <w:tcPr>
            <w:tcW w:type="dxa" w:w="2160"/>
          </w:tcPr>
          <w:p>
            <w:r>
              <w:t>Буквы и цифры</w:t>
            </w:r>
          </w:p>
        </w:tc>
        <w:tc>
          <w:tcPr>
            <w:tcW w:type="dxa" w:w="2160"/>
          </w:tcPr>
          <w:p>
            <w:r>
              <w:t>Текстовый, однозначный, уникальный</w:t>
            </w:r>
          </w:p>
        </w:tc>
      </w:tr>
      <w:tr>
        <w:tc>
          <w:tcPr>
            <w:tcW w:type="dxa" w:w="2160"/>
          </w:tcPr>
          <w:p>
            <w:r>
              <w:t>Аудитория</w:t>
            </w:r>
          </w:p>
        </w:tc>
        <w:tc>
          <w:tcPr>
            <w:tcW w:type="dxa" w:w="2160"/>
          </w:tcPr>
          <w:p>
            <w:r>
              <w:t>сущность</w:t>
            </w:r>
          </w:p>
        </w:tc>
        <w:tc>
          <w:tcPr>
            <w:tcW w:type="dxa" w:w="2160"/>
          </w:tcPr>
          <w:p>
            <w:r>
              <w:t>-</w:t>
            </w:r>
          </w:p>
        </w:tc>
        <w:tc>
          <w:tcPr>
            <w:tcW w:type="dxa" w:w="2160"/>
          </w:tcPr>
          <w:p>
            <w:r>
              <w:t>-</w:t>
            </w:r>
          </w:p>
        </w:tc>
      </w:tr>
      <w:tr>
        <w:tc>
          <w:tcPr>
            <w:tcW w:type="dxa" w:w="2160"/>
          </w:tcPr>
          <w:p>
            <w:r>
              <w:t>Код аудитории</w:t>
            </w:r>
          </w:p>
        </w:tc>
        <w:tc>
          <w:tcPr>
            <w:tcW w:type="dxa" w:w="2160"/>
          </w:tcPr>
          <w:p>
            <w:r>
              <w:t>атрибут</w:t>
            </w:r>
          </w:p>
        </w:tc>
        <w:tc>
          <w:tcPr>
            <w:tcW w:type="dxa" w:w="2160"/>
          </w:tcPr>
          <w:p>
            <w:r>
              <w:t>Число более 1</w:t>
            </w:r>
          </w:p>
        </w:tc>
        <w:tc>
          <w:tcPr>
            <w:tcW w:type="dxa" w:w="2160"/>
          </w:tcPr>
          <w:p>
            <w:r>
              <w:t>Числовой, целый, однозначный, потенциальный ключ</w:t>
            </w:r>
          </w:p>
        </w:tc>
      </w:tr>
      <w:tr>
        <w:tc>
          <w:tcPr>
            <w:tcW w:type="dxa" w:w="2160"/>
          </w:tcPr>
          <w:p>
            <w:r>
              <w:t>Номер аудитории</w:t>
            </w:r>
          </w:p>
        </w:tc>
        <w:tc>
          <w:tcPr>
            <w:tcW w:type="dxa" w:w="2160"/>
          </w:tcPr>
          <w:p>
            <w:r>
              <w:t>атрибут</w:t>
            </w:r>
          </w:p>
        </w:tc>
        <w:tc>
          <w:tcPr>
            <w:tcW w:type="dxa" w:w="2160"/>
          </w:tcPr>
          <w:p>
            <w:r>
              <w:t>Цифры и текст</w:t>
            </w:r>
          </w:p>
        </w:tc>
        <w:tc>
          <w:tcPr>
            <w:tcW w:type="dxa" w:w="2160"/>
          </w:tcPr>
          <w:p>
            <w:r>
              <w:t>Текстовый, однозначный</w:t>
            </w:r>
          </w:p>
        </w:tc>
      </w:tr>
      <w:tr>
        <w:tc>
          <w:tcPr>
            <w:tcW w:type="dxa" w:w="2160"/>
          </w:tcPr>
          <w:p>
            <w:r>
              <w:t>Расписание</w:t>
            </w:r>
          </w:p>
        </w:tc>
        <w:tc>
          <w:tcPr>
            <w:tcW w:type="dxa" w:w="2160"/>
          </w:tcPr>
          <w:p>
            <w:r>
              <w:t>сущность</w:t>
            </w:r>
          </w:p>
        </w:tc>
        <w:tc>
          <w:tcPr>
            <w:tcW w:type="dxa" w:w="2160"/>
          </w:tcPr>
          <w:p>
            <w:r>
              <w:t>-</w:t>
            </w:r>
          </w:p>
        </w:tc>
        <w:tc>
          <w:tcPr>
            <w:tcW w:type="dxa" w:w="2160"/>
          </w:tcPr>
          <w:p>
            <w:r>
              <w:t>-</w:t>
            </w:r>
          </w:p>
        </w:tc>
      </w:tr>
      <w:tr>
        <w:tc>
          <w:tcPr>
            <w:tcW w:type="dxa" w:w="2160"/>
          </w:tcPr>
          <w:p>
            <w:r>
              <w:t>Код записи</w:t>
            </w:r>
          </w:p>
        </w:tc>
        <w:tc>
          <w:tcPr>
            <w:tcW w:type="dxa" w:w="2160"/>
          </w:tcPr>
          <w:p>
            <w:r>
              <w:t>атрибут</w:t>
            </w:r>
          </w:p>
        </w:tc>
        <w:tc>
          <w:tcPr>
            <w:tcW w:type="dxa" w:w="2160"/>
          </w:tcPr>
          <w:p>
            <w:r>
              <w:t>Число более 1</w:t>
            </w:r>
          </w:p>
        </w:tc>
        <w:tc>
          <w:tcPr>
            <w:tcW w:type="dxa" w:w="2160"/>
          </w:tcPr>
          <w:p>
            <w:r>
              <w:t>Числовой, целый, однозначный, потенциальный ключ</w:t>
            </w:r>
          </w:p>
        </w:tc>
      </w:tr>
      <w:tr>
        <w:tc>
          <w:tcPr>
            <w:tcW w:type="dxa" w:w="2160"/>
          </w:tcPr>
          <w:p>
            <w:r>
              <w:t>День недели</w:t>
            </w:r>
          </w:p>
        </w:tc>
        <w:tc>
          <w:tcPr>
            <w:tcW w:type="dxa" w:w="2160"/>
          </w:tcPr>
          <w:p>
            <w:r>
              <w:t>атрибут</w:t>
            </w:r>
          </w:p>
        </w:tc>
        <w:tc>
          <w:tcPr>
            <w:tcW w:type="dxa" w:w="2160"/>
          </w:tcPr>
          <w:p>
            <w:r>
              <w:t>Текст из списка дней</w:t>
            </w:r>
          </w:p>
        </w:tc>
        <w:tc>
          <w:tcPr>
            <w:tcW w:type="dxa" w:w="2160"/>
          </w:tcPr>
          <w:p>
            <w:r>
              <w:t>Текстовый, однозначный</w:t>
            </w:r>
          </w:p>
        </w:tc>
      </w:tr>
      <w:tr>
        <w:tc>
          <w:tcPr>
            <w:tcW w:type="dxa" w:w="2160"/>
          </w:tcPr>
          <w:p>
            <w:r>
              <w:t>Номер пары</w:t>
            </w:r>
          </w:p>
        </w:tc>
        <w:tc>
          <w:tcPr>
            <w:tcW w:type="dxa" w:w="2160"/>
          </w:tcPr>
          <w:p>
            <w:r>
              <w:t>атрибут</w:t>
            </w:r>
          </w:p>
        </w:tc>
        <w:tc>
          <w:tcPr>
            <w:tcW w:type="dxa" w:w="2160"/>
          </w:tcPr>
          <w:p>
            <w:r>
              <w:t>Число от 1 до 5</w:t>
            </w:r>
          </w:p>
        </w:tc>
        <w:tc>
          <w:tcPr>
            <w:tcW w:type="dxa" w:w="2160"/>
          </w:tcPr>
          <w:p>
            <w:r>
              <w:t>Числовой, целый, однозначный</w:t>
            </w:r>
          </w:p>
        </w:tc>
      </w:tr>
      <w:tr>
        <w:tc>
          <w:tcPr>
            <w:tcW w:type="dxa" w:w="2160"/>
          </w:tcPr>
          <w:p>
            <w:r>
              <w:t>Название предмета</w:t>
            </w:r>
          </w:p>
        </w:tc>
        <w:tc>
          <w:tcPr>
            <w:tcW w:type="dxa" w:w="2160"/>
          </w:tcPr>
          <w:p>
            <w:r>
              <w:t>атрибут</w:t>
            </w:r>
          </w:p>
        </w:tc>
        <w:tc>
          <w:tcPr>
            <w:tcW w:type="dxa" w:w="2160"/>
          </w:tcPr>
          <w:p>
            <w:r>
              <w:t>Текстовые значения</w:t>
            </w:r>
          </w:p>
        </w:tc>
        <w:tc>
          <w:tcPr>
            <w:tcW w:type="dxa" w:w="2160"/>
          </w:tcPr>
          <w:p>
            <w:r>
              <w:t>Текстовый, однозначный</w:t>
            </w:r>
          </w:p>
        </w:tc>
      </w:tr>
      <w:tr>
        <w:tc>
          <w:tcPr>
            <w:tcW w:type="dxa" w:w="2160"/>
          </w:tcPr>
          <w:p>
            <w:r>
              <w:t>Код преподавателя</w:t>
            </w:r>
          </w:p>
        </w:tc>
        <w:tc>
          <w:tcPr>
            <w:tcW w:type="dxa" w:w="2160"/>
          </w:tcPr>
          <w:p>
            <w:r>
              <w:t>атрибут</w:t>
            </w:r>
          </w:p>
        </w:tc>
        <w:tc>
          <w:tcPr>
            <w:tcW w:type="dxa" w:w="2160"/>
          </w:tcPr>
          <w:p>
            <w:r>
              <w:t>Число более 1</w:t>
            </w:r>
          </w:p>
        </w:tc>
        <w:tc>
          <w:tcPr>
            <w:tcW w:type="dxa" w:w="2160"/>
          </w:tcPr>
          <w:p>
            <w:r>
              <w:t>Числовой, внешний ключ</w:t>
            </w:r>
          </w:p>
        </w:tc>
      </w:tr>
      <w:tr>
        <w:tc>
          <w:tcPr>
            <w:tcW w:type="dxa" w:w="2160"/>
          </w:tcPr>
          <w:p>
            <w:r>
              <w:t>Код группы</w:t>
            </w:r>
          </w:p>
        </w:tc>
        <w:tc>
          <w:tcPr>
            <w:tcW w:type="dxa" w:w="2160"/>
          </w:tcPr>
          <w:p>
            <w:r>
              <w:t>атрибут</w:t>
            </w:r>
          </w:p>
        </w:tc>
        <w:tc>
          <w:tcPr>
            <w:tcW w:type="dxa" w:w="2160"/>
          </w:tcPr>
          <w:p>
            <w:r>
              <w:t>Число более 1</w:t>
            </w:r>
          </w:p>
        </w:tc>
        <w:tc>
          <w:tcPr>
            <w:tcW w:type="dxa" w:w="2160"/>
          </w:tcPr>
          <w:p>
            <w:r>
              <w:t>Числовой, внешний ключ</w:t>
            </w:r>
          </w:p>
        </w:tc>
      </w:tr>
      <w:tr>
        <w:tc>
          <w:tcPr>
            <w:tcW w:type="dxa" w:w="2160"/>
          </w:tcPr>
          <w:p>
            <w:r>
              <w:t>Код аудитории</w:t>
            </w:r>
          </w:p>
        </w:tc>
        <w:tc>
          <w:tcPr>
            <w:tcW w:type="dxa" w:w="2160"/>
          </w:tcPr>
          <w:p>
            <w:r>
              <w:t>атрибут</w:t>
            </w:r>
          </w:p>
        </w:tc>
        <w:tc>
          <w:tcPr>
            <w:tcW w:type="dxa" w:w="2160"/>
          </w:tcPr>
          <w:p>
            <w:r>
              <w:t>Число более 1</w:t>
            </w:r>
          </w:p>
        </w:tc>
        <w:tc>
          <w:tcPr>
            <w:tcW w:type="dxa" w:w="2160"/>
          </w:tcPr>
          <w:p>
            <w:r>
              <w:t>Числовой, внешний ключ</w:t>
            </w:r>
          </w:p>
        </w:tc>
      </w:tr>
      <w:tr>
        <w:tc>
          <w:tcPr>
            <w:tcW w:type="dxa" w:w="2160"/>
          </w:tcPr>
          <w:p>
            <w:r>
              <w:t>Пользователь</w:t>
            </w:r>
          </w:p>
        </w:tc>
        <w:tc>
          <w:tcPr>
            <w:tcW w:type="dxa" w:w="2160"/>
          </w:tcPr>
          <w:p>
            <w:r>
              <w:t>сущность</w:t>
            </w:r>
          </w:p>
        </w:tc>
        <w:tc>
          <w:tcPr>
            <w:tcW w:type="dxa" w:w="2160"/>
          </w:tcPr>
          <w:p>
            <w:r>
              <w:t>-</w:t>
            </w:r>
          </w:p>
        </w:tc>
        <w:tc>
          <w:tcPr>
            <w:tcW w:type="dxa" w:w="2160"/>
          </w:tcPr>
          <w:p>
            <w:r>
              <w:t>-</w:t>
            </w:r>
          </w:p>
        </w:tc>
      </w:tr>
      <w:tr>
        <w:tc>
          <w:tcPr>
            <w:tcW w:type="dxa" w:w="2160"/>
          </w:tcPr>
          <w:p>
            <w:r>
              <w:t>Код пользователя</w:t>
            </w:r>
          </w:p>
        </w:tc>
        <w:tc>
          <w:tcPr>
            <w:tcW w:type="dxa" w:w="2160"/>
          </w:tcPr>
          <w:p>
            <w:r>
              <w:t>атрибут</w:t>
            </w:r>
          </w:p>
        </w:tc>
        <w:tc>
          <w:tcPr>
            <w:tcW w:type="dxa" w:w="2160"/>
          </w:tcPr>
          <w:p>
            <w:r>
              <w:t>Число более 1</w:t>
            </w:r>
          </w:p>
        </w:tc>
        <w:tc>
          <w:tcPr>
            <w:tcW w:type="dxa" w:w="2160"/>
          </w:tcPr>
          <w:p>
            <w:r>
              <w:t>Числовой, целый, однозначный, потенциальный ключ</w:t>
            </w:r>
          </w:p>
        </w:tc>
      </w:tr>
      <w:tr>
        <w:tc>
          <w:tcPr>
            <w:tcW w:type="dxa" w:w="2160"/>
          </w:tcPr>
          <w:p>
            <w:r>
              <w:t>Логин</w:t>
            </w:r>
          </w:p>
        </w:tc>
        <w:tc>
          <w:tcPr>
            <w:tcW w:type="dxa" w:w="2160"/>
          </w:tcPr>
          <w:p>
            <w:r>
              <w:t>атрибут</w:t>
            </w:r>
          </w:p>
        </w:tc>
        <w:tc>
          <w:tcPr>
            <w:tcW w:type="dxa" w:w="2160"/>
          </w:tcPr>
          <w:p>
            <w:r>
              <w:t>Текстовые значения</w:t>
            </w:r>
          </w:p>
        </w:tc>
        <w:tc>
          <w:tcPr>
            <w:tcW w:type="dxa" w:w="2160"/>
          </w:tcPr>
          <w:p>
            <w:r>
              <w:t>Текстовый, однозначный, уникальный</w:t>
            </w:r>
          </w:p>
        </w:tc>
      </w:tr>
      <w:tr>
        <w:tc>
          <w:tcPr>
            <w:tcW w:type="dxa" w:w="2160"/>
          </w:tcPr>
          <w:p>
            <w:r>
              <w:t>Пароль</w:t>
            </w:r>
          </w:p>
        </w:tc>
        <w:tc>
          <w:tcPr>
            <w:tcW w:type="dxa" w:w="2160"/>
          </w:tcPr>
          <w:p>
            <w:r>
              <w:t>атрибут</w:t>
            </w:r>
          </w:p>
        </w:tc>
        <w:tc>
          <w:tcPr>
            <w:tcW w:type="dxa" w:w="2160"/>
          </w:tcPr>
          <w:p>
            <w:r>
              <w:t>Текстовые значения</w:t>
            </w:r>
          </w:p>
        </w:tc>
        <w:tc>
          <w:tcPr>
            <w:tcW w:type="dxa" w:w="2160"/>
          </w:tcPr>
          <w:p>
            <w:r>
              <w:t>Текстовый, однозначный</w:t>
            </w:r>
          </w:p>
        </w:tc>
      </w:tr>
    </w:tbl>
    <w:p/>
    <w:p>
      <w:pPr>
        <w:ind w:firstLine="720"/>
        <w:jc w:val="both"/>
      </w:pPr>
      <w:r>
        <w:t>Таким образом, на этапе концептуального проектирования была создана полная модель предметной области, включающая пять сущностей с их атрибутами и связями. Построенная ER-диаграмма наглядно отображает структуру данных и служит основой для дальнейшего логического и физического проектирования базы данных.</w:t>
      </w:r>
    </w:p>
    <w:p>
      <w:r>
        <w:br w:type="page"/>
      </w:r>
    </w:p>
    <w:p>
      <w:r>
        <w:rPr>
          <w:b/>
          <w:sz w:val="28"/>
        </w:rPr>
        <w:t>2.4 Логическое и физическое проектирование базы данных</w:t>
      </w:r>
    </w:p>
    <w:p/>
    <w:p>
      <w:pPr>
        <w:ind w:firstLine="720"/>
        <w:jc w:val="both"/>
      </w:pPr>
      <w:r>
        <w:t>Логическое проектирование — это процесс преобразования концептуальной модели в логическую схему базы данных, которая может быть реализована в конкретной СУБД. На этом этапе сущности преобразуются в таблицы (отношения), атрибуты становятся столбцами таблиц, а связи между сущностями реализуются с помощью внешних ключей. Логическая модель описывает структуру данных независимо от конкретных особенностей выбранной СУБД, но уже в терминах реляционной модели. Основная цель логического проектирования — получить набор нормализованных таблиц, которые обеспечивают эффективное хранение данных без избыточности и аномалий.</w:t>
      </w:r>
    </w:p>
    <w:p>
      <w:pPr>
        <w:ind w:firstLine="720"/>
        <w:jc w:val="both"/>
      </w:pPr>
      <w:r>
        <w:t>Физическое проектирование дополняет логическую модель деталями, специфичными для конкретной СУБД. На этом этапе определяются физические типы данных для каждого столбца, индексы для ускорения поиска, ограничения целостности, методы хранения данных и другие параметры, влияющие на производительность и надёжность системы. Физическая модель учитывает особенности выбранной СУБД — в нашем случае Microsoft SQL Server — и оптимизируется для эффективной работы с данными.</w:t>
      </w:r>
    </w:p>
    <w:p/>
    <w:p>
      <w:pPr>
        <w:ind w:firstLine="720"/>
      </w:pPr>
      <w:r>
        <w:rPr>
          <w:b/>
          <w:sz w:val="26"/>
        </w:rPr>
        <w:t>Нормализация базы данных</w:t>
      </w:r>
    </w:p>
    <w:p>
      <w:pPr>
        <w:ind w:firstLine="720"/>
        <w:jc w:val="both"/>
      </w:pPr>
      <w:r>
        <w:t>Нормализация — это процесс организации данных в базе данных с целью уменьшения избыточности и устранения аномалий при добавлении, изменении и удалении данных. Нормализация осуществляется путём декомпозиции таблиц на более мелкие в соответствии с определёнными правилами, называемыми нормальными формами. Существует несколько уровней нормализации: первая нормальная форма (1НФ), вторая (2НФ), третья (3НФ), нормальная форма Бойса-Кодда (НФБК) и другие. Для большинства практических задач достаточно приведения базы данных к третьей нормальной форме.</w:t>
      </w:r>
    </w:p>
    <w:p>
      <w:pPr>
        <w:ind w:firstLine="720"/>
        <w:jc w:val="both"/>
      </w:pPr>
      <w:r>
        <w:t>Первая нормальная форма требует, чтобы каждый атрибут таблицы содержал только атомарные (неделимые) значения, и в таблице не было повторяющихся групп. Вторая нормальная форма дополнительно требует, чтобы каждый неключевой атрибут полностью зависел от первичного ключа, а не от его части. Третья нормальная форма исключает транзитивные зависимости: все неключевые атрибуты должны зависеть только от первичного ключа, а не от других неключевых атрибутов.</w:t>
      </w:r>
    </w:p>
    <w:p>
      <w:pPr>
        <w:ind w:firstLine="720"/>
        <w:jc w:val="both"/>
      </w:pPr>
      <w:r>
        <w:t>Разработанная структура базы данных соответствует третьей нормальной форме. Каждая таблица имеет первичный ключ, все атрибуты содержат атомарные значения, отсутствуют частичные и транзитивные зависимости. Таблицы «Lecturers», «Groups» и «Rooms» представляют собой справочники, содержащие независимую информацию о преподавателях, группах и аудиториях. Таблица «Schedules» связывает эти справочники через внешние ключи, при этом собственные атрибуты расписания (день недели, номер пары, название предмета) зависят только от первичного ключа записи расписания.</w:t>
      </w:r>
    </w:p>
    <w:p/>
    <w:p/>
    <w:p>
      <w:pPr>
        <w:ind w:firstLine="720"/>
      </w:pPr>
      <w:r>
        <w:rPr>
          <w:b/>
          <w:sz w:val="26"/>
        </w:rPr>
        <w:t>Логическая схема базы данных</w:t>
      </w:r>
    </w:p>
    <w:p>
      <w:pPr>
        <w:ind w:firstLine="720"/>
        <w:jc w:val="both"/>
      </w:pPr>
      <w:r>
        <w:t>Логическая схема базы данных представляет собой набор таблиц и связей между ними. Каждая таблица описывается именем и списком столбцов с указанием первичных и внешних ключей. В результате логического проектирования были получены следующие таблицы:</w:t>
      </w:r>
    </w:p>
    <w:p/>
    <w:p>
      <w:pPr>
        <w:ind w:left="720"/>
        <w:jc w:val="both"/>
      </w:pPr>
      <w:r>
        <w:t>— Lecturers (Преподаватели) — содержит информацию о преподавателях вуза.</w:t>
      </w:r>
    </w:p>
    <w:p>
      <w:pPr>
        <w:ind w:left="720"/>
        <w:jc w:val="both"/>
      </w:pPr>
      <w:r>
        <w:t>— Groups (Группы) — содержит информацию об учебных группах студентов.</w:t>
      </w:r>
    </w:p>
    <w:p>
      <w:pPr>
        <w:ind w:left="720"/>
        <w:jc w:val="both"/>
      </w:pPr>
      <w:r>
        <w:t>— Rooms (Аудитории) — содержит информацию об аудиторном фонде.</w:t>
      </w:r>
    </w:p>
    <w:p>
      <w:pPr>
        <w:ind w:left="720"/>
        <w:jc w:val="both"/>
      </w:pPr>
      <w:r>
        <w:t>— Schedules (Расписание) — центральная таблица, содержащая записи о занятиях и связывающая преподавателей, группы и аудитории.</w:t>
      </w:r>
    </w:p>
    <w:p>
      <w:pPr>
        <w:ind w:left="720"/>
        <w:jc w:val="both"/>
      </w:pPr>
      <w:r>
        <w:t>— Users (Пользователи) — содержит учётные данные для авторизации в системе.</w:t>
      </w:r>
    </w:p>
    <w:p/>
    <w:p>
      <w:pPr>
        <w:ind w:firstLine="720"/>
        <w:jc w:val="both"/>
      </w:pPr>
      <w:r>
        <w:t>Связи между таблицами реализованы с помощью внешних ключей. Таблица «Schedules» содержит три внешних ключа: GroupId ссылается на таблицу Groups, LecturerId — на Lecturers, RoomId — на Rooms. Это обеспечивает ссылочную целостность данных: невозможно создать запись расписания, ссылающуюся на несуществующую группу, преподавателя или аудиторию. При попытке удалить запись из справочной таблицы, на которую есть ссылки в таблице расписания, СУБД выдаст ошибку, предотвращая нарушение целостности.</w:t>
      </w:r>
    </w:p>
    <w:p>
      <w:pPr>
        <w:ind w:firstLine="720"/>
        <w:jc w:val="both"/>
      </w:pPr>
      <w:r>
        <w:t>Графическое представление логической модели с указанием таблиц, их полей и связей между таблицами может быть выполнено в виде диаграммы. Для построения такой диаграммы рекомендуется использовать специализированные инструменты проектирования баз данных.</w:t>
      </w:r>
    </w:p>
    <w:p/>
    <w:p/>
    <w:p>
      <w:pPr>
        <w:ind w:firstLine="720"/>
      </w:pPr>
      <w:r>
        <w:rPr>
          <w:b/>
          <w:sz w:val="26"/>
        </w:rPr>
        <w:t>Физическая реализация базы данных</w:t>
      </w:r>
    </w:p>
    <w:p>
      <w:pPr>
        <w:ind w:firstLine="720"/>
        <w:jc w:val="both"/>
      </w:pPr>
      <w:r>
        <w:t>Физическое проектирование включает определение конкретных типов данных для каждого поля таблицы в соответствии с возможностями СУБД Microsoft SQL Server. Выбор типов данных влияет на объём занимаемого места, скорость выполнения операций и возможности по обработке информации. Рассмотрим структуру каждой таблицы с указанием физических типов данных и ограничений.</w:t>
      </w:r>
    </w:p>
    <w:p/>
    <w:p/>
    <w:p>
      <w:pPr>
        <w:jc w:val="center"/>
      </w:pPr>
      <w:r>
        <w:rPr>
          <w:b/>
        </w:rPr>
        <w:t>Таблица 1 — Структура таблицы «Lecturers»</w:t>
      </w:r>
    </w:p>
    <w:p>
      <w:r>
        <w:rPr>
          <w:i/>
          <w:color w:val="FF0000"/>
        </w:rPr>
        <w:t>[ЗДЕСЬ ТАБЛИЦА СО СТРУКТУРОЙ: Имя поля | Тип данных | Описание]</w:t>
      </w:r>
    </w:p>
    <w:p/>
    <w:p>
      <w:pPr>
        <w:ind w:firstLine="720"/>
        <w:jc w:val="both"/>
      </w:pPr>
      <w:r>
        <w:t>Таблица «Lecturers» служит для хранения информации о преподавателях учебного заведения. Поле Id имеет тип INT (целое число) и является первичным ключом с атрибутом IDENTITY, что означает автоматическую генерацию уникальных значений при добавлении новой записи. Поле FullName типа NVARCHAR(100) предназначено для хранения фамилии, имени и отчества преподавателя. Использование типа NVARCHAR обеспечивает корректное хранение символов Unicode, включая кириллицу. Длина 100 символов достаточна для полного ФИО. Атрибут NOT NULL указывает, что поле обязательно для заполнения. Поле Department типа NVARCHAR(100) содержит название кафедры и является необязательным, поскольку некоторые преподаватели могут не относиться к конкретной кафедре.</w:t>
      </w:r>
    </w:p>
    <w:p/>
    <w:p/>
    <w:p>
      <w:pPr>
        <w:jc w:val="center"/>
      </w:pPr>
      <w:r>
        <w:rPr>
          <w:b/>
        </w:rPr>
        <w:t>Таблица 2 — Структура таблицы «Groups»</w:t>
      </w:r>
    </w:p>
    <w:p>
      <w:r>
        <w:rPr>
          <w:i/>
          <w:color w:val="FF0000"/>
        </w:rPr>
        <w:t>[ЗДЕСЬ ТАБЛИЦА СО СТРУКТУРОЙ: Имя поля | Тип данных | Описание]</w:t>
      </w:r>
    </w:p>
    <w:p/>
    <w:p>
      <w:pPr>
        <w:ind w:firstLine="720"/>
        <w:jc w:val="both"/>
      </w:pPr>
      <w:r>
        <w:t>Таблица «Groups» хранит данные об учебных группах. Поле Id — первичный ключ типа INT с автоинкрементом. Поле GroupName типа NVARCHAR(20) содержит название группы, например «ИСП-Б-234-2024». Длина 20 символов выбрана с учётом типичной структуры названий групп. На это поле наложено ограничение UNIQUE, гарантирующее уникальность названия каждой группы в базе данных. Атрибут NOT NULL делает поле обязательным. Уникальность названия группы критически важна для предотвращения путаницы при составлении расписания.</w:t>
      </w:r>
    </w:p>
    <w:p/>
    <w:p/>
    <w:p>
      <w:pPr>
        <w:jc w:val="center"/>
      </w:pPr>
      <w:r>
        <w:rPr>
          <w:b/>
        </w:rPr>
        <w:t>Таблица 3 — Структура таблицы «Rooms»</w:t>
      </w:r>
    </w:p>
    <w:p>
      <w:r>
        <w:rPr>
          <w:i/>
          <w:color w:val="FF0000"/>
        </w:rPr>
        <w:t>[ЗДЕСЬ ТАБЛИЦА СО СТРУКТУРОЙ: Имя поля | Тип данных | Описание]</w:t>
      </w:r>
    </w:p>
    <w:p/>
    <w:p>
      <w:pPr>
        <w:ind w:firstLine="720"/>
        <w:jc w:val="both"/>
      </w:pPr>
      <w:r>
        <w:t>Таблица «Rooms» содержит информацию об аудиториях. Поле Id — первичный ключ INT с IDENTITY. Поле RoomNumber типа NVARCHAR(10) хранит номер или обозначение аудитории. Использование текстового типа обусловлено тем, что обозначения аудиторий могут включать буквы (например, «А-305», «Б-201»). Длина 10 символов достаточна для большинства обозначений. Поле обязательно для заполнения (NOT NULL).</w:t>
      </w:r>
    </w:p>
    <w:p/>
    <w:p/>
    <w:p>
      <w:pPr>
        <w:jc w:val="center"/>
      </w:pPr>
      <w:r>
        <w:rPr>
          <w:b/>
        </w:rPr>
        <w:t>Таблица 4 — Структура таблицы «Schedules»</w:t>
      </w:r>
    </w:p>
    <w:p>
      <w:r>
        <w:rPr>
          <w:i/>
          <w:color w:val="FF0000"/>
        </w:rPr>
        <w:t>[ЗДЕСЬ ТАБЛИЦА СО СТРУКТУРОЙ: Имя поля | Тип данных | Описание]</w:t>
      </w:r>
    </w:p>
    <w:p/>
    <w:p>
      <w:pPr>
        <w:ind w:firstLine="720"/>
        <w:jc w:val="both"/>
      </w:pPr>
      <w:r>
        <w:t>Таблица «Schedules» является центральной таблицей системы и содержит записи о занятиях. Поле Id — первичный ключ INT с IDENTITY. Поле DayOfWeek типа NVARCHAR(20) хранит название дня недели (Понедельник, Вторник и т.д.). Текстовое представление дня недели выбрано для удобства восприятия пользователем. Поле LessonNumber типа INT содержит номер пары (от 1 до 5). Поле SubjectName типа NVARCHAR(100) предназначено для названия учебной дисциплины. Все эти поля обязательны (NOT NULL). Поля GroupId, LecturerId и RoomId являются внешними ключами типа INT и ссылаются соответственно на таблицы Groups, Lecturers и Rooms. Внешние ключи реализованы с помощью ограничений FOREIGN KEY, которые обеспечивают ссылочную целостность: нельзя указать в расписании несуществующую группу, преподавателя или аудиторию. Комбинация этих внешних ключей вместе с полями DayOfWeek и LessonNumber образует естественный составной ключ, гарантирующий, что в один день в одно время одна группа, один преподаватель и одна аудитория не могут быть задействованы в нескольких занятиях одновременно.</w:t>
      </w:r>
    </w:p>
    <w:p/>
    <w:p/>
    <w:p>
      <w:pPr>
        <w:jc w:val="center"/>
      </w:pPr>
      <w:r>
        <w:rPr>
          <w:b/>
        </w:rPr>
        <w:t>Таблица 5 — Структура таблицы «Users»</w:t>
      </w:r>
    </w:p>
    <w:p>
      <w:r>
        <w:rPr>
          <w:i/>
          <w:color w:val="FF0000"/>
        </w:rPr>
        <w:t>[ЗДЕСЬ ТАБЛИЦА СО СТРУКТУРОЙ: Имя поля | Тип данных | Описание]</w:t>
      </w:r>
    </w:p>
    <w:p/>
    <w:p>
      <w:pPr>
        <w:ind w:firstLine="720"/>
        <w:jc w:val="both"/>
      </w:pPr>
      <w:r>
        <w:t>Таблица «Users» предназначена для хранения учётных записей пользователей системы. Поле Id — первичный ключ INT с автоинкрементом. Поле Login типа NVARCHAR(50) содержит уникальное имя пользователя для входа в систему. На это поле наложено ограничение UNIQUE, предотвращающее создание двух пользователей с одинаковым логином. Поле Password типа NVARCHAR(50) хранит пароль пользователя. Оба поля обязательны (NOT NULL). В учебном проекте пароль хранится в открытом виде, однако в промышленных системах рекомендуется хранить хэш пароля для обеспечения безопасности.</w:t>
      </w:r>
    </w:p>
    <w:p/>
    <w:p/>
    <w:p>
      <w:pPr>
        <w:ind w:firstLine="720"/>
        <w:jc w:val="both"/>
      </w:pPr>
      <w:r>
        <w:t>Таким образом, на этапе логического и физического проектирования была разработана структура базы данных, состоящая из пяти нормализованных таблиц. Определены типы данных для всех полей, установлены первичные и внешние ключи, наложены ограничения целостности. Полученная структура обеспечивает эффективное хранение данных без избыточности, предотвращает аномалии при вставке, обновлении и удалении записей, а также гарантирует ссылочную целостность между связанными таблицами. База данных готова к физической реализации в СУБД Microsoft SQL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