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1E11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43"/>
          <w:szCs w:val="43"/>
          <w:lang w:val="en-US" w:eastAsia="zh-CN" w:bidi="ar"/>
        </w:rPr>
        <w:t>一维对流扩散方程的有限元求解与稳定化README</w:t>
      </w:r>
    </w:p>
    <w:p w14:paraId="073F59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  <w:bdr w:val="none" w:color="auto" w:sz="0" w:space="0"/>
        </w:rPr>
        <w:t>一、项目简介</w:t>
      </w:r>
    </w:p>
    <w:p w14:paraId="2EA15C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本程序基于 Python 实现一维稳态对流扩散方程有限元求解，包含</w:t>
      </w: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标准 Galerkin、迎风格式、SUPG 自适应稳定格式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三种离散方案；可计算 Pe=0.1 扩散占优、Pe=3.0 对流占优两组工况，输出数值解对比图，并完成 Pe=3.0 网格收敛性分析；同时输出标准 Galerkin 刚度矩阵对称性、正定性检测结果，用于作业报告分析。</w:t>
      </w:r>
    </w:p>
    <w:p w14:paraId="38500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DF4CE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  <w:bdr w:val="none" w:color="auto" w:sz="0" w:space="0"/>
        </w:rPr>
        <w:t>二、运行环境与依赖</w:t>
      </w:r>
    </w:p>
    <w:p w14:paraId="7C9C3A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1. 运行环境</w:t>
      </w:r>
    </w:p>
    <w:p w14:paraId="1332EA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Python 3.8 及以上版本</w:t>
      </w:r>
    </w:p>
    <w:p w14:paraId="514C98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2. 所需第三方库</w:t>
      </w:r>
    </w:p>
    <w:p w14:paraId="12799D2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numpy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：网格生成、矩阵组装、线性方程组求解</w:t>
      </w:r>
    </w:p>
    <w:p w14:paraId="50B26A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matplotlib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：结果可视化绘图，支持中文无乱码输出</w:t>
      </w:r>
    </w:p>
    <w:p w14:paraId="60BAC897"/>
    <w:p w14:paraId="7B7CDFD1">
      <w:pPr>
        <w:numPr>
          <w:ilvl w:val="0"/>
          <w:numId w:val="2"/>
        </w:numPr>
        <w:rPr>
          <w:rFonts w:hint="eastAsia" w:asciiTheme="majorEastAsia" w:hAnsiTheme="majorEastAsia" w:eastAsiaTheme="majorEastAsia" w:cstheme="majorEastAsia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t>文件结构说明</w:t>
      </w:r>
    </w:p>
    <w:p w14:paraId="6BCA03BE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  <w:t>202311012126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_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  <w:t>岩挖塔勐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_对流扩散方程程序设计作业</w:t>
      </w:r>
    </w:p>
    <w:p w14:paraId="55D433DB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advection_diffusion_fem.py # 主程序完整源代码 </w:t>
      </w:r>
    </w:p>
    <w:p w14:paraId="3A26620B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README.md # 运行说明文档 </w:t>
      </w:r>
    </w:p>
    <w:p w14:paraId="3CC24D95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作业报告.pdf # 完整作业分析报告 </w:t>
      </w:r>
    </w:p>
    <w:p w14:paraId="2E03C15B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Pe_0.1.png # Pe=0.1结果曲线 </w:t>
      </w:r>
    </w:p>
    <w:p w14:paraId="7A9FAD3C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Pe_3.png # Pe=3.0单网格结果曲线 </w:t>
      </w:r>
    </w:p>
    <w:p w14:paraId="0FE27159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Pe3_单元长度收敛曲线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.png # Pe=3网格收敛误差曲线</w:t>
      </w:r>
    </w:p>
    <w:p w14:paraId="798C95D4">
      <w:pPr>
        <w:numPr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</w:p>
    <w:p w14:paraId="26D0A1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  <w:bdr w:val="none" w:color="auto" w:sz="0" w:space="0"/>
        </w:rPr>
        <w:t>四、程序运行步骤</w:t>
      </w:r>
    </w:p>
    <w:p w14:paraId="409B85F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 xml:space="preserve">将源代码保存为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advection_diffusion_fem.py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；</w:t>
      </w:r>
    </w:p>
    <w:p w14:paraId="7829BEC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终端进入代码所在文件夹；</w:t>
      </w:r>
    </w:p>
    <w:p w14:paraId="5E3988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执行运行命令</w:t>
      </w:r>
    </w:p>
    <w:p w14:paraId="3759E5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程序自动依次执行： </w:t>
      </w:r>
    </w:p>
    <w:p w14:paraId="5A6C632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1）计算 Pe=0.1 工况，打印误差并保存绘图； </w:t>
      </w:r>
    </w:p>
    <w:p w14:paraId="6CB72BB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计算 Pe=3.0（nel=20）工况，打印误差并保存绘图； </w:t>
      </w:r>
    </w:p>
    <w:p w14:paraId="5E82669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Pe=3.0 网格收敛计算，输出收敛数据表并保存收敛曲线； </w:t>
      </w:r>
    </w:p>
    <w:p w14:paraId="262C87B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输出标准 Galerkin 刚度矩阵特性分析结果。</w:t>
      </w:r>
    </w:p>
    <w:p w14:paraId="4EB2E20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ascii="宋体" w:hAnsi="宋体" w:eastAsia="宋体" w:cs="宋体"/>
          <w:sz w:val="24"/>
          <w:szCs w:val="24"/>
        </w:rPr>
      </w:pPr>
    </w:p>
    <w:p w14:paraId="57183E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  <w:bdr w:val="none" w:color="auto" w:sz="0" w:space="0"/>
        </w:rPr>
        <w:t>五、程序输出内容</w:t>
      </w:r>
    </w:p>
    <w:p w14:paraId="4B9FDA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1. 控制台文本输出</w:t>
      </w:r>
    </w:p>
    <w:p w14:paraId="35C69C8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Pe=0.1、Pe=3.0 两种工况下三种格式最大节点误差；</w:t>
      </w:r>
    </w:p>
    <w:p w14:paraId="35C658B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Pe=3.0 多组网格收敛误差完整数据表；</w:t>
      </w:r>
    </w:p>
    <w:p w14:paraId="48EA782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Pe=3 标准 Galerkin 刚度矩阵：对称性判断、最小特征值、正定性判定。</w:t>
      </w:r>
    </w:p>
    <w:p w14:paraId="113EB9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2. 自动生成图片文件（无中文方框乱码）</w:t>
      </w:r>
    </w:p>
    <w:p w14:paraId="1113725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Pe_0.1.png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：扩散占优，精确解、三种有限元格式对比曲线；</w:t>
      </w:r>
    </w:p>
    <w:p w14:paraId="4552D1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Pe_3.png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：对流占优，展示 Galerkin 振荡、迎风数值耗散、SUPG 高精度特性；</w:t>
      </w:r>
    </w:p>
    <w:p w14:paraId="543C5FA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Pe3_单元长度收敛曲线.png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：双对数坐标网格收敛误差曲线，横轴单元长度</w:t>
      </w:r>
      <w:r>
        <w:rPr>
          <w:rFonts w:hint="eastAsia" w:asciiTheme="minorEastAsia" w:hAnsiTheme="minorEastAsia" w:eastAsiaTheme="minorEastAsia" w:cstheme="minorEastAsia"/>
          <w:b w:val="0"/>
          <w:bCs w:val="0"/>
          <w:position w:val="-12"/>
          <w:sz w:val="24"/>
          <w:szCs w:val="24"/>
          <w:bdr w:val="none" w:color="auto" w:sz="0" w:space="0"/>
        </w:rPr>
        <w:object>
          <v:shape id="_x0000_i1025" o:spt="75" type="#_x0000_t75" style="height:18pt;width:10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。</w:t>
      </w:r>
    </w:p>
    <w:p w14:paraId="5C42C1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bdr w:val="none" w:color="auto" w:sz="0" w:space="0"/>
        </w:rPr>
      </w:pPr>
      <w:bookmarkStart w:id="0" w:name="_GoBack"/>
      <w:bookmarkEnd w:id="0"/>
    </w:p>
    <w:p w14:paraId="469A48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  <w:bdr w:val="none" w:color="auto" w:sz="0" w:space="0"/>
        </w:rPr>
        <w:t>六、核心函数功能说明</w:t>
      </w:r>
    </w:p>
    <w:p w14:paraId="1D666EB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alpha_supg(Pe)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 xml:space="preserve">：计算 SUPG 最优稳定参数 </w:t>
      </w:r>
      <w:r>
        <w:rPr>
          <w:rFonts w:hint="eastAsia" w:asciiTheme="minorEastAsia" w:hAnsiTheme="minorEastAsia" w:eastAsiaTheme="minorEastAsia" w:cstheme="minorEastAsia"/>
          <w:position w:val="-14"/>
          <w:sz w:val="24"/>
          <w:szCs w:val="24"/>
          <w:bdr w:val="none" w:color="auto" w:sz="0" w:space="0"/>
        </w:rPr>
        <w:object>
          <v:shape id="_x0000_i1027" o:spt="75" type="#_x0000_t75" style="height:19pt;width:110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7" DrawAspect="Content" ObjectID="_1468075726" r:id="rId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；</w:t>
      </w:r>
    </w:p>
    <w:p w14:paraId="1F39945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element_matrix(kappa, v, le, alpha)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：生成带人工扩散稳定项的两节点线性单元刚度矩阵；</w:t>
      </w:r>
    </w:p>
    <w:p w14:paraId="488608D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solve_advection()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：网格生成、单元矩阵组装、Dirichlet 边界条件施加、方程组求解；</w:t>
      </w:r>
    </w:p>
    <w:p w14:paraId="5170B29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plot_solution_curve()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：绘制单 Pe 工况下三种格式数值解与精确解对比图；</w:t>
      </w:r>
    </w:p>
    <w:p w14:paraId="3816475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plot_convergence_lenght()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：多网格加密测试，绘制收敛误差曲线并打印误差表；</w:t>
      </w:r>
    </w:p>
    <w:p w14:paraId="29C1B2D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matrix_property_analysis()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：刚度矩阵对称性、特征值、正定性检测。</w:t>
      </w:r>
    </w:p>
    <w:p w14:paraId="0D342B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</w:pPr>
    </w:p>
    <w:p w14:paraId="070443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  <w:bdr w:val="none" w:color="auto" w:sz="0" w:space="0"/>
        </w:rPr>
        <w:t>七、关键参数说明</w:t>
      </w:r>
    </w:p>
    <w:p w14:paraId="5F24058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基础参数：全域长度</w:t>
      </w:r>
      <w:r>
        <w:rPr>
          <w:rFonts w:hint="eastAsia" w:asciiTheme="minorEastAsia" w:hAnsiTheme="minorEastAsia" w:eastAsiaTheme="minorEastAsia" w:cstheme="minorEastAsia"/>
          <w:position w:val="-4"/>
          <w:sz w:val="24"/>
          <w:szCs w:val="24"/>
          <w:bdr w:val="none" w:color="auto" w:sz="0" w:space="0"/>
        </w:rPr>
        <w:object>
          <v:shape id="_x0000_i1028" o:spt="75" type="#_x0000_t75" style="height:13pt;width:27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8" DrawAspect="Content" ObjectID="_1468075727" r:id="rId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，对流速度</w:t>
      </w:r>
      <w:r>
        <w:rPr>
          <w:rFonts w:hint="eastAsia" w:asciiTheme="minorEastAsia" w:hAnsiTheme="minorEastAsia" w:eastAsiaTheme="minorEastAsia" w:cstheme="minorEastAsia"/>
          <w:position w:val="-6"/>
          <w:sz w:val="24"/>
          <w:szCs w:val="24"/>
          <w:bdr w:val="none" w:color="auto" w:sz="0" w:space="0"/>
        </w:rPr>
        <w:object>
          <v:shape id="_x0000_i1029" o:spt="75" type="#_x0000_t75" style="height:13.95pt;width:24.95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9" DrawAspect="Content" ObjectID="_1468075728" r:id="rId1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，默认单元数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nel=20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；</w:t>
      </w:r>
    </w:p>
    <w:p w14:paraId="33A95DC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 xml:space="preserve">稳定参数： </w:t>
      </w:r>
    </w:p>
    <w:p w14:paraId="7393A8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position w:val="-6"/>
          <w:sz w:val="24"/>
          <w:szCs w:val="24"/>
          <w:bdr w:val="none" w:color="auto" w:sz="0" w:space="0"/>
        </w:rPr>
        <w:object>
          <v:shape id="_x0000_i1030" o:spt="75" type="#_x0000_t75" style="height:13.95pt;width:30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0" DrawAspect="Content" ObjectID="_1468075729" r:id="rId1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：标准 Galerkin 有限元；</w:t>
      </w:r>
    </w:p>
    <w:p w14:paraId="38F6E59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position w:val="-6"/>
          <w:sz w:val="24"/>
          <w:szCs w:val="24"/>
          <w:bdr w:val="none" w:color="auto" w:sz="0" w:space="0"/>
        </w:rPr>
        <w:object>
          <v:shape id="_x0000_i1031" o:spt="75" type="#_x0000_t75" style="height:13.95pt;width:28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1" DrawAspect="Content" ObjectID="_1468075730" r:id="rId1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：迎风格式；</w:t>
      </w:r>
    </w:p>
    <w:p w14:paraId="60BCD6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position w:val="-14"/>
          <w:sz w:val="24"/>
          <w:szCs w:val="24"/>
          <w:bdr w:val="none" w:color="auto" w:sz="0" w:space="0"/>
        </w:rPr>
        <w:object>
          <v:shape id="_x0000_i1032" o:spt="75" type="#_x0000_t75" style="height:19pt;width:41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2" DrawAspect="Content" ObjectID="_1468075731" r:id="rId1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：SUPG 自适应稳定格式；</w:t>
      </w:r>
    </w:p>
    <w:p w14:paraId="6BEE928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Peclet 数：</w:t>
      </w:r>
      <w:r>
        <w:rPr>
          <w:rFonts w:hint="eastAsia" w:asciiTheme="minorEastAsia" w:hAnsiTheme="minorEastAsia" w:eastAsiaTheme="minorEastAsia" w:cstheme="minorEastAsia"/>
          <w:position w:val="-24"/>
          <w:sz w:val="24"/>
          <w:szCs w:val="24"/>
          <w:bdr w:val="none" w:color="auto" w:sz="0" w:space="0"/>
        </w:rPr>
        <w:object>
          <v:shape id="_x0000_i1033" o:spt="75" type="#_x0000_t75" style="height:31pt;width:44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3" DrawAspect="Content" ObjectID="_1468075732" r:id="rId1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，程序根据目标 Pe 自动反算扩散系数</w:t>
      </w:r>
      <w:r>
        <w:rPr>
          <w:rFonts w:hint="eastAsia" w:asciiTheme="minorEastAsia" w:hAnsiTheme="minorEastAsia" w:eastAsiaTheme="minorEastAsia" w:cstheme="minorEastAsia"/>
          <w:position w:val="-4"/>
          <w:sz w:val="24"/>
          <w:szCs w:val="24"/>
          <w:bdr w:val="none" w:color="auto" w:sz="0" w:space="0"/>
        </w:rPr>
        <w:object>
          <v:shape id="_x0000_i1034" o:spt="75" type="#_x0000_t75" style="height:10pt;width:11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4" DrawAspect="Content" ObjectID="_1468075733" r:id="rId2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。</w:t>
      </w:r>
    </w:p>
    <w:p w14:paraId="196D82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  <w:bdr w:val="none" w:color="auto" w:sz="0" w:space="0"/>
        </w:rPr>
        <w:t>八、常见问题解决</w:t>
      </w:r>
    </w:p>
    <w:p w14:paraId="7687D9F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>图片中文出现方框乱码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 xml:space="preserve"> 代码开头已配置黑体中文字体，Windows 自带 SimHei；Linux/Mac 缺少字体可自行安装中文字体或更换无中文绘图版本。</w:t>
      </w:r>
    </w:p>
    <w:p w14:paraId="113BC6E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>指数溢出报错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 xml:space="preserve"> 代码采用</w:t>
      </w:r>
      <w:r>
        <w:rPr>
          <w:rStyle w:val="8"/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>np.expm1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>稳定计算解析解，规避大指数数值溢出，无需额外修改。</w:t>
      </w:r>
    </w:p>
    <w:p w14:paraId="7C5EE1D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>修改网格数量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 xml:space="preserve"> 单网格绘图修改</w:t>
      </w:r>
      <w:r>
        <w:rPr>
          <w:rStyle w:val="8"/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>plot_solution_curve(Pe, nel=自定义数值)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>；收敛曲线网格列表在</w:t>
      </w:r>
      <w:r>
        <w:rPr>
          <w:rStyle w:val="8"/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>nel_list=[5,10,20,40,80]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>内修改。</w:t>
      </w:r>
    </w:p>
    <w:p w14:paraId="1660D39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>运行无图片弹出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bdr w:val="none" w:color="auto" w:sz="0" w:space="0"/>
        </w:rPr>
        <w:t xml:space="preserve"> matplotlib 后端兼容问题，图片会自动保存至代码同级文件夹，可直接打开 png 文件查看。</w:t>
      </w:r>
    </w:p>
    <w:p w14:paraId="18B75F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5CB83A"/>
    <w:multiLevelType w:val="singleLevel"/>
    <w:tmpl w:val="C55CB83A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FB96AA68"/>
    <w:multiLevelType w:val="multilevel"/>
    <w:tmpl w:val="FB96AA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D24FD95"/>
    <w:multiLevelType w:val="singleLevel"/>
    <w:tmpl w:val="FD24FD9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7803582"/>
    <w:multiLevelType w:val="multilevel"/>
    <w:tmpl w:val="278035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B7C2C29"/>
    <w:multiLevelType w:val="multilevel"/>
    <w:tmpl w:val="2B7C2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12C7ACC"/>
    <w:multiLevelType w:val="multilevel"/>
    <w:tmpl w:val="612C7A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E5EB1BA"/>
    <w:multiLevelType w:val="multilevel"/>
    <w:tmpl w:val="6E5EB1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0D15B22"/>
    <w:multiLevelType w:val="multilevel"/>
    <w:tmpl w:val="70D15B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90186E5"/>
    <w:multiLevelType w:val="multilevel"/>
    <w:tmpl w:val="790186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8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82505A"/>
    <w:rsid w:val="0882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2026-06-18T10:12:00Z</dcterms:created>
  <dc:creator>小李小李不讲道理.</dc:creator>
  <cp:lastModifiedBy>小李小李不讲道理.</cp:lastModifiedBy>
  <dcterms:modified xsi:type="dcterms:W3CDTF">2026-06-18T10:24:49Z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BC740D013E8645ABB1A6AD0DB8ACDC4D_11</vt:lpwstr>
  </property>
  <property fmtid="{D5CDD505-2E9C-101B-9397-08002B2CF9AE}" pid="4" name="KSOTemplateDocerSaveRecord">
    <vt:lpwstr>eyJoZGlkIjoiY2M2YzExN2NjNzNmZTFkOGYyOWFjM2MyMzZlNjg0ZmMiLCJ1c2VySWQiOiIxMjc0NzE4MjY4In0=</vt:lpwstr>
  </property>
</Properties>
</file>