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bin" ContentType="application/vnd.openxmlformats-officedocument.oleObjec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body>
    <w:p>
      <w:pPr>
        <w:pStyle w:val="[Normal]"/>
        <w:rPr>
          <w:sz w:val="20"/>
          <w:lang w:val="nl-BE" w:eastAsia="nl-BE" w:bidi="nl-BE"/>
        </w:rPr>
      </w:pPr>
      <w:r>
        <w:rPr>
          <w:sz w:val="20"/>
          <w:lang w:val="nl-BE" w:eastAsia="nl-BE" w:bidi="nl-BE"/>
        </w:rPr>
        <w:drawing>
          <wp:inline distT="0" distB="0" distL="0" distR="0">
            <wp:extent cx="5846445" cy="4285615"/>
            <wp:docPr id="1" name="Graph526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00003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nl-BE" w:eastAsia="nl-BE" w:bidi="nl-BE"/>
        </w:rPr>
        <w:br w:type="textWrapping"/>
      </w:r>
    </w:p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Solvent evaporation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Solvent evaporation onset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Solvent evaporation peak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Solvent evaporation enthalpy (J/g)</w:t>
            </w:r>
          </w:p>
        </w:tc>
      </w:tr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0,900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42,807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65,644 J/g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</w:tr>
    </w:tbl>
    <w:p>
      <w:pPr>
        <w:pStyle w:val="[Normal]"/>
        <w:rPr>
          <w:sz w:val="20"/>
          <w:lang w:val="nl-BE" w:eastAsia="nl-BE" w:bidi="nl-BE"/>
        </w:rPr>
      </w:pPr>
    </w:p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Melting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Melting onset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Melting peak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Melting enthalpy (J/g)</w:t>
            </w:r>
          </w:p>
        </w:tc>
      </w:tr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130,433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138,677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2,6529 J/g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</w:tr>
    </w:tbl>
    <w:p>
      <w:pPr>
        <w:pStyle w:val="[Normal]"/>
        <w:rPr>
          <w:sz w:val="20"/>
          <w:lang w:val="nl-BE" w:eastAsia="nl-BE" w:bidi="nl-BE"/>
        </w:rPr>
      </w:pPr>
    </w:p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onset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endpoint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midpoint (°C)</w:t>
            </w:r>
          </w:p>
        </w:tc>
      </w:tr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12,476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28,927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20,931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</w:tr>
    </w:tbl>
    <w:p>
      <w:pPr>
        <w:pStyle w:val="[Normal]"/>
        <w:rPr>
          <w:sz w:val="20"/>
          <w:lang w:val="nl-BE" w:eastAsia="nl-BE" w:bidi="nl-BE"/>
        </w:rPr>
      </w:pPr>
      <w:r>
        <w:rPr>
          <w:sz w:val="20"/>
          <w:lang w:val="nl-BE" w:eastAsia="nl-BE" w:bidi="nl-BE"/>
        </w:rPr>
        <w:drawing>
          <wp:inline distT="0" distB="0" distL="0" distR="0">
            <wp:extent cx="5846445" cy="4285615"/>
            <wp:docPr id="2" name="Graph960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00004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nl-BE" w:eastAsia="nl-BE" w:bidi="nl-BE"/>
        </w:rPr>
        <w:br w:type="textWrapping"/>
      </w:r>
    </w:p>
    <w:p>
      <w:pPr>
        <w:pStyle w:val="[Normal]"/>
        <w:rPr>
          <w:sz w:val="20"/>
          <w:lang w:val="nl-BE" w:eastAsia="nl-BE" w:bidi="nl-BE"/>
        </w:rPr>
      </w:pPr>
    </w:p>
    <w:p>
      <w:pPr>
        <w:pStyle w:val="[Normal]"/>
        <w:rPr>
          <w:sz w:val="20"/>
          <w:lang w:val="nl-BE" w:eastAsia="nl-BE" w:bidi="nl-BE"/>
        </w:rPr>
      </w:pPr>
    </w:p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Solvent evaporation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Solvent evaporation onset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Solvent evaporation peak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Solvent evaporation enthalpy (J/g)</w:t>
            </w:r>
          </w:p>
        </w:tc>
      </w:tr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26,013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37,862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3,6074 J/g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</w:tr>
    </w:tbl>
    <w:p>
      <w:pPr>
        <w:pStyle w:val="[Normal]"/>
        <w:rPr>
          <w:sz w:val="20"/>
          <w:lang w:val="nl-BE" w:eastAsia="nl-BE" w:bidi="nl-BE"/>
        </w:rPr>
      </w:pPr>
    </w:p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Melting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Melting onset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Melting peak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Melting enthalpy (J/g)</w:t>
            </w:r>
          </w:p>
        </w:tc>
      </w:tr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133,153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139,864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 </w:t>
            </w:r>
            <w:r>
              <w:rPr>
                <w:sz w:val="20"/>
                <w:lang w:val="nl-BE" w:eastAsia="nl-BE" w:bidi="nl-BE"/>
              </w:rPr>
              <w:t xml:space="preserve">0,30679 J/g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</w:tr>
    </w:tbl>
    <w:p>
      <w:pPr>
        <w:pStyle w:val="[Normal]"/>
        <w:rPr>
          <w:sz w:val="20"/>
          <w:lang w:val="nl-BE" w:eastAsia="nl-BE" w:bidi="nl-BE"/>
        </w:rPr>
      </w:pPr>
    </w:p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onset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endpoint (°C)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Glass transition midpoint (°C)</w:t>
            </w:r>
          </w:p>
        </w:tc>
      </w:tr>
      <w:tr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37,995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45,967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vAlign w:val="top"/>
          </w:tcPr>
          <w:p>
            <w:pPr>
              <w:pStyle w:val="[Normal]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 </w:t>
            </w:r>
            <w:r>
              <w:rPr>
                <w:sz w:val="20"/>
                <w:lang w:val="nl-BE" w:eastAsia="nl-BE" w:bidi="nl-BE"/>
              </w:rPr>
              <w:t xml:space="preserve">41,990 °C</w:t>
            </w:r>
            <w:r>
              <w:rPr>
                <w:sz w:val="20"/>
                <w:lang w:val="nl-BE" w:eastAsia="nl-BE" w:bidi="nl-BE"/>
              </w:rPr>
              <w:t xml:space="preserve"> </w:t>
            </w:r>
          </w:p>
        </w:tc>
      </w:tr>
    </w:tbl>
    <w:p>
      <w:pPr>
        <w:pStyle w:val="[Normal]"/>
        <w:rPr>
          <w:sz w:val="20"/>
          <w:lang w:val="nl-BE" w:eastAsia="nl-BE" w:bidi="nl-BE"/>
        </w:rPr>
      </w:pPr>
    </w:p>
    <w:sectPr>
      <w:pgSz w:w="12240" w:h="15840"/>
      <w:pgMar w:top="1440" w:right="1440" w:bottom="1440" w:left="1440" w:header="567" w:footer="567"/>
      <w:pgBorders w:display="allPages" w:offsetFrom="page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</w:fonts>
</file>

<file path=word/settings.xml><?xml version="1.0" encoding="utf-8"?>
<w:settings xmlns:w="http://schemas.openxmlformats.org/wordprocessingml/2006/main" xmlns:mc="http://schemas.openxmlformats.org/markup-compatibility/2006" xmlns:tx24="http://schemas.textcontrol.com/tx/2400" mc:Ignorable="tx24">
  <w:bordersDoNotSurroundHeader/>
  <w:bordersDoNotSurroundFooter/>
  <w:defaultTabStop w:val="1134"/>
  <w:compat>
    <w:noExtraLineSpacing/>
  </w:compat>
  <tx24:txVer tx24:val="24.0.310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widowControl w:val="off"/>
      <w:shd w:val="clear" w:color="auto" w:fill="auto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color="auto" w:fill="auto"/>
      <w:rtl w:val="off"/>
      <w:lang w:val="x-none" w:eastAsia="x-none" w:bidi="x-none"/>
    </w:rPr>
  </w:style>
</w:styles>
</file>

<file path=word/_rels/document.xml.rels><?xml version="1.0" encoding="UTF-8" standalone="yes"?><Relationships xmlns="http://schemas.openxmlformats.org/package/2006/relationships">
	<Relationship Id="rId00002" Type="http://schemas.openxmlformats.org/officeDocument/2006/relationships/styles" Target="styles.xml"/>
	<Relationship Id="rId00003" Type="http://schemas.openxmlformats.org/officeDocument/2006/relationships/image" Target="media/image0001.png"/>
	<Relationship Id="rId00004" Type="http://schemas.openxmlformats.org/officeDocument/2006/relationships/image" Target="media/image0002.png"/>
	<Relationship Id="rId00005" Type="http://schemas.openxmlformats.org/officeDocument/2006/relationships/fontTable" Target="fontTable.xml"/>
	<Relationship Id="rId00006" Type="http://schemas.openxmlformats.org/officeDocument/2006/relationships/settings" Target="settings.xml"/>
</Relationships>
</file>