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6DE9" w14:textId="2FB09F66" w:rsidR="00F23B80" w:rsidRDefault="000876A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 2a</w:t>
      </w:r>
    </w:p>
    <w:p w14:paraId="19781B00" w14:textId="7DCBF1F3" w:rsidR="000876A8" w:rsidRDefault="00983003">
      <w:r>
        <w:t>Betweenness</w:t>
      </w:r>
      <w:r w:rsidR="000876A8">
        <w:t xml:space="preserve"> centrality is a metric between 0 and 1. On the other hand, our proxy betweenness centrality is generally much bigger than 1 (</w:t>
      </w:r>
      <w:r w:rsidR="00C4090B">
        <w:t>some</w:t>
      </w:r>
      <w:r w:rsidR="000876A8">
        <w:t xml:space="preserve"> percent of </w:t>
      </w:r>
      <w:r w:rsidR="00C4090B">
        <w:t xml:space="preserve">the </w:t>
      </w:r>
      <w:r>
        <w:t xml:space="preserve">given </w:t>
      </w:r>
      <w:r w:rsidR="00C4090B">
        <w:t>node</w:t>
      </w:r>
      <w:r>
        <w:t>’</w:t>
      </w:r>
      <w:r w:rsidR="00C4090B">
        <w:t>s</w:t>
      </w:r>
      <w:r w:rsidR="000876A8">
        <w:t xml:space="preserve"> degree</w:t>
      </w:r>
      <w:r w:rsidR="00C4090B">
        <w:t>,</w:t>
      </w:r>
      <w:r w:rsidR="000876A8">
        <w:t xml:space="preserve"> </w:t>
      </w:r>
      <w:r w:rsidR="00115B7B">
        <w:t>determined by</w:t>
      </w:r>
      <w:r w:rsidR="000876A8">
        <w:t xml:space="preserve"> its clustering coefficient). As such, we normalise our proxy </w:t>
      </w:r>
      <w:r w:rsidR="00C4090B">
        <w:t>betweenness</w:t>
      </w:r>
      <w:r w:rsidR="00261EE1">
        <w:t xml:space="preserve"> centrality</w:t>
      </w:r>
      <w:r w:rsidR="000876A8">
        <w:t xml:space="preserve"> </w:t>
      </w:r>
      <w:r w:rsidR="00115B7B">
        <w:t>to between</w:t>
      </w:r>
      <w:r w:rsidR="004161AF">
        <w:t xml:space="preserve">          </w:t>
      </w:r>
      <w:r w:rsidR="00115B7B">
        <w:t xml:space="preserve"> 0 and 1 to ensure that the distributions are comparable</w:t>
      </w:r>
      <w:r w:rsidR="000876A8">
        <w:t>.</w:t>
      </w:r>
      <w:r w:rsidR="00115B7B">
        <w:t xml:space="preserve"> This is a linear rescaling that will not affect the relative differences between values</w:t>
      </w:r>
      <w:r w:rsidR="00426A5A">
        <w:t>,</w:t>
      </w:r>
      <w:r w:rsidR="00115B7B">
        <w:t xml:space="preserve"> so our analysis is still valid.</w:t>
      </w:r>
    </w:p>
    <w:p w14:paraId="076490D5" w14:textId="180D7B34" w:rsidR="00F01787" w:rsidRDefault="0025284A">
      <w:r>
        <w:t>Betweenness centrality is a metric to highlight the most influential vertices in a graph based on the number of shortest paths between nodes that pass through it. Intuitively, our</w:t>
      </w:r>
      <w:r w:rsidR="00C4090B">
        <w:t xml:space="preserve"> proxy is a good alternative to between</w:t>
      </w:r>
      <w:r w:rsidR="00983003">
        <w:t>ness</w:t>
      </w:r>
      <w:r w:rsidR="00C4090B">
        <w:t xml:space="preserve"> centrality since it </w:t>
      </w:r>
      <w:r>
        <w:t>still highlights the most influential vertices</w:t>
      </w:r>
      <w:r w:rsidR="00983003">
        <w:t xml:space="preserve">. An </w:t>
      </w:r>
      <w:r>
        <w:t xml:space="preserve">influential node is likely to have a high degree. An influential node is also likely to have a low clustering coefficient as this would require more shortest paths between nodes to pass through it (less alternatives). As such, multiplying the degree by 1 </w:t>
      </w:r>
      <w:r w:rsidR="00983003">
        <w:t>minus</w:t>
      </w:r>
      <w:r>
        <w:t xml:space="preserve"> the clustering coefficient is likely to be a reasonable proxy</w:t>
      </w:r>
      <w:r w:rsidR="004161AF">
        <w:t xml:space="preserve"> for centrality</w:t>
      </w:r>
      <w:r>
        <w:t>.</w:t>
      </w:r>
    </w:p>
    <w:tbl>
      <w:tblPr>
        <w:tblStyle w:val="LightShading-Accent1"/>
        <w:tblW w:w="4870" w:type="pct"/>
        <w:tblLook w:val="0620" w:firstRow="1" w:lastRow="0" w:firstColumn="0" w:lastColumn="0" w:noHBand="1" w:noVBand="1"/>
      </w:tblPr>
      <w:tblGrid>
        <w:gridCol w:w="2155"/>
        <w:gridCol w:w="1562"/>
        <w:gridCol w:w="1365"/>
        <w:gridCol w:w="1953"/>
        <w:gridCol w:w="1756"/>
      </w:tblGrid>
      <w:tr w:rsidR="00E12B24" w:rsidRPr="00E12B24" w14:paraId="3254B906" w14:textId="6E04CB12" w:rsidTr="00732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tcW w:w="1225" w:type="pct"/>
            <w:tcBorders>
              <w:top w:val="single" w:sz="12" w:space="0" w:color="auto"/>
              <w:bottom w:val="single" w:sz="12" w:space="0" w:color="auto"/>
            </w:tcBorders>
            <w:noWrap/>
          </w:tcPr>
          <w:p w14:paraId="3814E1F8" w14:textId="751822E7" w:rsidR="00E12B24" w:rsidRPr="00E12B24" w:rsidRDefault="00E12B24">
            <w:pPr>
              <w:rPr>
                <w:color w:val="auto"/>
              </w:rPr>
            </w:pPr>
            <w:r w:rsidRPr="00E12B24">
              <w:rPr>
                <w:color w:val="auto"/>
              </w:rPr>
              <w:t>Graph</w:t>
            </w:r>
          </w:p>
        </w:tc>
        <w:tc>
          <w:tcPr>
            <w:tcW w:w="888" w:type="pct"/>
            <w:tcBorders>
              <w:top w:val="single" w:sz="12" w:space="0" w:color="auto"/>
              <w:bottom w:val="single" w:sz="12" w:space="0" w:color="auto"/>
            </w:tcBorders>
          </w:tcPr>
          <w:p w14:paraId="142DAF7A" w14:textId="5FCABA0F" w:rsidR="00E12B24" w:rsidRPr="00E12B24" w:rsidRDefault="00E12B24" w:rsidP="00E12B24">
            <w:pPr>
              <w:rPr>
                <w:color w:val="auto"/>
              </w:rPr>
            </w:pPr>
            <w:r>
              <w:rPr>
                <w:color w:val="auto"/>
              </w:rPr>
              <w:t xml:space="preserve">     </w:t>
            </w:r>
            <w:r w:rsidRPr="00E12B24">
              <w:rPr>
                <w:color w:val="auto"/>
              </w:rPr>
              <w:t>RMSE</w:t>
            </w:r>
          </w:p>
        </w:tc>
        <w:tc>
          <w:tcPr>
            <w:tcW w:w="776" w:type="pct"/>
            <w:tcBorders>
              <w:top w:val="single" w:sz="12" w:space="0" w:color="auto"/>
              <w:bottom w:val="single" w:sz="12" w:space="0" w:color="auto"/>
            </w:tcBorders>
          </w:tcPr>
          <w:p w14:paraId="241C5051" w14:textId="2836638F" w:rsidR="00E12B24" w:rsidRPr="00E12B24" w:rsidRDefault="00E12B24" w:rsidP="00E12B24">
            <w:pPr>
              <w:rPr>
                <w:color w:val="auto"/>
              </w:rPr>
            </w:pPr>
            <w:r>
              <w:rPr>
                <w:color w:val="auto"/>
              </w:rPr>
              <w:t xml:space="preserve">        </w:t>
            </w:r>
            <w:r w:rsidRPr="00E12B24">
              <w:rPr>
                <w:color w:val="auto"/>
              </w:rPr>
              <w:t>SI</w:t>
            </w:r>
          </w:p>
        </w:tc>
        <w:tc>
          <w:tcPr>
            <w:tcW w:w="1111" w:type="pct"/>
            <w:tcBorders>
              <w:top w:val="single" w:sz="12" w:space="0" w:color="auto"/>
              <w:bottom w:val="single" w:sz="12" w:space="0" w:color="auto"/>
            </w:tcBorders>
          </w:tcPr>
          <w:p w14:paraId="37B1A0A1" w14:textId="77D43C5A" w:rsidR="00E12B24" w:rsidRPr="00E12B24" w:rsidRDefault="00E12B24" w:rsidP="00E12B24">
            <w:pPr>
              <w:rPr>
                <w:color w:val="auto"/>
              </w:rPr>
            </w:pPr>
            <w:r w:rsidRPr="00E12B24">
              <w:rPr>
                <w:color w:val="auto"/>
              </w:rPr>
              <w:t>Kendall Tau</w:t>
            </w:r>
          </w:p>
        </w:tc>
        <w:tc>
          <w:tcPr>
            <w:tcW w:w="999" w:type="pct"/>
            <w:tcBorders>
              <w:top w:val="single" w:sz="12" w:space="0" w:color="auto"/>
              <w:bottom w:val="single" w:sz="12" w:space="0" w:color="auto"/>
            </w:tcBorders>
          </w:tcPr>
          <w:p w14:paraId="48EF71AB" w14:textId="05260273" w:rsidR="00E12B24" w:rsidRPr="00E12B24" w:rsidRDefault="00E12B24" w:rsidP="00E12B24">
            <w:pPr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  <w:r w:rsidRPr="00E12B24">
              <w:rPr>
                <w:color w:val="auto"/>
              </w:rPr>
              <w:t>P Value</w:t>
            </w:r>
          </w:p>
        </w:tc>
      </w:tr>
      <w:tr w:rsidR="00E12B24" w:rsidRPr="00E12B24" w14:paraId="334406AD" w14:textId="24E877FA" w:rsidTr="007320EE">
        <w:trPr>
          <w:trHeight w:val="254"/>
        </w:trPr>
        <w:tc>
          <w:tcPr>
            <w:tcW w:w="1225" w:type="pct"/>
            <w:noWrap/>
          </w:tcPr>
          <w:p w14:paraId="47C7A6CF" w14:textId="27898920" w:rsidR="00E12B24" w:rsidRPr="00E12B24" w:rsidRDefault="00E12B24">
            <w:pPr>
              <w:rPr>
                <w:color w:val="auto"/>
              </w:rPr>
            </w:pPr>
            <w:r w:rsidRPr="00E12B24">
              <w:rPr>
                <w:color w:val="auto"/>
              </w:rPr>
              <w:t>Citation Graph</w:t>
            </w:r>
          </w:p>
        </w:tc>
        <w:tc>
          <w:tcPr>
            <w:tcW w:w="888" w:type="pct"/>
          </w:tcPr>
          <w:p w14:paraId="51571EF3" w14:textId="470745D5" w:rsidR="00E12B24" w:rsidRPr="00E12B24" w:rsidRDefault="00E12B24" w:rsidP="00E12B24">
            <w:pPr>
              <w:pStyle w:val="DecimalAligned"/>
              <w:rPr>
                <w:color w:val="auto"/>
              </w:rPr>
            </w:pPr>
            <w:r w:rsidRPr="00E12B24">
              <w:rPr>
                <w:color w:val="auto"/>
              </w:rPr>
              <w:t>0.008</w:t>
            </w:r>
          </w:p>
        </w:tc>
        <w:tc>
          <w:tcPr>
            <w:tcW w:w="776" w:type="pct"/>
          </w:tcPr>
          <w:p w14:paraId="18B64A61" w14:textId="6B921304" w:rsidR="00E12B24" w:rsidRPr="00E12B24" w:rsidRDefault="00983003" w:rsidP="00E12B24">
            <w:pPr>
              <w:pStyle w:val="DecimalAligned"/>
              <w:rPr>
                <w:color w:val="auto"/>
              </w:rPr>
            </w:pPr>
            <w:r>
              <w:rPr>
                <w:color w:val="auto"/>
              </w:rPr>
              <w:t>5.</w:t>
            </w:r>
            <w:r w:rsidR="00261EE1">
              <w:rPr>
                <w:color w:val="auto"/>
              </w:rPr>
              <w:t>823</w:t>
            </w:r>
          </w:p>
        </w:tc>
        <w:tc>
          <w:tcPr>
            <w:tcW w:w="1111" w:type="pct"/>
          </w:tcPr>
          <w:p w14:paraId="164B429F" w14:textId="130A132E" w:rsidR="00E12B24" w:rsidRPr="00E12B24" w:rsidRDefault="00261EE1" w:rsidP="00E12B24">
            <w:pPr>
              <w:pStyle w:val="DecimalAligned"/>
              <w:rPr>
                <w:color w:val="auto"/>
              </w:rPr>
            </w:pPr>
            <w:r>
              <w:rPr>
                <w:color w:val="auto"/>
              </w:rPr>
              <w:t>0.001</w:t>
            </w:r>
          </w:p>
        </w:tc>
        <w:tc>
          <w:tcPr>
            <w:tcW w:w="999" w:type="pct"/>
          </w:tcPr>
          <w:p w14:paraId="054F76E8" w14:textId="42911774" w:rsidR="00E12B24" w:rsidRPr="00E12B24" w:rsidRDefault="00E12B24" w:rsidP="00E12B24">
            <w:pPr>
              <w:pStyle w:val="DecimalAligned"/>
              <w:rPr>
                <w:color w:val="auto"/>
              </w:rPr>
            </w:pPr>
            <w:r w:rsidRPr="00E12B24">
              <w:rPr>
                <w:color w:val="auto"/>
              </w:rPr>
              <w:t>0.</w:t>
            </w:r>
            <w:r w:rsidR="00261EE1">
              <w:rPr>
                <w:color w:val="auto"/>
              </w:rPr>
              <w:t>811</w:t>
            </w:r>
          </w:p>
        </w:tc>
      </w:tr>
      <w:tr w:rsidR="00E12B24" w:rsidRPr="00E12B24" w14:paraId="1E1FC5B9" w14:textId="549167E4" w:rsidTr="007320EE">
        <w:trPr>
          <w:trHeight w:val="248"/>
        </w:trPr>
        <w:tc>
          <w:tcPr>
            <w:tcW w:w="1225" w:type="pct"/>
            <w:noWrap/>
          </w:tcPr>
          <w:p w14:paraId="53C0F07D" w14:textId="329C1FBA" w:rsidR="00E12B24" w:rsidRPr="00E12B24" w:rsidRDefault="00E12B24">
            <w:pPr>
              <w:rPr>
                <w:color w:val="auto"/>
              </w:rPr>
            </w:pPr>
            <w:r w:rsidRPr="00E12B24">
              <w:rPr>
                <w:color w:val="auto"/>
              </w:rPr>
              <w:t>PA Graph</w:t>
            </w:r>
          </w:p>
        </w:tc>
        <w:tc>
          <w:tcPr>
            <w:tcW w:w="888" w:type="pct"/>
          </w:tcPr>
          <w:p w14:paraId="2BD6DCDA" w14:textId="510B7AAC" w:rsidR="00E12B24" w:rsidRPr="00E12B24" w:rsidRDefault="00E12B24" w:rsidP="00E12B24">
            <w:pPr>
              <w:pStyle w:val="DecimalAligned"/>
              <w:rPr>
                <w:color w:val="auto"/>
              </w:rPr>
            </w:pPr>
            <w:r w:rsidRPr="00E12B24">
              <w:rPr>
                <w:color w:val="auto"/>
              </w:rPr>
              <w:t>0.002</w:t>
            </w:r>
          </w:p>
        </w:tc>
        <w:tc>
          <w:tcPr>
            <w:tcW w:w="776" w:type="pct"/>
          </w:tcPr>
          <w:p w14:paraId="33520626" w14:textId="5FB82D78" w:rsidR="00E12B24" w:rsidRPr="00E12B24" w:rsidRDefault="004161AF" w:rsidP="00E12B24">
            <w:pPr>
              <w:pStyle w:val="DecimalAligned"/>
              <w:rPr>
                <w:color w:val="auto"/>
              </w:rPr>
            </w:pPr>
            <w:r>
              <w:rPr>
                <w:color w:val="auto"/>
              </w:rPr>
              <w:t>3.427</w:t>
            </w:r>
          </w:p>
        </w:tc>
        <w:tc>
          <w:tcPr>
            <w:tcW w:w="1111" w:type="pct"/>
          </w:tcPr>
          <w:p w14:paraId="6CE3712F" w14:textId="1ADE0C34" w:rsidR="00E12B24" w:rsidRPr="00E12B24" w:rsidRDefault="00E12B24" w:rsidP="00E12B24">
            <w:pPr>
              <w:pStyle w:val="DecimalAligned"/>
              <w:rPr>
                <w:color w:val="auto"/>
              </w:rPr>
            </w:pPr>
            <w:r w:rsidRPr="00E12B24">
              <w:rPr>
                <w:color w:val="auto"/>
              </w:rPr>
              <w:t>0.</w:t>
            </w:r>
            <w:r w:rsidR="004161AF">
              <w:rPr>
                <w:color w:val="auto"/>
              </w:rPr>
              <w:t>206</w:t>
            </w:r>
          </w:p>
        </w:tc>
        <w:tc>
          <w:tcPr>
            <w:tcW w:w="999" w:type="pct"/>
          </w:tcPr>
          <w:p w14:paraId="694B65D9" w14:textId="5B15F337" w:rsidR="00E12B24" w:rsidRPr="00E12B24" w:rsidRDefault="00E12B24" w:rsidP="00E12B24">
            <w:pPr>
              <w:pStyle w:val="DecimalAligned"/>
              <w:rPr>
                <w:color w:val="auto"/>
              </w:rPr>
            </w:pPr>
            <w:r w:rsidRPr="00E12B24">
              <w:rPr>
                <w:color w:val="auto"/>
              </w:rPr>
              <w:t>0.000</w:t>
            </w:r>
          </w:p>
        </w:tc>
      </w:tr>
      <w:tr w:rsidR="00E12B24" w:rsidRPr="00E12B24" w14:paraId="0ABA6B5D" w14:textId="0C8F35BD" w:rsidTr="007320EE">
        <w:trPr>
          <w:trHeight w:val="254"/>
        </w:trPr>
        <w:tc>
          <w:tcPr>
            <w:tcW w:w="1225" w:type="pct"/>
            <w:tcBorders>
              <w:bottom w:val="nil"/>
            </w:tcBorders>
            <w:noWrap/>
          </w:tcPr>
          <w:p w14:paraId="43F11942" w14:textId="5B160BFE" w:rsidR="00E12B24" w:rsidRPr="00E12B24" w:rsidRDefault="00E12B24">
            <w:pPr>
              <w:rPr>
                <w:color w:val="auto"/>
              </w:rPr>
            </w:pPr>
            <w:r w:rsidRPr="00E12B24">
              <w:rPr>
                <w:color w:val="auto"/>
              </w:rPr>
              <w:t>C Graph</w:t>
            </w:r>
          </w:p>
        </w:tc>
        <w:tc>
          <w:tcPr>
            <w:tcW w:w="888" w:type="pct"/>
            <w:tcBorders>
              <w:bottom w:val="nil"/>
            </w:tcBorders>
          </w:tcPr>
          <w:p w14:paraId="1362C4A8" w14:textId="417D4F2E" w:rsidR="00E12B24" w:rsidRPr="00E12B24" w:rsidRDefault="00E12B24" w:rsidP="00E12B24">
            <w:pPr>
              <w:pStyle w:val="DecimalAligned"/>
              <w:rPr>
                <w:color w:val="auto"/>
              </w:rPr>
            </w:pPr>
            <w:r w:rsidRPr="00E12B24">
              <w:rPr>
                <w:color w:val="auto"/>
              </w:rPr>
              <w:t>0.0</w:t>
            </w:r>
            <w:r w:rsidR="004161AF">
              <w:rPr>
                <w:color w:val="auto"/>
              </w:rPr>
              <w:t>47</w:t>
            </w:r>
          </w:p>
        </w:tc>
        <w:tc>
          <w:tcPr>
            <w:tcW w:w="776" w:type="pct"/>
            <w:tcBorders>
              <w:bottom w:val="nil"/>
            </w:tcBorders>
          </w:tcPr>
          <w:p w14:paraId="05BA7C38" w14:textId="5BC7A677" w:rsidR="00E12B24" w:rsidRPr="00E12B24" w:rsidRDefault="004161AF" w:rsidP="00E12B24">
            <w:pPr>
              <w:pStyle w:val="DecimalAligned"/>
              <w:rPr>
                <w:color w:val="auto"/>
              </w:rPr>
            </w:pPr>
            <w:r>
              <w:rPr>
                <w:color w:val="auto"/>
              </w:rPr>
              <w:t>3.360</w:t>
            </w:r>
          </w:p>
        </w:tc>
        <w:tc>
          <w:tcPr>
            <w:tcW w:w="1111" w:type="pct"/>
            <w:tcBorders>
              <w:bottom w:val="nil"/>
            </w:tcBorders>
          </w:tcPr>
          <w:p w14:paraId="4F1F260A" w14:textId="231D2FC0" w:rsidR="00E12B24" w:rsidRPr="00E12B24" w:rsidRDefault="00E12B24" w:rsidP="00E12B24">
            <w:pPr>
              <w:pStyle w:val="DecimalAligned"/>
              <w:rPr>
                <w:color w:val="auto"/>
              </w:rPr>
            </w:pPr>
            <w:r w:rsidRPr="00E12B24">
              <w:rPr>
                <w:color w:val="auto"/>
              </w:rPr>
              <w:t>0.</w:t>
            </w:r>
            <w:r w:rsidR="004161AF">
              <w:rPr>
                <w:color w:val="auto"/>
              </w:rPr>
              <w:t>398</w:t>
            </w:r>
          </w:p>
        </w:tc>
        <w:tc>
          <w:tcPr>
            <w:tcW w:w="999" w:type="pct"/>
            <w:tcBorders>
              <w:bottom w:val="nil"/>
            </w:tcBorders>
          </w:tcPr>
          <w:p w14:paraId="6D0D4975" w14:textId="12EFEF25" w:rsidR="00E12B24" w:rsidRPr="00E12B24" w:rsidRDefault="00E12B24" w:rsidP="00E12B24">
            <w:pPr>
              <w:pStyle w:val="DecimalAligned"/>
              <w:rPr>
                <w:color w:val="auto"/>
              </w:rPr>
            </w:pPr>
            <w:r w:rsidRPr="00E12B24">
              <w:rPr>
                <w:color w:val="auto"/>
              </w:rPr>
              <w:t>0.000</w:t>
            </w:r>
          </w:p>
        </w:tc>
      </w:tr>
    </w:tbl>
    <w:p w14:paraId="003013D1" w14:textId="10082E4A" w:rsidR="00F01787" w:rsidRDefault="00F01787">
      <w:r w:rsidRPr="00F01787">
        <w:rPr>
          <w:noProof/>
        </w:rPr>
        <w:drawing>
          <wp:inline distT="0" distB="0" distL="0" distR="0" wp14:anchorId="668E3F11" wp14:editId="1AF64684">
            <wp:extent cx="1843552" cy="1479392"/>
            <wp:effectExtent l="0" t="0" r="4445" b="69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2868" cy="148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787">
        <w:rPr>
          <w:noProof/>
        </w:rPr>
        <w:drawing>
          <wp:inline distT="0" distB="0" distL="0" distR="0" wp14:anchorId="55EB8D47" wp14:editId="25289545">
            <wp:extent cx="1897557" cy="1522730"/>
            <wp:effectExtent l="0" t="0" r="7620" b="127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823" cy="15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1A9" w:rsidRPr="00A461A9">
        <w:drawing>
          <wp:inline distT="0" distB="0" distL="0" distR="0" wp14:anchorId="24E48B9A" wp14:editId="445E3449">
            <wp:extent cx="1898650" cy="1523609"/>
            <wp:effectExtent l="0" t="0" r="6350" b="63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967" cy="153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5A8C" w14:textId="5AA9E724" w:rsidR="00E42D3E" w:rsidRDefault="00F01787">
      <w:r>
        <w:t>As we can see from the graphs above, our proxy metric closely follows the true betweenness</w:t>
      </w:r>
      <w:r w:rsidR="00426A5A">
        <w:t xml:space="preserve"> centrality</w:t>
      </w:r>
      <w:r>
        <w:t xml:space="preserve"> distribution. However, our </w:t>
      </w:r>
      <w:r w:rsidR="00426A5A">
        <w:t xml:space="preserve">proxy </w:t>
      </w:r>
      <w:r>
        <w:t xml:space="preserve">metric </w:t>
      </w:r>
      <w:r w:rsidR="00426A5A">
        <w:t xml:space="preserve">may not </w:t>
      </w:r>
      <w:r>
        <w:t xml:space="preserve">accurately </w:t>
      </w:r>
      <w:r w:rsidR="00426A5A">
        <w:t>calculate</w:t>
      </w:r>
      <w:r>
        <w:t xml:space="preserve"> values for specific </w:t>
      </w:r>
      <w:r w:rsidR="00426A5A">
        <w:t>nodes</w:t>
      </w:r>
      <w:r>
        <w:t xml:space="preserve">. If we look at </w:t>
      </w:r>
      <w:r w:rsidR="00E12B24">
        <w:t>the root mean squared error (RMSE) comparison of our</w:t>
      </w:r>
      <w:r w:rsidR="00602957">
        <w:t xml:space="preserve"> proxy</w:t>
      </w:r>
      <w:r w:rsidR="00E12B24">
        <w:t xml:space="preserve"> metrics, it obtain</w:t>
      </w:r>
      <w:r w:rsidR="00602957">
        <w:t>s</w:t>
      </w:r>
      <w:r w:rsidR="00E12B24">
        <w:t xml:space="preserve"> very low scores which would suggest a high accuracy. However, we observe the values that we obtain are always strongly weighted towards 0. </w:t>
      </w:r>
      <w:r w:rsidR="00261EE1">
        <w:t>Therefore</w:t>
      </w:r>
      <w:r w:rsidR="00E12B24">
        <w:t>, a small RMSE could actually mean quite a large error with respect to our values.</w:t>
      </w:r>
      <w:r w:rsidR="00261EE1">
        <w:t xml:space="preserve"> As such, we can normalise the RMSE with respect to the mean</w:t>
      </w:r>
      <w:r w:rsidR="004161AF">
        <w:t xml:space="preserve"> </w:t>
      </w:r>
      <w:r w:rsidR="00261EE1">
        <w:t xml:space="preserve">to </w:t>
      </w:r>
      <w:r w:rsidR="004161AF">
        <w:t>get</w:t>
      </w:r>
      <w:r w:rsidR="00261EE1">
        <w:t xml:space="preserve"> the scatter index (SI) which is </w:t>
      </w:r>
      <w:r w:rsidR="004161AF">
        <w:t xml:space="preserve">given </w:t>
      </w:r>
      <w:r w:rsidR="00261EE1">
        <w:t>as a percentage of error.</w:t>
      </w:r>
    </w:p>
    <w:p w14:paraId="20FF640D" w14:textId="0A22D4E1" w:rsidR="00261EE1" w:rsidRDefault="00E12B24">
      <w:r>
        <w:t xml:space="preserve">If we instead consider our metrics as ranking the vertices based on their importance, we can compare the rankings using Kendall rank correlation coefficient – where -1 represents strong negative correlation, 0 represents no correlation, and 1 represents strong positive correlation. As such, we see that our proxy doesn’t accurately rank nodes for a citation </w:t>
      </w:r>
      <w:r w:rsidR="004161AF">
        <w:t xml:space="preserve">graph. </w:t>
      </w:r>
      <w:r>
        <w:t xml:space="preserve">On the other hand, we see that </w:t>
      </w:r>
      <w:r w:rsidR="007320EE">
        <w:t xml:space="preserve">our proxy more </w:t>
      </w:r>
      <w:r w:rsidR="00426A5A">
        <w:t>similarly</w:t>
      </w:r>
      <w:r w:rsidR="007320EE">
        <w:t xml:space="preserve"> ranks vertices based on</w:t>
      </w:r>
      <w:r w:rsidR="00426A5A">
        <w:t xml:space="preserve"> their</w:t>
      </w:r>
      <w:r w:rsidR="007320EE">
        <w:t xml:space="preserve"> importance for the </w:t>
      </w:r>
      <w:r w:rsidR="004161AF">
        <w:t xml:space="preserve">PA and </w:t>
      </w:r>
      <w:r w:rsidR="007320EE">
        <w:t>C graph</w:t>
      </w:r>
      <w:r w:rsidR="004161AF">
        <w:t>s</w:t>
      </w:r>
      <w:r w:rsidR="007320EE">
        <w:t>.</w:t>
      </w:r>
      <w:r w:rsidR="00261EE1">
        <w:t xml:space="preserve"> The only consideration is that the p value for the Kendall Tau value for the citation graph is very high so the confidence in the value obtained is very low.</w:t>
      </w:r>
    </w:p>
    <w:p w14:paraId="754D8205" w14:textId="77777777" w:rsidR="004161AF" w:rsidRDefault="004161AF">
      <w:pPr>
        <w:rPr>
          <w:sz w:val="24"/>
          <w:szCs w:val="24"/>
          <w:u w:val="single"/>
        </w:rPr>
      </w:pPr>
    </w:p>
    <w:p w14:paraId="2EA639B7" w14:textId="77777777" w:rsidR="00261EE1" w:rsidRDefault="00261EE1">
      <w:pPr>
        <w:rPr>
          <w:sz w:val="24"/>
          <w:szCs w:val="24"/>
          <w:u w:val="single"/>
        </w:rPr>
      </w:pPr>
    </w:p>
    <w:p w14:paraId="494B7E27" w14:textId="00AE0298" w:rsidR="00E42D3E" w:rsidRDefault="00E42D3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Question 2b</w:t>
      </w:r>
    </w:p>
    <w:p w14:paraId="356BA34C" w14:textId="3981E231" w:rsidR="00E42D3E" w:rsidRPr="00E42D3E" w:rsidRDefault="00E42D3E">
      <w:r>
        <w:t xml:space="preserve">Our proxy betweenness centrality may be preferred to the standard betweenness centrality since it is much quicker to compute. </w:t>
      </w:r>
      <w:r w:rsidR="008A2C8C">
        <w:t>In fact, the</w:t>
      </w:r>
      <w:r>
        <w:t xml:space="preserve"> standard metric is so slow to compute that for our analysis above we use a subset of 100 nodes. </w:t>
      </w:r>
      <w:r w:rsidR="00983003">
        <w:t xml:space="preserve">Specifically, when using the </w:t>
      </w:r>
      <w:proofErr w:type="spellStart"/>
      <w:r w:rsidR="00983003">
        <w:t>Brandes</w:t>
      </w:r>
      <w:proofErr w:type="spellEnd"/>
      <w:r w:rsidR="00983003">
        <w:t xml:space="preserve"> algorithm for b</w:t>
      </w:r>
      <w:r>
        <w:t>etweenness centrality</w:t>
      </w:r>
      <w:r w:rsidR="004161AF">
        <w:t>,</w:t>
      </w:r>
      <w:r>
        <w:t xml:space="preserve"> </w:t>
      </w:r>
      <w:r w:rsidR="00983003">
        <w:t xml:space="preserve">the computation </w:t>
      </w:r>
      <w:r>
        <w:t xml:space="preserve">has </w:t>
      </w:r>
      <w:r w:rsidR="00261EE1">
        <w:t xml:space="preserve">a high </w:t>
      </w:r>
      <w:r>
        <w:t>complex</w:t>
      </w:r>
      <w:r w:rsidR="00983003">
        <w:t xml:space="preserve">ity </w:t>
      </w:r>
      <w:r w:rsidR="00261EE1">
        <w:t xml:space="preserve">of </w:t>
      </w:r>
      <w:proofErr w:type="gramStart"/>
      <w:r w:rsidRPr="00E42D3E">
        <w:t>O(</w:t>
      </w:r>
      <w:proofErr w:type="gramEnd"/>
      <w:r>
        <w:t>v*e</w:t>
      </w:r>
      <w:r w:rsidRPr="00E42D3E">
        <w:t xml:space="preserve"> + </w:t>
      </w:r>
      <w:r>
        <w:t>v^</w:t>
      </w:r>
      <w:r w:rsidRPr="00E42D3E">
        <w:t>2</w:t>
      </w:r>
      <w:r>
        <w:t xml:space="preserve"> * </w:t>
      </w:r>
      <w:r w:rsidRPr="00E42D3E">
        <w:t>log</w:t>
      </w:r>
      <w:r>
        <w:t>(v</w:t>
      </w:r>
      <w:r w:rsidRPr="00E42D3E">
        <w:t>)</w:t>
      </w:r>
      <w:r>
        <w:t>)</w:t>
      </w:r>
      <w:r w:rsidR="00983003">
        <w:t>.</w:t>
      </w:r>
    </w:p>
    <w:sectPr w:rsidR="00E42D3E" w:rsidRPr="00E4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CC"/>
    <w:rsid w:val="000876A8"/>
    <w:rsid w:val="00115B7B"/>
    <w:rsid w:val="0025284A"/>
    <w:rsid w:val="00261EE1"/>
    <w:rsid w:val="0029056F"/>
    <w:rsid w:val="004161AF"/>
    <w:rsid w:val="00426A5A"/>
    <w:rsid w:val="005440A4"/>
    <w:rsid w:val="00602957"/>
    <w:rsid w:val="006E62B0"/>
    <w:rsid w:val="007320EE"/>
    <w:rsid w:val="007B42CC"/>
    <w:rsid w:val="008A2C8C"/>
    <w:rsid w:val="00983003"/>
    <w:rsid w:val="00A461A9"/>
    <w:rsid w:val="00C4090B"/>
    <w:rsid w:val="00E12B24"/>
    <w:rsid w:val="00E42D3E"/>
    <w:rsid w:val="00F01787"/>
    <w:rsid w:val="00F2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802D"/>
  <w15:chartTrackingRefBased/>
  <w15:docId w15:val="{A6EC1F4C-EC8E-4A52-82C5-1A7D2AF6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F01787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01787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01787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F01787"/>
    <w:rPr>
      <w:i/>
      <w:iCs/>
    </w:rPr>
  </w:style>
  <w:style w:type="table" w:styleId="LightShading-Accent1">
    <w:name w:val="Light Shading Accent 1"/>
    <w:basedOn w:val="TableNormal"/>
    <w:uiPriority w:val="60"/>
    <w:rsid w:val="00F01787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MILTON, TOM (Student)</dc:creator>
  <cp:keywords/>
  <dc:description/>
  <cp:lastModifiedBy>MILTON, TOM (Student)</cp:lastModifiedBy>
  <cp:revision>8</cp:revision>
  <cp:lastPrinted>2023-02-10T14:25:00Z</cp:lastPrinted>
  <dcterms:created xsi:type="dcterms:W3CDTF">2023-01-15T14:35:00Z</dcterms:created>
  <dcterms:modified xsi:type="dcterms:W3CDTF">2023-02-10T14:25:00Z</dcterms:modified>
</cp:coreProperties>
</file>