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Zaawansowane Metodologie Oceny i Etykietowania Sygnałów w Handlu Algorytmicznym: Raport Badawczy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Wstęp: Paradygmat "Oracle" w Ocenie Sygnałów Inwestycyjnych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Współczesna inżynieria finansowa odchodzi od prostych metod backtestingu opartych na stałych horyzontach czasowych na rzecz bardziej złożonych, adaptacyjnych systemów oceny jakości sygnału. W kontekście systemu "kulturkaaa.ipynb", który generuje sygnały o zróżnicowanej charakterystyce – od formacji świecowych (sygnały impulsowe) po przecięcia średnich kroczących (sygnały strukturalne) – zastosowanie jednolitej metryki oceny jest błędem metodologicznym. Każdy typ sygnału posiada unikalną "sygnaturę" zachowania ceny, która wymaga odmiennego podejścia analitycznego.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Niniejszy raport stawia tezę, że optymalna ocena danego 'momentu' wejścia wymaga przyjęcia perspektywy "Oracle" (Wyroczni), czyli wykorzystania pełnej wiedzy o przyszłych ruchach cen (future look-ahead) w celu przypisania etykiet (labels) historycznym danym treningowym. Celem nie jest tutaj przewidywanie przyszłości w czasie rzeczywistym, lecz stworzenie "Ground Truth" – absolutnej prawdy o jakości sygnału, która posłuży do kalibracji modeli decyzyjnych.</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Analiza opiera się na założeniu, że rynki finansowe są niestacjonarne, a zatem parametry oceny (takie jak poziomy Stop Loss czy horyzont inwestycyjny) muszą dynamicznie dostosowywać się do zmienności rynkowej (heteroskedastyczność). Raport szczegółowo omawia zaawansowane techniki, takie jak Metoda Potrójnej Bariery (Triple Barrier Method), Skanowanie Trendu (Trend Scanning) oraz Analiza Mikrostrukturalna (MFE/MAE), proponując ramy teoretyczne dla adaptacyjnego dopasowania tych metod do specyfiki sygnałów generowanych przez "kulturkaaa.ipynb".</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Teoretyczne Podstawy Etykietowania Danych Finansowych</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Ograniczenia Podejścia "Fixed-Time Horizon"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Tradycyjna metoda oceny sygnałów polega na sprawdzeniu stopy zwrotu po ustalonym czasie </w:t>
      </w:r>
      <w:r w:rsidDel="00000000" w:rsidR="00000000" w:rsidRPr="00000000">
        <w:rPr>
          <w:rFonts w:ascii="Google Sans Text" w:cs="Google Sans Text" w:eastAsia="Google Sans Text" w:hAnsi="Google Sans Text"/>
          <w:color w:val="1f1f1f"/>
        </w:rPr>
        <w:drawing>
          <wp:inline distB="19050" distT="19050" distL="19050" distR="19050">
            <wp:extent cx="398383" cy="237498"/>
            <wp:effectExtent b="0" l="0" r="0" t="0"/>
            <wp:docPr id="13"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98383" cy="23749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Jest to podejście deterministyczne, które zakłada, że każda transakcja "żyje" dokładnie tyle samo czasu (np. 10 dni lub 50 słupków). Literatura przedmiotu, w szczególności prace Marcosa Lópeza de Prado, wskazuje na krytyczne wady tego rozwiązania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Ignorowanie Ścieżki Ceny (Path Neglect):</w:t>
      </w:r>
      <w:r w:rsidDel="00000000" w:rsidR="00000000" w:rsidRPr="00000000">
        <w:rPr>
          <w:rFonts w:ascii="Google Sans Text" w:cs="Google Sans Text" w:eastAsia="Google Sans Text" w:hAnsi="Google Sans Text"/>
          <w:color w:val="1f1f1f"/>
          <w:rtl w:val="0"/>
        </w:rPr>
        <w:t xml:space="preserve"> Metoda ta sprawdza jedynie punkt końcowy. Sygnał, który w połowie okresu trwania odnotował 50% straty (drawdown), a następnie powrócił do punktu wyjścia, zostanie oceniony tak samo jak sygnał, który przez cały czas oscylował wokół zera. W rzeczywistości, pierwsza sytuacja niemal na pewno doprowadziłaby do likwidacji pozycji przez mechanizmy zarządzania ryzykiem (Stop Loss).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Brak Skalowania Zmienności:</w:t>
      </w:r>
      <w:r w:rsidDel="00000000" w:rsidR="00000000" w:rsidRPr="00000000">
        <w:rPr>
          <w:rFonts w:ascii="Google Sans Text" w:cs="Google Sans Text" w:eastAsia="Google Sans Text" w:hAnsi="Google Sans Text"/>
          <w:color w:val="1f1f1f"/>
          <w:rtl w:val="0"/>
        </w:rPr>
        <w:t xml:space="preserve"> Sztywny horyzont czasowy nie uwzględnia tempa przepływu informacji rynkowej. W okresach wysokiej zmienności (np. publikacja danych makroekonomicznych), istotne ruchy cenowe mogą nastąpić w ciągu minut. W okresach ciszy (low volatility regimes), ten sam ruch może zająć dni. Sztywne ramy czasowe prowadzą do zaszumienia etykiet.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Niedopasowanie do Typu Sygnału:</w:t>
      </w:r>
      <w:r w:rsidDel="00000000" w:rsidR="00000000" w:rsidRPr="00000000">
        <w:rPr>
          <w:rFonts w:ascii="Google Sans Text" w:cs="Google Sans Text" w:eastAsia="Google Sans Text" w:hAnsi="Google Sans Text"/>
          <w:color w:val="1f1f1f"/>
          <w:rtl w:val="0"/>
        </w:rPr>
        <w:t xml:space="preserve"> Formacja świecowa typu "Młot" (Hammer) jest sygnałem krótkoterminowego odwrócenia i powinna być oceniana w horyzoncie kilku słupków. Przecięcie "Złotego Krzyża" (Golden Cross) na średnich kroczących to sygnał makro-trendu, który wymaga tygodni na realizację. Mierzenie obu tą samą miarą jest błędem poznawczym.</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Koncepcja Etykietowania Sterowanego Zdarzeniami (Event-Driven Labeling)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Alternatywą jest podejście sterowane zdarzeniami, gdzie zakończenie "eksperymentu" (czyli oceny sygnału) następuje w momencie wystąpienia określonego warunku rynkowego, a nie upływu czasu zegarowego. Pozwala to na uchwycenie wewnętrznej dynamiki rynku. W kontekście "kulturkaaa.ipynb", oznacza to, że dla każdego wykrytego 'momentu' musimy zasymulować ścieżkę ceny aż do momentu, w którym sygnał zostanie uznany za zrealizowany (sukces) lub unieważniony (porażka).</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Metoda Potrójnej Bariery (Triple Barrier Method - TBM)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Metoda Potrójnej Bariery stanowi złoty standard w ocenie jakości sygnałów w nowoczesnym tradingu algorytmicznym. Pozwala ona na ocenę sygnału w kontekście realistycznych ograniczeń zarządzania ryzykiem i kapitałem.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Architektura Barier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Metoda ta definiuje trzy granice (bariery) dla każdego sygnału wejścia w momencie </w:t>
      </w:r>
      <w:r w:rsidDel="00000000" w:rsidR="00000000" w:rsidRPr="00000000">
        <w:rPr>
          <w:rFonts w:ascii="Google Sans Text" w:cs="Google Sans Text" w:eastAsia="Google Sans Text" w:hAnsi="Google Sans Text"/>
          <w:color w:val="1f1f1f"/>
        </w:rPr>
        <w:drawing>
          <wp:inline distB="19050" distT="19050" distL="19050" distR="19050">
            <wp:extent cx="140494" cy="241961"/>
            <wp:effectExtent b="0" l="0" r="0" t="0"/>
            <wp:docPr id="1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40494" cy="24196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Górna Bariera Pozioma (Take Profit):</w:t>
      </w:r>
      <w:r w:rsidDel="00000000" w:rsidR="00000000" w:rsidRPr="00000000">
        <w:rPr>
          <w:rFonts w:ascii="Google Sans Text" w:cs="Google Sans Text" w:eastAsia="Google Sans Text" w:hAnsi="Google Sans Text"/>
          <w:color w:val="1f1f1f"/>
          <w:rtl w:val="0"/>
        </w:rPr>
        <w:t xml:space="preserve"> Określa poziom ceny, przy którym realizowany jest zysk. Jest to bariera sukcesu. Jeśli cena dotknie jej jako pierwszej, sygnał otrzymuje etykietę </w:t>
      </w:r>
      <w:r w:rsidDel="00000000" w:rsidR="00000000" w:rsidRPr="00000000">
        <w:rPr>
          <w:rFonts w:ascii="Google Sans Text" w:cs="Google Sans Text" w:eastAsia="Google Sans Text" w:hAnsi="Google Sans Text"/>
          <w:color w:val="1f1f1f"/>
        </w:rPr>
        <w:drawing>
          <wp:inline distB="19050" distT="19050" distL="19050" distR="19050">
            <wp:extent cx="92273" cy="215305"/>
            <wp:effectExtent b="0" l="0" r="0" t="0"/>
            <wp:docPr id="14"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92273" cy="2153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(Win).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Dolna Bariera Pozioma (Stop Loss):</w:t>
      </w:r>
      <w:r w:rsidDel="00000000" w:rsidR="00000000" w:rsidRPr="00000000">
        <w:rPr>
          <w:rFonts w:ascii="Google Sans Text" w:cs="Google Sans Text" w:eastAsia="Google Sans Text" w:hAnsi="Google Sans Text"/>
          <w:color w:val="1f1f1f"/>
          <w:rtl w:val="0"/>
        </w:rPr>
        <w:t xml:space="preserve"> Określa poziom ceny, przy którym pozycja jest zamykana ze stratą w celu ochrony kapitału. Jest to bariera porażki. Jeśli cena dotknie jej jako pierwszej, sygnał otrzymuje etykietę </w:t>
      </w:r>
      <w:r w:rsidDel="00000000" w:rsidR="00000000" w:rsidRPr="00000000">
        <w:rPr>
          <w:rFonts w:ascii="Google Sans Text" w:cs="Google Sans Text" w:eastAsia="Google Sans Text" w:hAnsi="Google Sans Text"/>
          <w:color w:val="1f1f1f"/>
        </w:rPr>
        <w:drawing>
          <wp:inline distB="19050" distT="19050" distL="19050" distR="19050">
            <wp:extent cx="235744" cy="212930"/>
            <wp:effectExtent b="0" l="0" r="0" t="0"/>
            <wp:docPr id="1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(Loss).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Bariera Pionowa (Limit Czasu):</w:t>
      </w:r>
      <w:r w:rsidDel="00000000" w:rsidR="00000000" w:rsidRPr="00000000">
        <w:rPr>
          <w:rFonts w:ascii="Google Sans Text" w:cs="Google Sans Text" w:eastAsia="Google Sans Text" w:hAnsi="Google Sans Text"/>
          <w:color w:val="1f1f1f"/>
          <w:rtl w:val="0"/>
        </w:rPr>
        <w:t xml:space="preserve"> Określa maksymalny czas trwania transakcji (np. liczba słupków). Jeśli cena nie dotknie żadnej z barier poziomych przed upływem tego czasu, sygnał uznawany jest za neutralny (</w:t>
      </w:r>
      <w:r w:rsidDel="00000000" w:rsidR="00000000" w:rsidRPr="00000000">
        <w:rPr>
          <w:rFonts w:ascii="Google Sans Text" w:cs="Google Sans Text" w:eastAsia="Google Sans Text" w:hAnsi="Google Sans Text"/>
          <w:color w:val="1f1f1f"/>
        </w:rPr>
        <w:drawing>
          <wp:inline distB="19050" distT="19050" distL="19050" distR="19050">
            <wp:extent cx="92273" cy="215305"/>
            <wp:effectExtent b="0" l="0" r="0" t="0"/>
            <wp:docPr id="16"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92273" cy="2153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lub oceniany na podstawie znaku stopy zwrotu w momencie wygaśnięcia.</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Taka konstrukcja pozwala odpowiedzieć na pytanie: "Czy ten sygnał pozwoliłby zarobić pieniądze, zanim uderzyłby w Stop Loss lub zanim wyczerpałaby się nasza cierpliwość?".</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Dynamiczne Skalowanie Zmiennością (Volatility Adjustment)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Kluczowym elementem implementacji TBM w "kulturkaaa.ipynb" jest dynamiczne dostosowanie szerokości barier do aktualnej zmienności rynku. Użycie sztywnych wartości (np. TP +2%, SL -1%) jest nieefektywne. Zamiast tego należy użyć wielokrotności zmienności, np. odchylenia standardowego (</w:t>
      </w:r>
      <w:r w:rsidDel="00000000" w:rsidR="00000000" w:rsidRPr="00000000">
        <w:rPr>
          <w:rFonts w:ascii="Google Sans Text" w:cs="Google Sans Text" w:eastAsia="Google Sans Text" w:hAnsi="Google Sans Text"/>
          <w:color w:val="1f1f1f"/>
        </w:rPr>
        <w:drawing>
          <wp:inline distB="19050" distT="19050" distL="19050" distR="19050">
            <wp:extent cx="97869" cy="220206"/>
            <wp:effectExtent b="0" l="0" r="0" t="0"/>
            <wp:docPr id="19"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97869" cy="22020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lub wskaźnika ATR (Average True Range).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Wzory na bariery w momencie </w:t>
      </w:r>
      <w:r w:rsidDel="00000000" w:rsidR="00000000" w:rsidRPr="00000000">
        <w:rPr>
          <w:rFonts w:ascii="Google Sans Text" w:cs="Google Sans Text" w:eastAsia="Google Sans Text" w:hAnsi="Google Sans Text"/>
          <w:color w:val="1f1f1f"/>
        </w:rPr>
        <w:drawing>
          <wp:inline distB="19050" distT="19050" distL="19050" distR="19050">
            <wp:extent cx="66675" cy="258366"/>
            <wp:effectExtent b="0" l="0" r="0" t="0"/>
            <wp:docPr id="18"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66675" cy="2583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327060"/>
            <wp:effectExtent b="0" l="0" r="0" t="0"/>
            <wp:docPr id="2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05500" cy="32706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327060"/>
            <wp:effectExtent b="0" l="0" r="0" t="0"/>
            <wp:docPr id="2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05500" cy="32706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Gdzie:</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174307" cy="245615"/>
            <wp:effectExtent b="0" l="0" r="0" t="0"/>
            <wp:docPr id="24"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174307" cy="24561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to cena w momencie sygnału.</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161211" cy="237978"/>
            <wp:effectExtent b="0" l="0" r="0" t="0"/>
            <wp:docPr id="22"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161211" cy="23797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to estymowana zmienność (np. dzienna).</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256103" cy="209539"/>
            <wp:effectExtent b="0" l="0" r="0" t="0"/>
            <wp:docPr id="2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56103" cy="20953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 </w:t>
      </w:r>
      <w:r w:rsidDel="00000000" w:rsidR="00000000" w:rsidRPr="00000000">
        <w:rPr>
          <w:rFonts w:ascii="Google Sans Text" w:cs="Google Sans Text" w:eastAsia="Google Sans Text" w:hAnsi="Google Sans Text"/>
          <w:color w:val="1f1f1f"/>
        </w:rPr>
        <w:drawing>
          <wp:inline distB="19050" distT="19050" distL="19050" distR="19050">
            <wp:extent cx="254675" cy="208370"/>
            <wp:effectExtent b="0" l="0" r="0" t="0"/>
            <wp:docPr id="2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54675" cy="20837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to mnożniki określające agresywność strategii (np. 2 dla TP i 1 dla SL).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Dzięki temu podejściu, w okresach wysokiej zmienności bariery automatycznie się rozszerzają, zapobiegając przypadkowemu "wyleszczeniu" (whipsaw) przez szum rynkowy. W okresach spokojnych bariery się zacieśniają, co pozwala na szybszą realizację zysków z mniejszych ruchów cenowych.</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Implementacja TBM dla Sygnałów "kulturkaaa"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Aby ocenić 'moment' znaleziony przez notebook, algorytm powinien wykonać następujące kroki symulacyjne (korzystając z wiedzy o przyszłych słupkach):</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Pobrać sygnał w czasie </w:t>
      </w:r>
      <w:r w:rsidDel="00000000" w:rsidR="00000000" w:rsidRPr="00000000">
        <w:rPr>
          <w:rFonts w:ascii="Google Sans Text" w:cs="Google Sans Text" w:eastAsia="Google Sans Text" w:hAnsi="Google Sans Text"/>
          <w:color w:val="1f1f1f"/>
        </w:rPr>
        <w:drawing>
          <wp:inline distB="19050" distT="19050" distL="19050" distR="19050">
            <wp:extent cx="140494" cy="241961"/>
            <wp:effectExtent b="0" l="0" r="0" t="0"/>
            <wp:docPr id="2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40494" cy="24196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Obliczyć zmienność </w:t>
      </w:r>
      <w:r w:rsidDel="00000000" w:rsidR="00000000" w:rsidRPr="00000000">
        <w:rPr>
          <w:rFonts w:ascii="Google Sans Text" w:cs="Google Sans Text" w:eastAsia="Google Sans Text" w:hAnsi="Google Sans Text"/>
          <w:color w:val="1f1f1f"/>
        </w:rPr>
        <w:drawing>
          <wp:inline distB="19050" distT="19050" distL="19050" distR="19050">
            <wp:extent cx="216575" cy="239779"/>
            <wp:effectExtent b="0" l="0" r="0" t="0"/>
            <wp:docPr id="2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16575" cy="23977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na podstawie </w:t>
      </w:r>
      <w:r w:rsidDel="00000000" w:rsidR="00000000" w:rsidRPr="00000000">
        <w:rPr>
          <w:rFonts w:ascii="Google Sans Text" w:cs="Google Sans Text" w:eastAsia="Google Sans Text" w:hAnsi="Google Sans Text"/>
          <w:color w:val="1f1f1f"/>
        </w:rPr>
        <w:drawing>
          <wp:inline distB="19050" distT="19050" distL="19050" distR="19050">
            <wp:extent cx="168116" cy="236891"/>
            <wp:effectExtent b="0" l="0" r="0" t="0"/>
            <wp:docPr id="28"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poprzednich słupków.</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Wyznaczyć poziomy cenowe barier (TP i SL) oraz indeks czasu bariery pionowej.</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Przeskanować tablicę przyszłych cen (High i Low) w oknie </w:t>
      </w:r>
      <w:r w:rsidDel="00000000" w:rsidR="00000000" w:rsidRPr="00000000">
        <w:rPr>
          <w:rFonts w:ascii="Google Sans Text" w:cs="Google Sans Text" w:eastAsia="Google Sans Text" w:hAnsi="Google Sans Text"/>
          <w:color w:val="1f1f1f"/>
        </w:rPr>
        <w:drawing>
          <wp:inline distB="19050" distT="19050" distL="19050" distR="19050">
            <wp:extent cx="605909" cy="234790"/>
            <wp:effectExtent b="0" l="0" r="0" t="0"/>
            <wp:docPr id="2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05909" cy="23479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Zidentyfikować pierwszy indeks </w:t>
      </w:r>
      <w:r w:rsidDel="00000000" w:rsidR="00000000" w:rsidRPr="00000000">
        <w:rPr>
          <w:rFonts w:ascii="Google Sans Text" w:cs="Google Sans Text" w:eastAsia="Google Sans Text" w:hAnsi="Google Sans Text"/>
          <w:color w:val="1f1f1f"/>
        </w:rPr>
        <w:drawing>
          <wp:inline distB="19050" distT="19050" distL="19050" distR="19050">
            <wp:extent cx="66675" cy="258366"/>
            <wp:effectExtent b="0" l="0" r="0" t="0"/>
            <wp:docPr id="30"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66675" cy="2583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 którym </w:t>
      </w:r>
      <w:r w:rsidDel="00000000" w:rsidR="00000000" w:rsidRPr="00000000">
        <w:rPr>
          <w:rFonts w:ascii="Google Sans Text" w:cs="Google Sans Text" w:eastAsia="Google Sans Text" w:hAnsi="Google Sans Text"/>
          <w:color w:val="1f1f1f"/>
        </w:rPr>
        <w:drawing>
          <wp:inline distB="19050" distT="19050" distL="19050" distR="19050">
            <wp:extent cx="986190" cy="235168"/>
            <wp:effectExtent b="0" l="0" r="0" t="0"/>
            <wp:docPr id="3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986190" cy="23516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lub </w:t>
      </w:r>
      <w:r w:rsidDel="00000000" w:rsidR="00000000" w:rsidRPr="00000000">
        <w:rPr>
          <w:rFonts w:ascii="Google Sans Text" w:cs="Google Sans Text" w:eastAsia="Google Sans Text" w:hAnsi="Google Sans Text"/>
          <w:color w:val="1f1f1f"/>
        </w:rPr>
        <w:drawing>
          <wp:inline distB="19050" distT="19050" distL="19050" distR="19050">
            <wp:extent cx="898207" cy="237986"/>
            <wp:effectExtent b="0" l="0" r="0" t="0"/>
            <wp:docPr id="3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898207" cy="23798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Przypisać etykietę (1, -1 lub 0) na podstawie tego, które zdarzenie nastąpiło pierwsze.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Tabela poniżej przedstawia przykładowe parametry TBM dla różnych klas aktywów, co może być punktem wyjścia dla użytkownika.</w:t>
      </w:r>
      <w:r w:rsidDel="00000000" w:rsidR="00000000" w:rsidRPr="00000000">
        <w:rPr>
          <w:rFonts w:ascii="Google Sans Text" w:cs="Google Sans Text" w:eastAsia="Google Sans Text" w:hAnsi="Google Sans Text"/>
          <w:color w:val="444746"/>
          <w:sz w:val="24"/>
          <w:szCs w:val="24"/>
          <w:vertAlign w:val="superscript"/>
          <w:rtl w:val="0"/>
        </w:rPr>
        <w:t xml:space="preserve">2</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Klasa Aktywa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Mnożnik TP (λTP​)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Mnożnik SL (λSL​)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Bariera Pionowa (Bary)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Uzasadnienie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Krypto (Wysoka Zmienność)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97869" cy="220206"/>
                  <wp:effectExtent b="0" l="0" r="0" t="0"/>
                  <wp:docPr id="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97869" cy="2202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97869" cy="220206"/>
                  <wp:effectExtent b="0" l="0" r="0" t="0"/>
                  <wp:docPr id="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97869" cy="2202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48 (krótki horyzont)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Szybkie ruchy, ryzyko nagłych spadków wymaga szerszych widełek.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Forex (Mean Reversion)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97869" cy="220206"/>
                  <wp:effectExtent b="0" l="0" r="0" t="0"/>
                  <wp:docPr id="5"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97869" cy="2202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97869" cy="220206"/>
                  <wp:effectExtent b="0" l="0" r="0" t="0"/>
                  <wp:docPr id="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97869" cy="2202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Pary walutowe często oscylują, symetryczne bariery są optymalne.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Indeksy (Trend Following)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97869" cy="220206"/>
                  <wp:effectExtent b="0" l="0" r="0" t="0"/>
                  <wp:docPr id="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97869" cy="2202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97869" cy="220206"/>
                  <wp:effectExtent b="0" l="0" r="0" t="0"/>
                  <wp:docPr id="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97869" cy="2202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Brak lub bardzo długa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Trendy trwają długo, zysk musi wielokrotnie przewyższać ryzyko.</w:t>
            </w:r>
          </w:p>
        </w:tc>
      </w:tr>
    </w:tbl>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Analiza Mikrostrukturalna: Jakość i Efektywność Wejścia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Sama informacja o tym, czy trade był zyskowny (TBM Label), nie mówi nam wszystkiego o </w:t>
      </w:r>
      <w:r w:rsidDel="00000000" w:rsidR="00000000" w:rsidRPr="00000000">
        <w:rPr>
          <w:rFonts w:ascii="Google Sans Text" w:cs="Google Sans Text" w:eastAsia="Google Sans Text" w:hAnsi="Google Sans Text"/>
          <w:i w:val="1"/>
          <w:iCs w:val="1"/>
          <w:color w:val="1f1f1f"/>
          <w:rtl w:val="0"/>
        </w:rPr>
        <w:t xml:space="preserve">jakości</w:t>
      </w:r>
      <w:r w:rsidDel="00000000" w:rsidR="00000000" w:rsidRPr="00000000">
        <w:rPr>
          <w:rFonts w:ascii="Google Sans Text" w:cs="Google Sans Text" w:eastAsia="Google Sans Text" w:hAnsi="Google Sans Text"/>
          <w:color w:val="1f1f1f"/>
          <w:rtl w:val="0"/>
        </w:rPr>
        <w:t xml:space="preserve"> 'momentu'. Dwa sygnały mogą zakończyć się zyskiem, ale jeden z nich mógł być "czysty" (cena od razu poszła w naszą stronę), a drugi "bolesny" (cena długo była na minusie). Do oceny tych niuansów wykorzystujemy metryki MFE i MAE.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Maximum Favorable/Adverse Excursion (MFE/MAE)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Dla każdego 'momentu' zidentyfikowanego w "kulturkaaa.ipynb", należy obliczyć dwie kluczowe wartości na podstawie przyszłych słupków w horyzoncie trwania transakcji:</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MFE (Maximum Favorable Excursion):</w:t>
      </w:r>
      <w:r w:rsidDel="00000000" w:rsidR="00000000" w:rsidRPr="00000000">
        <w:rPr>
          <w:rFonts w:ascii="Google Sans Text" w:cs="Google Sans Text" w:eastAsia="Google Sans Text" w:hAnsi="Google Sans Text"/>
          <w:color w:val="1f1f1f"/>
          <w:rtl w:val="0"/>
        </w:rPr>
        <w:t xml:space="preserve"> Maksymalny zysk "papierowy" (niezrealizowany) osiągnięty w trakcie trwania pozycji. Mierzy </w:t>
      </w:r>
      <w:r w:rsidDel="00000000" w:rsidR="00000000" w:rsidRPr="00000000">
        <w:rPr>
          <w:rFonts w:ascii="Google Sans Text" w:cs="Google Sans Text" w:eastAsia="Google Sans Text" w:hAnsi="Google Sans Text"/>
          <w:i w:val="1"/>
          <w:iCs w:val="1"/>
          <w:color w:val="1f1f1f"/>
          <w:rtl w:val="0"/>
        </w:rPr>
        <w:t xml:space="preserve">potencjał</w:t>
      </w:r>
      <w:r w:rsidDel="00000000" w:rsidR="00000000" w:rsidRPr="00000000">
        <w:rPr>
          <w:rFonts w:ascii="Google Sans Text" w:cs="Google Sans Text" w:eastAsia="Google Sans Text" w:hAnsi="Google Sans Text"/>
          <w:color w:val="1f1f1f"/>
          <w:rtl w:val="0"/>
        </w:rPr>
        <w:t xml:space="preserve"> sygnału.</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MAE (Maximum Adverse Excursion):</w:t>
      </w:r>
      <w:r w:rsidDel="00000000" w:rsidR="00000000" w:rsidRPr="00000000">
        <w:rPr>
          <w:rFonts w:ascii="Google Sans Text" w:cs="Google Sans Text" w:eastAsia="Google Sans Text" w:hAnsi="Google Sans Text"/>
          <w:color w:val="1f1f1f"/>
          <w:rtl w:val="0"/>
        </w:rPr>
        <w:t xml:space="preserve"> Maksymalna strata "papierowa" (drawdown) osiągnięta w trakcie trwania pozycji. Mierzy </w:t>
      </w:r>
      <w:r w:rsidDel="00000000" w:rsidR="00000000" w:rsidRPr="00000000">
        <w:rPr>
          <w:rFonts w:ascii="Google Sans Text" w:cs="Google Sans Text" w:eastAsia="Google Sans Text" w:hAnsi="Google Sans Text"/>
          <w:i w:val="1"/>
          <w:iCs w:val="1"/>
          <w:color w:val="1f1f1f"/>
          <w:rtl w:val="0"/>
        </w:rPr>
        <w:t xml:space="preserve">ryzyko</w:t>
      </w:r>
      <w:r w:rsidDel="00000000" w:rsidR="00000000" w:rsidRPr="00000000">
        <w:rPr>
          <w:rFonts w:ascii="Google Sans Text" w:cs="Google Sans Text" w:eastAsia="Google Sans Text" w:hAnsi="Google Sans Text"/>
          <w:color w:val="1f1f1f"/>
          <w:rtl w:val="0"/>
        </w:rPr>
        <w:t xml:space="preserve"> i ekspozycję na błąd.</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Analiza rozkładu tych wartości pozwala na głęboką diagnostykę strategii. Jeśli 'momenty' generowane przez wskaźnik RSI mają systematycznie wysokie MAE, oznacza to, że sygnały są przedwczesne ("łapanie spadającego noża") i wymagają opóźnienia lub filtra.</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Wskaźnik Edge (Edge Ratio)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Wskaźnik Edge to syntetyczna metryka łącząca potencjał zysku z ryzykiem, często normalizowana przez zmienność (ATR).</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Pr>
        <w:drawing>
          <wp:inline distB="19050" distT="19050" distL="19050" distR="19050">
            <wp:extent cx="5905500" cy="460647"/>
            <wp:effectExtent b="0" l="0" r="0" t="0"/>
            <wp:docPr id="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05500" cy="460647"/>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Interpretacja dla 'momentów' z "kulturkaaa":</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Edge Ratio &gt; 1.0:</w:t>
      </w:r>
      <w:r w:rsidDel="00000000" w:rsidR="00000000" w:rsidRPr="00000000">
        <w:rPr>
          <w:rFonts w:ascii="Google Sans Text" w:cs="Google Sans Text" w:eastAsia="Google Sans Text" w:hAnsi="Google Sans Text"/>
          <w:color w:val="1f1f1f"/>
          <w:rtl w:val="0"/>
        </w:rPr>
        <w:t xml:space="preserve"> Sygnał ma statystyczną przewagę. Cena ma tendencję do podążania w kierunku sygnału bardziej niż przeciwko niemu.</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Edge Ratio &lt; 1.0:</w:t>
      </w:r>
      <w:r w:rsidDel="00000000" w:rsidR="00000000" w:rsidRPr="00000000">
        <w:rPr>
          <w:rFonts w:ascii="Google Sans Text" w:cs="Google Sans Text" w:eastAsia="Google Sans Text" w:hAnsi="Google Sans Text"/>
          <w:color w:val="1f1f1f"/>
          <w:rtl w:val="0"/>
        </w:rPr>
        <w:t xml:space="preserve"> Sygnał jest ryzykowny. Nawet jeśli strategia ma wysoki Win Rate (np. dzięki szerokim Stop Lossom), niski Edge Ratio wskazuje, że "zbieramy grosze przed walcem". Każdy zysk jest okupiony nieproporcjonalnie dużym ryzykiem w trakcie trwania transakcji.</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Efektywność Wejścia (Entry Efficiency)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Jest to metryka określająca precyzję wejścia w kontekście lokalnego ekstremum cenowego. Pozwala ocenić, czy algorytm potrafi "kupić w dołku".</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Pr>
        <w:drawing>
          <wp:inline distB="19050" distT="19050" distL="19050" distR="19050">
            <wp:extent cx="5905500" cy="419189"/>
            <wp:effectExtent b="0" l="0" r="0" t="0"/>
            <wp:docPr id="10"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05500" cy="419189"/>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Gdzie:</w:t>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Max Price</w:t>
      </w:r>
      <w:r w:rsidDel="00000000" w:rsidR="00000000" w:rsidRPr="00000000">
        <w:rPr>
          <w:rFonts w:ascii="Google Sans Text" w:cs="Google Sans Text" w:eastAsia="Google Sans Text" w:hAnsi="Google Sans Text"/>
          <w:color w:val="1f1f1f"/>
          <w:rtl w:val="0"/>
        </w:rPr>
        <w:t xml:space="preserve"> i </w:t>
      </w:r>
      <w:r w:rsidDel="00000000" w:rsidR="00000000" w:rsidRPr="00000000">
        <w:rPr>
          <w:rFonts w:ascii="Google Sans Text" w:cs="Google Sans Text" w:eastAsia="Google Sans Text" w:hAnsi="Google Sans Text"/>
          <w:i w:val="1"/>
          <w:iCs w:val="1"/>
          <w:color w:val="1f1f1f"/>
          <w:rtl w:val="0"/>
        </w:rPr>
        <w:t xml:space="preserve">Min Price</w:t>
      </w:r>
      <w:r w:rsidDel="00000000" w:rsidR="00000000" w:rsidRPr="00000000">
        <w:rPr>
          <w:rFonts w:ascii="Google Sans Text" w:cs="Google Sans Text" w:eastAsia="Google Sans Text" w:hAnsi="Google Sans Text"/>
          <w:color w:val="1f1f1f"/>
          <w:rtl w:val="0"/>
        </w:rPr>
        <w:t xml:space="preserve"> to ekstrema cenowe w oknie czasowym trwania transakcji.</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Wartość bliska 100% oznacza idealne wejście w dołku.</w:t>
      </w:r>
    </w:p>
    <w:p w:rsidR="00000000" w:rsidDel="00000000" w:rsidP="00000000" w:rsidRDefault="00000000" w:rsidRPr="00000000" w14:paraId="0000005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Wartość bliska 0% oznacza wejście na lokalnym szczycie (najgorszy możliwy moment).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Zastosowanie:</w:t>
      </w:r>
      <w:r w:rsidDel="00000000" w:rsidR="00000000" w:rsidRPr="00000000">
        <w:rPr>
          <w:rFonts w:ascii="Google Sans Text" w:cs="Google Sans Text" w:eastAsia="Google Sans Text" w:hAnsi="Google Sans Text"/>
          <w:color w:val="1f1f1f"/>
          <w:rtl w:val="0"/>
        </w:rPr>
        <w:t xml:space="preserve"> Jeśli "kulturkaaa" generuje sygnały o wysokim Win Rate (z TBM), ale niskiej Efektywności Wejścia (np. 20%), oznacza to, że sygnały są spóźnione (chasing momentum). Można to poprawić, np. skracając okresy średnich kroczących.</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Analiza Czasu do Zdarzenia (Time-to-Event Analysis)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Niezwykle istotnym, a często pomijanym aspektem, jest </w:t>
      </w:r>
      <w:r w:rsidDel="00000000" w:rsidR="00000000" w:rsidRPr="00000000">
        <w:rPr>
          <w:rFonts w:ascii="Google Sans Text" w:cs="Google Sans Text" w:eastAsia="Google Sans Text" w:hAnsi="Google Sans Text"/>
          <w:i w:val="1"/>
          <w:iCs w:val="1"/>
          <w:color w:val="1f1f1f"/>
          <w:rtl w:val="0"/>
        </w:rPr>
        <w:t xml:space="preserve">czas</w:t>
      </w:r>
      <w:r w:rsidDel="00000000" w:rsidR="00000000" w:rsidRPr="00000000">
        <w:rPr>
          <w:rFonts w:ascii="Google Sans Text" w:cs="Google Sans Text" w:eastAsia="Google Sans Text" w:hAnsi="Google Sans Text"/>
          <w:color w:val="1f1f1f"/>
          <w:rtl w:val="0"/>
        </w:rPr>
        <w:t xml:space="preserve">, jaki upływa od wejścia do osiągnięcia MFE lub MAE. Tworząc wykres punktowy (Scatter Plot), gdzie na osi X mamy czas (liczbę słupków), a na osi Y wartość MFE/MAE, możemy zidentyfikować klastry zachowań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Pozytywny Scenariusz:</w:t>
      </w:r>
      <w:r w:rsidDel="00000000" w:rsidR="00000000" w:rsidRPr="00000000">
        <w:rPr>
          <w:rFonts w:ascii="Google Sans Text" w:cs="Google Sans Text" w:eastAsia="Google Sans Text" w:hAnsi="Google Sans Text"/>
          <w:color w:val="1f1f1f"/>
          <w:rtl w:val="0"/>
        </w:rPr>
        <w:t xml:space="preserve"> Krótki czas do MFE (szybki zysk) i bardzo długi (lub brak) czas do MAE.</w:t>
      </w:r>
    </w:p>
    <w:p w:rsidR="00000000" w:rsidDel="00000000" w:rsidP="00000000" w:rsidRDefault="00000000" w:rsidRPr="00000000" w14:paraId="0000005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Negatywny Scenariusz:</w:t>
      </w:r>
      <w:r w:rsidDel="00000000" w:rsidR="00000000" w:rsidRPr="00000000">
        <w:rPr>
          <w:rFonts w:ascii="Google Sans Text" w:cs="Google Sans Text" w:eastAsia="Google Sans Text" w:hAnsi="Google Sans Text"/>
          <w:color w:val="1f1f1f"/>
          <w:rtl w:val="0"/>
        </w:rPr>
        <w:t xml:space="preserve"> Natychmiastowe MAE po wejściu. Oznacza to, że sygnał jest systematycznie błędny w momencie generacji ("fading").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Analiza ta pozwala na optymalizację Bariery Pionowej w TBM. Jeśli wykres pokazuje, że 90% transakcji osiąga swoje MFE w ciągu 10 słupków, utrzymywanie pozycji przez 50 słupków jest nieefektywne (koszt alternatywny, ryzyko odwrócenia).</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Adaptacyjne Dopasowanie Oceny do Typu 'Momentu'</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 odpowiedzi na kluczowe pytanie użytkownika: </w:t>
      </w:r>
      <w:r w:rsidDel="00000000" w:rsidR="00000000" w:rsidRPr="00000000">
        <w:rPr>
          <w:rFonts w:ascii="Google Sans Text" w:cs="Google Sans Text" w:eastAsia="Google Sans Text" w:hAnsi="Google Sans Text"/>
          <w:b w:val="1"/>
          <w:bCs w:val="1"/>
          <w:color w:val="1f1f1f"/>
          <w:rtl w:val="0"/>
        </w:rPr>
        <w:t xml:space="preserve">Tak, należy bezwzględnie dopasować sposób oceny do typu znalezionego 'momentu'.</w:t>
      </w:r>
      <w:r w:rsidDel="00000000" w:rsidR="00000000" w:rsidRPr="00000000">
        <w:rPr>
          <w:rFonts w:ascii="Google Sans Text" w:cs="Google Sans Text" w:eastAsia="Google Sans Text" w:hAnsi="Google Sans Text"/>
          <w:color w:val="1f1f1f"/>
          <w:rtl w:val="0"/>
        </w:rPr>
        <w:t xml:space="preserve"> Różne formacje techniczne mają różną "fizykę" i cel. Poniżej przedstawiono propozycję taksonomii sygnałów z "kulturkaaa.ipynb" i dedykowanych im metod oceny.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Kategoria A: Sygnały Impulsowe i Mean Reversion (Powrót do Średniej)</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Przykłady:</w:t>
      </w:r>
      <w:r w:rsidDel="00000000" w:rsidR="00000000" w:rsidRPr="00000000">
        <w:rPr>
          <w:rFonts w:ascii="Google Sans Text" w:cs="Google Sans Text" w:eastAsia="Google Sans Text" w:hAnsi="Google Sans Text"/>
          <w:color w:val="1f1f1f"/>
          <w:rtl w:val="0"/>
        </w:rPr>
        <w:t xml:space="preserve"> Formacje świecowe (Spadająca Gwiazda, Młot), RSI &gt; 70/80, Dotknięcie wstęgi Bollingera.</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5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Charakterystyka:</w:t>
      </w:r>
      <w:r w:rsidDel="00000000" w:rsidR="00000000" w:rsidRPr="00000000">
        <w:rPr>
          <w:rFonts w:ascii="Google Sans Text" w:cs="Google Sans Text" w:eastAsia="Google Sans Text" w:hAnsi="Google Sans Text"/>
          <w:color w:val="1f1f1f"/>
          <w:rtl w:val="0"/>
        </w:rPr>
        <w:t xml:space="preserve"> Zakładają, że rynek jest "rozciągnięty" i nastąpi szybka korekta. Czas życia sygnału (Alpha Decay) jest bardzo krótki.</w:t>
      </w:r>
    </w:p>
    <w:p w:rsidR="00000000" w:rsidDel="00000000" w:rsidP="00000000" w:rsidRDefault="00000000" w:rsidRPr="00000000" w14:paraId="0000005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Dedykowana Metoda Oceny:</w:t>
      </w:r>
    </w:p>
    <w:p w:rsidR="00000000" w:rsidDel="00000000" w:rsidP="00000000" w:rsidRDefault="00000000" w:rsidRPr="00000000" w14:paraId="0000005D">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Metoda:</w:t>
      </w:r>
      <w:r w:rsidDel="00000000" w:rsidR="00000000" w:rsidRPr="00000000">
        <w:rPr>
          <w:rFonts w:ascii="Google Sans Text" w:cs="Google Sans Text" w:eastAsia="Google Sans Text" w:hAnsi="Google Sans Text"/>
          <w:color w:val="1f1f1f"/>
          <w:rtl w:val="0"/>
        </w:rPr>
        <w:t xml:space="preserve"> TBM ze sztywnym i krótkim limitem czasu (np. 5-10 barów).</w:t>
      </w:r>
    </w:p>
    <w:p w:rsidR="00000000" w:rsidDel="00000000" w:rsidP="00000000" w:rsidRDefault="00000000" w:rsidRPr="00000000" w14:paraId="0000005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Priorytet:</w:t>
      </w:r>
      <w:r w:rsidDel="00000000" w:rsidR="00000000" w:rsidRPr="00000000">
        <w:rPr>
          <w:rFonts w:ascii="Google Sans Text" w:cs="Google Sans Text" w:eastAsia="Google Sans Text" w:hAnsi="Google Sans Text"/>
          <w:color w:val="1f1f1f"/>
          <w:rtl w:val="0"/>
        </w:rPr>
        <w:t xml:space="preserve"> Precyzja (Precision). W strategiach Mean Reversion "false positive" jest bardzo kosztowny (łapanie spadającego noża), więc zależy nam na wysokiej pewności sygnału, nawet kosztem pominięcia niektórych okazji (niższy Recall).</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5F">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Metryka:</w:t>
      </w:r>
      <w:r w:rsidDel="00000000" w:rsidR="00000000" w:rsidRPr="00000000">
        <w:rPr>
          <w:rFonts w:ascii="Google Sans Text" w:cs="Google Sans Text" w:eastAsia="Google Sans Text" w:hAnsi="Google Sans Text"/>
          <w:color w:val="1f1f1f"/>
          <w:rtl w:val="0"/>
        </w:rPr>
        <w:t xml:space="preserve"> Edge Ratio. Oczekujemy natychmiastowej reakcji ceny. Jeśli cena nie reaguje od razu, teza o "wyprzedaniu" jest fałszywa.</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Kategoria B: Sygnały Trendowe i Strukturalne</w:t>
      </w:r>
    </w:p>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Przykłady:</w:t>
      </w:r>
      <w:r w:rsidDel="00000000" w:rsidR="00000000" w:rsidRPr="00000000">
        <w:rPr>
          <w:rFonts w:ascii="Google Sans Text" w:cs="Google Sans Text" w:eastAsia="Google Sans Text" w:hAnsi="Google Sans Text"/>
          <w:color w:val="1f1f1f"/>
          <w:rtl w:val="0"/>
        </w:rPr>
        <w:t xml:space="preserve"> Przecięcia średnich (Golden Cross), Wybicia z konsolidacji, Trend ADX.</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Charakterystyka:</w:t>
      </w:r>
      <w:r w:rsidDel="00000000" w:rsidR="00000000" w:rsidRPr="00000000">
        <w:rPr>
          <w:rFonts w:ascii="Google Sans Text" w:cs="Google Sans Text" w:eastAsia="Google Sans Text" w:hAnsi="Google Sans Text"/>
          <w:color w:val="1f1f1f"/>
          <w:rtl w:val="0"/>
        </w:rPr>
        <w:t xml:space="preserve"> Zakładają zmianę struktury rynku. Początek może być "szumiący" (whipsaw), ale potencjalny zysk jest nieograniczony (fat tails).</w:t>
      </w:r>
    </w:p>
    <w:p w:rsidR="00000000" w:rsidDel="00000000" w:rsidP="00000000" w:rsidRDefault="00000000" w:rsidRPr="00000000" w14:paraId="0000006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Dedykowana Metoda Oceny:</w:t>
      </w:r>
    </w:p>
    <w:p w:rsidR="00000000" w:rsidDel="00000000" w:rsidP="00000000" w:rsidRDefault="00000000" w:rsidRPr="00000000" w14:paraId="00000064">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Metoda: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Trend Scanning</w:t>
      </w:r>
      <w:r w:rsidDel="00000000" w:rsidR="00000000" w:rsidRPr="00000000">
        <w:rPr>
          <w:rFonts w:ascii="Google Sans Text" w:cs="Google Sans Text" w:eastAsia="Google Sans Text" w:hAnsi="Google Sans Text"/>
          <w:color w:val="1f1f1f"/>
          <w:rtl w:val="0"/>
        </w:rPr>
        <w:t xml:space="preserve"> (Skanowanie Trendu) wg Lópeza de Prado.</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Zamiast sztywnego TP, algorytm skanuje przyszłość w poszukiwaniu </w:t>
      </w:r>
      <w:r w:rsidDel="00000000" w:rsidR="00000000" w:rsidRPr="00000000">
        <w:rPr>
          <w:rFonts w:ascii="Google Sans Text" w:cs="Google Sans Text" w:eastAsia="Google Sans Text" w:hAnsi="Google Sans Text"/>
          <w:i w:val="1"/>
          <w:iCs w:val="1"/>
          <w:color w:val="1f1f1f"/>
          <w:rtl w:val="0"/>
        </w:rPr>
        <w:t xml:space="preserve">najbardziej istotnego statystycznie</w:t>
      </w:r>
      <w:r w:rsidDel="00000000" w:rsidR="00000000" w:rsidRPr="00000000">
        <w:rPr>
          <w:rFonts w:ascii="Google Sans Text" w:cs="Google Sans Text" w:eastAsia="Google Sans Text" w:hAnsi="Google Sans Text"/>
          <w:color w:val="1f1f1f"/>
          <w:rtl w:val="0"/>
        </w:rPr>
        <w:t xml:space="preserve"> trendu (t-statystyka regresji liniowej ceny). Pozwala to na elastyczne zdefiniowanie "sukcesu" – dla jednego sygnału może to być trend 20-dniowy, dla innego 200-dniowy.</w:t>
      </w:r>
    </w:p>
    <w:p w:rsidR="00000000" w:rsidDel="00000000" w:rsidP="00000000" w:rsidRDefault="00000000" w:rsidRPr="00000000" w14:paraId="00000065">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Priorytet:</w:t>
      </w:r>
      <w:r w:rsidDel="00000000" w:rsidR="00000000" w:rsidRPr="00000000">
        <w:rPr>
          <w:rFonts w:ascii="Google Sans Text" w:cs="Google Sans Text" w:eastAsia="Google Sans Text" w:hAnsi="Google Sans Text"/>
          <w:color w:val="1f1f1f"/>
          <w:rtl w:val="0"/>
        </w:rPr>
        <w:t xml:space="preserve"> Czułość (Recall). W trendach najważniejsze jest, by "nie przegapić" wielkiego ruchu. Akceptujemy więcej małych strat (niska precyzja), by złapać rzadkie, olbrzymie zyski.</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66">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Stop Loss:</w:t>
      </w:r>
      <w:r w:rsidDel="00000000" w:rsidR="00000000" w:rsidRPr="00000000">
        <w:rPr>
          <w:rFonts w:ascii="Google Sans Text" w:cs="Google Sans Text" w:eastAsia="Google Sans Text" w:hAnsi="Google Sans Text"/>
          <w:color w:val="1f1f1f"/>
          <w:rtl w:val="0"/>
        </w:rPr>
        <w:t xml:space="preserve"> Luźny lub kroczący (Trailing Stop). Krótkie TBM jest tu szkodliwe, bo wyrzuci nas z dobrego trendu przy pierwszej korekcie.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Kategoria C: Sygnały Zmiany Reżimu / Zmienności</w:t>
      </w:r>
    </w:p>
    <w:p w:rsidR="00000000" w:rsidDel="00000000" w:rsidP="00000000" w:rsidRDefault="00000000" w:rsidRPr="00000000" w14:paraId="0000006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Przykłady:</w:t>
      </w:r>
      <w:r w:rsidDel="00000000" w:rsidR="00000000" w:rsidRPr="00000000">
        <w:rPr>
          <w:rFonts w:ascii="Google Sans Text" w:cs="Google Sans Text" w:eastAsia="Google Sans Text" w:hAnsi="Google Sans Text"/>
          <w:color w:val="1f1f1f"/>
          <w:rtl w:val="0"/>
        </w:rPr>
        <w:t xml:space="preserve"> Zacieśnienie wstęg Bollingera (Squeeze), Skok wolumenu, Rozszerzenie spreadu.</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6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Charakterystyka:</w:t>
      </w:r>
      <w:r w:rsidDel="00000000" w:rsidR="00000000" w:rsidRPr="00000000">
        <w:rPr>
          <w:rFonts w:ascii="Google Sans Text" w:cs="Google Sans Text" w:eastAsia="Google Sans Text" w:hAnsi="Google Sans Text"/>
          <w:color w:val="1f1f1f"/>
          <w:rtl w:val="0"/>
        </w:rPr>
        <w:t xml:space="preserve"> Sygnalizują nadchodzący ruch, ale jego kierunek może być niepewny.</w:t>
      </w:r>
    </w:p>
    <w:p w:rsidR="00000000" w:rsidDel="00000000" w:rsidP="00000000" w:rsidRDefault="00000000" w:rsidRPr="00000000" w14:paraId="0000006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Dedykowana Metoda Oceny:</w:t>
      </w:r>
    </w:p>
    <w:p w:rsidR="00000000" w:rsidDel="00000000" w:rsidP="00000000" w:rsidRDefault="00000000" w:rsidRPr="00000000" w14:paraId="0000006B">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Metoda:</w:t>
      </w:r>
      <w:r w:rsidDel="00000000" w:rsidR="00000000" w:rsidRPr="00000000">
        <w:rPr>
          <w:rFonts w:ascii="Google Sans Text" w:cs="Google Sans Text" w:eastAsia="Google Sans Text" w:hAnsi="Google Sans Text"/>
          <w:color w:val="1f1f1f"/>
          <w:rtl w:val="0"/>
        </w:rPr>
        <w:t xml:space="preserve"> Podwójna Bariera Jednostronna (One-Touch Double Barrier). Oceniamy, czy cena dotknęła </w:t>
      </w:r>
      <w:r w:rsidDel="00000000" w:rsidR="00000000" w:rsidRPr="00000000">
        <w:rPr>
          <w:rFonts w:ascii="Google Sans Text" w:cs="Google Sans Text" w:eastAsia="Google Sans Text" w:hAnsi="Google Sans Text"/>
          <w:i w:val="1"/>
          <w:iCs w:val="1"/>
          <w:color w:val="1f1f1f"/>
          <w:rtl w:val="0"/>
        </w:rPr>
        <w:t xml:space="preserve">którejkolwiek</w:t>
      </w:r>
      <w:r w:rsidDel="00000000" w:rsidR="00000000" w:rsidRPr="00000000">
        <w:rPr>
          <w:rFonts w:ascii="Google Sans Text" w:cs="Google Sans Text" w:eastAsia="Google Sans Text" w:hAnsi="Google Sans Text"/>
          <w:color w:val="1f1f1f"/>
          <w:rtl w:val="0"/>
        </w:rPr>
        <w:t xml:space="preserve"> bariery zmienności (góra LUB dół) w określonym czasie.</w:t>
      </w:r>
    </w:p>
    <w:p w:rsidR="00000000" w:rsidDel="00000000" w:rsidP="00000000" w:rsidRDefault="00000000" w:rsidRPr="00000000" w14:paraId="0000006C">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Metryka:</w:t>
      </w:r>
      <w:r w:rsidDel="00000000" w:rsidR="00000000" w:rsidRPr="00000000">
        <w:rPr>
          <w:rFonts w:ascii="Google Sans Text" w:cs="Google Sans Text" w:eastAsia="Google Sans Text" w:hAnsi="Google Sans Text"/>
          <w:color w:val="1f1f1f"/>
          <w:rtl w:val="0"/>
        </w:rPr>
        <w:t xml:space="preserve"> Stosunek Sygnału do Szumu (Signal-to-Noise Ratio). Czy wybuch zmienności przełożył się na kierunkowy ruch (Signal), czy tylko na chaos (Noise)?.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Meta-Labeling: Filtracja Sygnałów Drugiego Rzędu</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Jednym z najbardziej zaawansowanych sposobów "dopasowania" oceny do momentu jest technika Meta-Labeling (Meta-Etykietowania).</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Koncepcja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Zamiast pytać model: "Czy cena wzrośnie?" (co jest trudne), dzielimy problem na dwa etapy:</w:t>
      </w:r>
    </w:p>
    <w:p w:rsidR="00000000" w:rsidDel="00000000" w:rsidP="00000000" w:rsidRDefault="00000000" w:rsidRPr="00000000" w14:paraId="00000071">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Model Pierwotny (Sygnał):</w:t>
      </w:r>
      <w:r w:rsidDel="00000000" w:rsidR="00000000" w:rsidRPr="00000000">
        <w:rPr>
          <w:rFonts w:ascii="Google Sans Text" w:cs="Google Sans Text" w:eastAsia="Google Sans Text" w:hAnsi="Google Sans Text"/>
          <w:color w:val="1f1f1f"/>
          <w:rtl w:val="0"/>
        </w:rPr>
        <w:t xml:space="preserve"> "kulturkaaa.ipynb" mówi: "Kupuj, bo jest Złoty Krzyż".</w:t>
      </w:r>
    </w:p>
    <w:p w:rsidR="00000000" w:rsidDel="00000000" w:rsidP="00000000" w:rsidRDefault="00000000" w:rsidRPr="00000000" w14:paraId="00000072">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Model Wtórny (Meta-Model):</w:t>
      </w:r>
      <w:r w:rsidDel="00000000" w:rsidR="00000000" w:rsidRPr="00000000">
        <w:rPr>
          <w:rFonts w:ascii="Google Sans Text" w:cs="Google Sans Text" w:eastAsia="Google Sans Text" w:hAnsi="Google Sans Text"/>
          <w:color w:val="1f1f1f"/>
          <w:rtl w:val="0"/>
        </w:rPr>
        <w:t xml:space="preserve"> Zadajemy pytanie: "Biorąc pod uwagę, że Model Pierwotny mówi Kupuj, jakie jest prawdopodobieństwo, że ten sygnał będzie zyskowny (ocenione przez TBM)?"</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Proces Treningowy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Używając danych historycznych i etykiet z przyszłości (Oracle Labels z TBM), trenujemy klasyfikator (np. Random Forest), który uczy się rozpoznawać warunki, w których sygnały z "kulturkaaa" działają, a w których zawodzą.</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Cechy wejściowe (Features) dla Meta-Modelu:</w:t>
      </w:r>
      <w:r w:rsidDel="00000000" w:rsidR="00000000" w:rsidRPr="00000000">
        <w:rPr>
          <w:rFonts w:ascii="Google Sans Text" w:cs="Google Sans Text" w:eastAsia="Google Sans Text" w:hAnsi="Google Sans Text"/>
          <w:color w:val="1f1f1f"/>
          <w:rtl w:val="0"/>
        </w:rPr>
        <w:t xml:space="preserve"> Zmienność, Wolumen, Pora dnia, Spread, Kąt nachylenia średnich.</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Cel (Target):</w:t>
      </w:r>
      <w:r w:rsidDel="00000000" w:rsidR="00000000" w:rsidRPr="00000000">
        <w:rPr>
          <w:rFonts w:ascii="Google Sans Text" w:cs="Google Sans Text" w:eastAsia="Google Sans Text" w:hAnsi="Google Sans Text"/>
          <w:color w:val="1f1f1f"/>
          <w:rtl w:val="0"/>
        </w:rPr>
        <w:t xml:space="preserve"> Wynik z TBM (1 lub 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Przykład:</w:t>
      </w:r>
      <w:r w:rsidDel="00000000" w:rsidR="00000000" w:rsidRPr="00000000">
        <w:rPr>
          <w:rFonts w:ascii="Google Sans Text" w:cs="Google Sans Text" w:eastAsia="Google Sans Text" w:hAnsi="Google Sans Text"/>
          <w:color w:val="1f1f1f"/>
          <w:rtl w:val="0"/>
        </w:rPr>
        <w:t xml:space="preserve"> Meta-Model może "nauczyć się", że sygnały przecięcia średnich (z "kulturkaaa") mają skuteczność 60% w godzinach porannych, ale tylko 10% podczas sesji azjatyckiej. Dzięki temu, w przyszłości, system odrzuci (przefiltruje) sygnały z sesji azjatyckiej, drastycznie podnosząc Precyzję i F1-Score strategii.</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Alpha Decay: Czas Rozpadu Informacji</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Ocena 'momentu' musi uwzględniać zjawisko Alpha Decay – czyli zaniku wartości predykcyjnej sygnału w czasie.</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Obliczanie Krzywej Zaniku (Decay Curve)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Dla każdego typu 'momentu' z "kulturkaaa" należy obliczyć korelację (Information Coefficient - IC) między wartością sygnału a zwrotem z inwestycji po </w:t>
      </w:r>
      <w:r w:rsidDel="00000000" w:rsidR="00000000" w:rsidRPr="00000000">
        <w:rPr>
          <w:rFonts w:ascii="Google Sans Text" w:cs="Google Sans Text" w:eastAsia="Google Sans Text" w:hAnsi="Google Sans Text"/>
          <w:color w:val="1f1f1f"/>
        </w:rPr>
        <w:drawing>
          <wp:inline distB="19050" distT="19050" distL="19050" distR="19050">
            <wp:extent cx="1571387" cy="236471"/>
            <wp:effectExtent b="0" l="0" r="0" t="0"/>
            <wp:docPr id="1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1571387" cy="23647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okresach.</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Dla formacji świecowych, IC zazwyczaj jest wysokie dla </w:t>
      </w:r>
      <w:r w:rsidDel="00000000" w:rsidR="00000000" w:rsidRPr="00000000">
        <w:rPr>
          <w:rFonts w:ascii="Google Sans Text" w:cs="Google Sans Text" w:eastAsia="Google Sans Text" w:hAnsi="Google Sans Text"/>
          <w:color w:val="1f1f1f"/>
        </w:rPr>
        <w:drawing>
          <wp:inline distB="19050" distT="19050" distL="19050" distR="19050">
            <wp:extent cx="384334" cy="238287"/>
            <wp:effectExtent b="0" l="0" r="0" t="0"/>
            <wp:docPr id="12"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384334" cy="23828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 spada wykładniczo do zera przy </w:t>
      </w:r>
      <w:r w:rsidDel="00000000" w:rsidR="00000000" w:rsidRPr="00000000">
        <w:rPr>
          <w:rFonts w:ascii="Google Sans Text" w:cs="Google Sans Text" w:eastAsia="Google Sans Text" w:hAnsi="Google Sans Text"/>
          <w:color w:val="1f1f1f"/>
        </w:rPr>
        <w:drawing>
          <wp:inline distB="19050" distT="19050" distL="19050" distR="19050">
            <wp:extent cx="384334" cy="238287"/>
            <wp:effectExtent b="0" l="0" r="0" t="0"/>
            <wp:docPr id="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384334" cy="23828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Oznacza to, że ocena tego momentu po 20 słupkach jest bezcelowa – mierzymy wtedy już tylko szum, a nie jakość sygnału.</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Dla sygnałów fundamentalnych lub makro-trendowych, IC może rosnąć w czasie (momentum build-up), osiągając szczyt dopiero przy </w:t>
      </w:r>
      <w:r w:rsidDel="00000000" w:rsidR="00000000" w:rsidRPr="00000000">
        <w:rPr>
          <w:rFonts w:ascii="Google Sans Text" w:cs="Google Sans Text" w:eastAsia="Google Sans Text" w:hAnsi="Google Sans Text"/>
          <w:color w:val="1f1f1f"/>
        </w:rPr>
        <w:drawing>
          <wp:inline distB="19050" distT="19050" distL="19050" distR="19050">
            <wp:extent cx="476488" cy="238244"/>
            <wp:effectExtent b="0" l="0" r="0" t="0"/>
            <wp:docPr id="2"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76488" cy="23824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Półtrwanie Sygnału (Signal Half-Life)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Analiza ta pozwala wyznaczyć "Półtrwanie Sygnału" – czas, po którym siła predykcyjna spada o połowę. Jest to matematyczna podstawa do ustawienia Bariery Pionowej w metodzie TBM. Ustawienie bariery czasu znacznie powyżej czasu półtrwania sygnału jest błędem optymalizacyjnym – eksponujemy portfel na ryzyko bez statystycznego uzasadnienia.</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Klastrowanie i Niestacjonarność</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Ponieważ "kulturkaaa.ipynb" generuje wiele sygnałów, warto rozważyć użycie nienadzorowanego uczenia maszynowego (Unsupervised Learning) do ich pogrupowania. Algorytmy klastrowania (np. K-Means) mogą pogrupować 'momenty' na podstawie ich charakterystyki (np. zmienność otoczenia, wolumen, pora dnia).</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Może się okazać, że sygnały, które teoretycznie są różne (np. RSI i Średnie), wpadają do jednego klastra zachowań (np. "Sygnały w niskiej zmienności") i powinny być oceniane tą samą metodą. To podejście data-driven pozwala odkryć ukryte reżimy rynkowe i lepiej dopasować metodologię oceny niż sztywny podział na nazwy wskaźników.</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Wnioski i Rekomendacje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Wdrożenie zaawansowanych metod oceny 'momentów' w systemie "kulturkaaa.ipynb" wymaga odejścia od prostych statystyk typu "średni zwrot po 5 dniach". Rekomenduje się następujące kroki:</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Segmentacja:</w:t>
      </w:r>
      <w:r w:rsidDel="00000000" w:rsidR="00000000" w:rsidRPr="00000000">
        <w:rPr>
          <w:rFonts w:ascii="Google Sans Text" w:cs="Google Sans Text" w:eastAsia="Google Sans Text" w:hAnsi="Google Sans Text"/>
          <w:color w:val="1f1f1f"/>
          <w:rtl w:val="0"/>
        </w:rPr>
        <w:t xml:space="preserve"> Podzielenie sygnałów na grupy (Impulsowe vs Trendowe) i przypisanie im dedykowanych metod oceny (TBM vs Trend Scanning).</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Adaptacja:</w:t>
      </w:r>
      <w:r w:rsidDel="00000000" w:rsidR="00000000" w:rsidRPr="00000000">
        <w:rPr>
          <w:rFonts w:ascii="Google Sans Text" w:cs="Google Sans Text" w:eastAsia="Google Sans Text" w:hAnsi="Google Sans Text"/>
          <w:color w:val="1f1f1f"/>
          <w:rtl w:val="0"/>
        </w:rPr>
        <w:t xml:space="preserve"> Zastosowanie barier dynamicznych opartych na zmienności (ATR/StdDev) zamiast sztywnych procentów.</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Mikrostruktura:</w:t>
      </w:r>
      <w:r w:rsidDel="00000000" w:rsidR="00000000" w:rsidRPr="00000000">
        <w:rPr>
          <w:rFonts w:ascii="Google Sans Text" w:cs="Google Sans Text" w:eastAsia="Google Sans Text" w:hAnsi="Google Sans Text"/>
          <w:color w:val="1f1f1f"/>
          <w:rtl w:val="0"/>
        </w:rPr>
        <w:t xml:space="preserve"> Włączenie metryk MFE/MAE oraz Edge Ratio do oceny jakości wejścia, a nie tylko wyniku końcowego.</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Filtracja:</w:t>
      </w:r>
      <w:r w:rsidDel="00000000" w:rsidR="00000000" w:rsidRPr="00000000">
        <w:rPr>
          <w:rFonts w:ascii="Google Sans Text" w:cs="Google Sans Text" w:eastAsia="Google Sans Text" w:hAnsi="Google Sans Text"/>
          <w:color w:val="1f1f1f"/>
          <w:rtl w:val="0"/>
        </w:rPr>
        <w:t xml:space="preserve"> Zastosowanie Meta-Labelingu do identyfikacji warunków rynkowych, w których dane 'momenty' tracą swoją skuteczność.</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Tego typu wielowymiarowa ewaluacja pozwoli na przekształcenie surowych sygnałów z notebooka w robustny system transakcyjny, odporny na szum i zmienność rynkową.</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Tabela Podsumowująca Metryki Oceny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Metryka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Cel Analizy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Zastosowanie dla "kulturkaaa"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Triple Barrier Label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Ocena wyniku z uwzględnieniem ryzyka (TP/SL)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Etykietowanie danych do uczenia maszynowego.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MFE / MAE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Ocena potencjału vs ryzyka (Drawdown)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Odrzucanie strategii o zbyt dużym ryzyku w trakcie trwania (nawet jeśli zyskowne).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Edge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Syntetyczna miara przewagi statystycznej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Szybki screening jakości nowych formacji świecowych.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Entry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Ocena precyzji timingu (Timing)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Optymalizacja parametrów wejścia (np. opóźnienie sygnału).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Trend Scanning t-stat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Ocena siły i trwałości trendu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Etykietowanie sygnałów ze średnich kroczących.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Meta-Label Probability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Prawdopodobieństwo sukcesu w danym reżimie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Filtracja sygnałów w fazie Live Trading.</w:t>
            </w:r>
          </w:p>
        </w:tc>
      </w:tr>
    </w:tbl>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Cytowane prace</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nkonts/barrier-method: An expansion of the Triple-Barrier ... - GitHub, otwierano: lutego 3, 2026, </w:t>
      </w:r>
      <w:hyperlink r:id="rId30">
        <w:r w:rsidDel="00000000" w:rsidR="00000000" w:rsidRPr="00000000">
          <w:rPr>
            <w:rFonts w:ascii="Google Sans" w:cs="Google Sans" w:eastAsia="Google Sans" w:hAnsi="Google Sans"/>
            <w:color w:val="0000ee"/>
            <w:sz w:val="24"/>
            <w:szCs w:val="24"/>
            <w:u w:val="single"/>
            <w:rtl w:val="0"/>
          </w:rPr>
          <w:t xml:space="preserve">https://github.com/nkonts/barrier-method</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Meta Labeling Add to Signal Efficacy? - Hudson &amp; Thames, otwierano: lutego 3, 2026, </w:t>
      </w:r>
      <w:hyperlink r:id="rId31">
        <w:r w:rsidDel="00000000" w:rsidR="00000000" w:rsidRPr="00000000">
          <w:rPr>
            <w:rFonts w:ascii="Google Sans" w:cs="Google Sans" w:eastAsia="Google Sans" w:hAnsi="Google Sans"/>
            <w:color w:val="0000ee"/>
            <w:sz w:val="24"/>
            <w:szCs w:val="24"/>
            <w:u w:val="single"/>
            <w:rtl w:val="0"/>
          </w:rPr>
          <w:t xml:space="preserve">https://hudsonthames.org/does-meta-labeling-add-to-signal-efficacy-triple-barrier-method/</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Meta-Labeling - Wikipedia, otwierano: lutego 3, 2026, </w:t>
      </w:r>
      <w:hyperlink r:id="rId32">
        <w:r w:rsidDel="00000000" w:rsidR="00000000" w:rsidRPr="00000000">
          <w:rPr>
            <w:rFonts w:ascii="Google Sans" w:cs="Google Sans" w:eastAsia="Google Sans" w:hAnsi="Google Sans"/>
            <w:color w:val="0000ee"/>
            <w:sz w:val="24"/>
            <w:szCs w:val="24"/>
            <w:u w:val="single"/>
            <w:rtl w:val="0"/>
          </w:rPr>
          <w:t xml:space="preserve">https://en.wikipedia.org/wiki/Meta-Labeling</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MetaTrader 5 Machine Learning Blueprint (Part 3): Trend-Scanning Labeling Method - MQL5 Articles, otwierano: lutego 3, 2026, </w:t>
      </w:r>
      <w:hyperlink r:id="rId33">
        <w:r w:rsidDel="00000000" w:rsidR="00000000" w:rsidRPr="00000000">
          <w:rPr>
            <w:rFonts w:ascii="Google Sans" w:cs="Google Sans" w:eastAsia="Google Sans" w:hAnsi="Google Sans"/>
            <w:color w:val="0000ee"/>
            <w:sz w:val="24"/>
            <w:szCs w:val="24"/>
            <w:u w:val="single"/>
            <w:rtl w:val="0"/>
          </w:rPr>
          <w:t xml:space="preserve">https://www.mql5.com/en/articles/19253</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Maximum Adverse Excursion (MAE) and Maximum Favorable Excursion (MFE) Explained - QuantifiedStrategies.com, otwierano: lutego 3, 2026, </w:t>
      </w:r>
      <w:hyperlink r:id="rId34">
        <w:r w:rsidDel="00000000" w:rsidR="00000000" w:rsidRPr="00000000">
          <w:rPr>
            <w:rFonts w:ascii="Google Sans" w:cs="Google Sans" w:eastAsia="Google Sans" w:hAnsi="Google Sans"/>
            <w:color w:val="0000ee"/>
            <w:sz w:val="24"/>
            <w:szCs w:val="24"/>
            <w:u w:val="single"/>
            <w:rtl w:val="0"/>
          </w:rPr>
          <w:t xml:space="preserve">https://www.quantifiedstrategies.com/maximum-adverse-excursion-and-maximum-favorable-excursion/</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Triple Barrier Method: Labeling Financial Time Series for ML in Elixir | by Yair Oz, otwierano: lutego 3, 2026, </w:t>
      </w:r>
      <w:hyperlink r:id="rId35">
        <w:r w:rsidDel="00000000" w:rsidR="00000000" w:rsidRPr="00000000">
          <w:rPr>
            <w:rFonts w:ascii="Google Sans" w:cs="Google Sans" w:eastAsia="Google Sans" w:hAnsi="Google Sans"/>
            <w:color w:val="0000ee"/>
            <w:sz w:val="24"/>
            <w:szCs w:val="24"/>
            <w:u w:val="single"/>
            <w:rtl w:val="0"/>
          </w:rPr>
          <w:t xml:space="preserve">https://medium.com/@yairoz/the-triple-barrier-method-labeling-financial-time-series-for-ml-in-elixir-e539301b90d6</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Trend Following and Mean Reversion Strategy Performance - Stratzy, otwierano: lutego 3, 2026, </w:t>
      </w:r>
      <w:hyperlink r:id="rId36">
        <w:r w:rsidDel="00000000" w:rsidR="00000000" w:rsidRPr="00000000">
          <w:rPr>
            <w:rFonts w:ascii="Google Sans" w:cs="Google Sans" w:eastAsia="Google Sans" w:hAnsi="Google Sans"/>
            <w:color w:val="0000ee"/>
            <w:sz w:val="24"/>
            <w:szCs w:val="24"/>
            <w:u w:val="single"/>
            <w:rtl w:val="0"/>
          </w:rPr>
          <w:t xml:space="preserve">https://stratzy.in/blog/untitled-10/</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Moving Average Crossovers for Entry and Exit - LuxAlgo, otwierano: lutego 3, 2026, </w:t>
      </w:r>
      <w:hyperlink r:id="rId37">
        <w:r w:rsidDel="00000000" w:rsidR="00000000" w:rsidRPr="00000000">
          <w:rPr>
            <w:rFonts w:ascii="Google Sans" w:cs="Google Sans" w:eastAsia="Google Sans" w:hAnsi="Google Sans"/>
            <w:color w:val="0000ee"/>
            <w:sz w:val="24"/>
            <w:szCs w:val="24"/>
            <w:u w:val="single"/>
            <w:rtl w:val="0"/>
          </w:rPr>
          <w:t xml:space="preserve">https://www.luxalgo.com/blog/moving-average-crossovers-for-entry-and-exit/</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Genetic-Algorithm-Driven Triple Barrier Labeling Method and Machine Learning Approach for Pair Trading Strategy in Cryptocurrency Markets - MDPI, otwierano: lutego 3, 2026, </w:t>
      </w:r>
      <w:hyperlink r:id="rId38">
        <w:r w:rsidDel="00000000" w:rsidR="00000000" w:rsidRPr="00000000">
          <w:rPr>
            <w:rFonts w:ascii="Google Sans" w:cs="Google Sans" w:eastAsia="Google Sans" w:hAnsi="Google Sans"/>
            <w:color w:val="0000ee"/>
            <w:sz w:val="24"/>
            <w:szCs w:val="24"/>
            <w:u w:val="single"/>
            <w:rtl w:val="0"/>
          </w:rPr>
          <w:t xml:space="preserve">https://www.mdpi.com/2227-7390/12/5/780</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triple-barrier - PyPI, otwierano: lutego 3, 2026, </w:t>
      </w:r>
      <w:hyperlink r:id="rId39">
        <w:r w:rsidDel="00000000" w:rsidR="00000000" w:rsidRPr="00000000">
          <w:rPr>
            <w:rFonts w:ascii="Google Sans" w:cs="Google Sans" w:eastAsia="Google Sans" w:hAnsi="Google Sans"/>
            <w:color w:val="0000ee"/>
            <w:sz w:val="24"/>
            <w:szCs w:val="24"/>
            <w:u w:val="single"/>
            <w:rtl w:val="0"/>
          </w:rPr>
          <w:t xml:space="preserve">https://pypi.org/project/triple-barrier/</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Triple Barrier Method: Python | GPU | Nvidia - QuantInsti Blog, otwierano: lutego 3, 2026, </w:t>
      </w:r>
      <w:hyperlink r:id="rId40">
        <w:r w:rsidDel="00000000" w:rsidR="00000000" w:rsidRPr="00000000">
          <w:rPr>
            <w:rFonts w:ascii="Google Sans" w:cs="Google Sans" w:eastAsia="Google Sans" w:hAnsi="Google Sans"/>
            <w:color w:val="0000ee"/>
            <w:sz w:val="24"/>
            <w:szCs w:val="24"/>
            <w:u w:val="single"/>
            <w:rtl w:val="0"/>
          </w:rPr>
          <w:t xml:space="preserve">https://blog.quantinsti.com/triple-barrier-method-gpu-python/</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Ratio in StrategyQuant X, otwierano: lutego 3, 2026, </w:t>
      </w:r>
      <w:hyperlink r:id="rId41">
        <w:r w:rsidDel="00000000" w:rsidR="00000000" w:rsidRPr="00000000">
          <w:rPr>
            <w:rFonts w:ascii="Google Sans" w:cs="Google Sans" w:eastAsia="Google Sans" w:hAnsi="Google Sans"/>
            <w:color w:val="0000ee"/>
            <w:sz w:val="24"/>
            <w:szCs w:val="24"/>
            <w:u w:val="single"/>
            <w:rtl w:val="0"/>
          </w:rPr>
          <w:t xml:space="preserve">https://strategyquant.com/blog/edge-ratio-in-strategyquant-x/</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Find Reliable Trading Signals: Expert Guide, otwierano: lutego 3, 2026, </w:t>
      </w:r>
      <w:hyperlink r:id="rId42">
        <w:r w:rsidDel="00000000" w:rsidR="00000000" w:rsidRPr="00000000">
          <w:rPr>
            <w:rFonts w:ascii="Google Sans" w:cs="Google Sans" w:eastAsia="Google Sans" w:hAnsi="Google Sans"/>
            <w:color w:val="0000ee"/>
            <w:sz w:val="24"/>
            <w:szCs w:val="24"/>
            <w:u w:val="single"/>
            <w:rtl w:val="0"/>
          </w:rPr>
          <w:t xml:space="preserve">https://tradewiththepros.com/how-to-find-reliable-trading-signals/</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duration to MFE and MAE - TradesViz Blog, otwierano: lutego 3, 2026, </w:t>
      </w:r>
      <w:hyperlink r:id="rId43">
        <w:r w:rsidDel="00000000" w:rsidR="00000000" w:rsidRPr="00000000">
          <w:rPr>
            <w:rFonts w:ascii="Google Sans" w:cs="Google Sans" w:eastAsia="Google Sans" w:hAnsi="Google Sans"/>
            <w:color w:val="0000ee"/>
            <w:sz w:val="24"/>
            <w:szCs w:val="24"/>
            <w:u w:val="single"/>
            <w:rtl w:val="0"/>
          </w:rPr>
          <w:t xml:space="preserve">https://www.tradesviz.com/blog/mfe-mae-duration/</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Maximize Your Profits with Maximum Favourable Excursion and Maximum Adverse Excursion in Trading Vault, otwierano: lutego 3, 2026, </w:t>
      </w:r>
      <w:hyperlink r:id="rId44">
        <w:r w:rsidDel="00000000" w:rsidR="00000000" w:rsidRPr="00000000">
          <w:rPr>
            <w:rFonts w:ascii="Google Sans" w:cs="Google Sans" w:eastAsia="Google Sans" w:hAnsi="Google Sans"/>
            <w:color w:val="0000ee"/>
            <w:sz w:val="24"/>
            <w:szCs w:val="24"/>
            <w:u w:val="single"/>
            <w:rtl w:val="0"/>
          </w:rPr>
          <w:t xml:space="preserve">https://trading-vault.com/blog/maximize-your-profits-with-maximum-favourable-excursion-and-maximum-adverse-excursion-in-trading-vault</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MFE and MAE Calculations - Tradervue - Help Center, otwierano: lutego 3, 2026, </w:t>
      </w:r>
      <w:hyperlink r:id="rId45">
        <w:r w:rsidDel="00000000" w:rsidR="00000000" w:rsidRPr="00000000">
          <w:rPr>
            <w:rFonts w:ascii="Google Sans" w:cs="Google Sans" w:eastAsia="Google Sans" w:hAnsi="Google Sans"/>
            <w:color w:val="0000ee"/>
            <w:sz w:val="24"/>
            <w:szCs w:val="24"/>
            <w:u w:val="single"/>
            <w:rtl w:val="0"/>
          </w:rPr>
          <w:t xml:space="preserve">https://help.tradervue.com/article/3440-mfe-and-mae-calculations</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MAE and MFE Metrics: A Guide for Traders - Trademetria, otwierano: lutego 3, 2026, </w:t>
      </w:r>
      <w:hyperlink r:id="rId46">
        <w:r w:rsidDel="00000000" w:rsidR="00000000" w:rsidRPr="00000000">
          <w:rPr>
            <w:rFonts w:ascii="Google Sans" w:cs="Google Sans" w:eastAsia="Google Sans" w:hAnsi="Google Sans"/>
            <w:color w:val="0000ee"/>
            <w:sz w:val="24"/>
            <w:szCs w:val="24"/>
            <w:u w:val="single"/>
            <w:rtl w:val="0"/>
          </w:rPr>
          <w:t xml:space="preserve">https://trademetria.com/blog/understanding-mae-and-mfe-metrics-a-guide-for-traders/</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metrics to help you improve your trading: MAE, MFE and R Multiple - Optimus Futures, otwierano: lutego 3, 2026, </w:t>
      </w:r>
      <w:hyperlink r:id="rId47">
        <w:r w:rsidDel="00000000" w:rsidR="00000000" w:rsidRPr="00000000">
          <w:rPr>
            <w:rFonts w:ascii="Google Sans" w:cs="Google Sans" w:eastAsia="Google Sans" w:hAnsi="Google Sans"/>
            <w:color w:val="0000ee"/>
            <w:sz w:val="24"/>
            <w:szCs w:val="24"/>
            <w:u w:val="single"/>
            <w:rtl w:val="0"/>
          </w:rPr>
          <w:t xml:space="preserve">https://optimusfutures.com/blog/the-metrics-to-help-you-improve-your-trading/</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Efficiency Ratio Strategy - Video, Performance And Rules - QuantifiedStrategies.com, otwierano: lutego 3, 2026, </w:t>
      </w:r>
      <w:hyperlink r:id="rId48">
        <w:r w:rsidDel="00000000" w:rsidR="00000000" w:rsidRPr="00000000">
          <w:rPr>
            <w:rFonts w:ascii="Google Sans" w:cs="Google Sans" w:eastAsia="Google Sans" w:hAnsi="Google Sans"/>
            <w:color w:val="0000ee"/>
            <w:sz w:val="24"/>
            <w:szCs w:val="24"/>
            <w:u w:val="single"/>
            <w:rtl w:val="0"/>
          </w:rPr>
          <w:t xml:space="preserve">https://www.quantifiedstrategies.com/efficiency-ratio/</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Entry Efficiency/Exit Efficiency (Report Field), otwierano: lutego 3, 2026, </w:t>
      </w:r>
      <w:hyperlink r:id="rId49">
        <w:r w:rsidDel="00000000" w:rsidR="00000000" w:rsidRPr="00000000">
          <w:rPr>
            <w:rFonts w:ascii="Google Sans" w:cs="Google Sans" w:eastAsia="Google Sans" w:hAnsi="Google Sans"/>
            <w:color w:val="0000ee"/>
            <w:sz w:val="24"/>
            <w:szCs w:val="24"/>
            <w:u w:val="single"/>
            <w:rtl w:val="0"/>
          </w:rPr>
          <w:t xml:space="preserve">https://help.tradestation.com/10_00/eng/tradestationhelp/subsystems/spr_topics/report/entry_efficiency_exit_efficiency__strategy_performance_report_.htm</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report - Entry Efficiency and Exit Efficency? - NinjaTrader Support Forum, otwierano: lutego 3, 2026, </w:t>
      </w:r>
      <w:hyperlink r:id="rId50">
        <w:r w:rsidDel="00000000" w:rsidR="00000000" w:rsidRPr="00000000">
          <w:rPr>
            <w:rFonts w:ascii="Google Sans" w:cs="Google Sans" w:eastAsia="Google Sans" w:hAnsi="Google Sans"/>
            <w:color w:val="0000ee"/>
            <w:sz w:val="24"/>
            <w:szCs w:val="24"/>
            <w:u w:val="single"/>
            <w:rtl w:val="0"/>
          </w:rPr>
          <w:t xml:space="preserve">https://forum.ninjatrader.com/forum/ninjatrader-7/platform-technical-support/75441-performance-report-entry-efficiency-and-exit-efficency</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Entry Efficiency | Forex Forum by Myfxbook, otwierano: lutego 3, 2026, </w:t>
      </w:r>
      <w:hyperlink r:id="rId51">
        <w:r w:rsidDel="00000000" w:rsidR="00000000" w:rsidRPr="00000000">
          <w:rPr>
            <w:rFonts w:ascii="Google Sans" w:cs="Google Sans" w:eastAsia="Google Sans" w:hAnsi="Google Sans"/>
            <w:color w:val="0000ee"/>
            <w:sz w:val="24"/>
            <w:szCs w:val="24"/>
            <w:u w:val="single"/>
            <w:rtl w:val="0"/>
          </w:rPr>
          <w:t xml:space="preserve">https://www.myfxbook.com/community/general/entry-efficiency/212522,1</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Hidden Markov Models for Regime-Based Segmentation in Time-Series | by Khizar Imran | Medium, otwierano: lutego 3, 2026, </w:t>
      </w:r>
      <w:hyperlink r:id="rId52">
        <w:r w:rsidDel="00000000" w:rsidR="00000000" w:rsidRPr="00000000">
          <w:rPr>
            <w:rFonts w:ascii="Google Sans" w:cs="Google Sans" w:eastAsia="Google Sans" w:hAnsi="Google Sans"/>
            <w:color w:val="0000ee"/>
            <w:sz w:val="24"/>
            <w:szCs w:val="24"/>
            <w:u w:val="single"/>
            <w:rtl w:val="0"/>
          </w:rPr>
          <w:t xml:space="preserve">https://medium.com/@khizarimran/leveraging-hidden-markov-models-for-regime-based-segmentation-in-time-series-3900aa549451</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Reversal Candles: Identify Market Turning Points - LuxAlgo, otwierano: lutego 3, 2026, </w:t>
      </w:r>
      <w:hyperlink r:id="rId53">
        <w:r w:rsidDel="00000000" w:rsidR="00000000" w:rsidRPr="00000000">
          <w:rPr>
            <w:rFonts w:ascii="Google Sans" w:cs="Google Sans" w:eastAsia="Google Sans" w:hAnsi="Google Sans"/>
            <w:color w:val="0000ee"/>
            <w:sz w:val="24"/>
            <w:szCs w:val="24"/>
            <w:u w:val="single"/>
            <w:rtl w:val="0"/>
          </w:rPr>
          <w:t xml:space="preserve">https://www.luxalgo.com/blog/reversal-candles-identify-market-turning-points/</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the quality of a trading signal | Macrosynergy, otwierano: lutego 3, 2026, </w:t>
      </w:r>
      <w:hyperlink r:id="rId54">
        <w:r w:rsidDel="00000000" w:rsidR="00000000" w:rsidRPr="00000000">
          <w:rPr>
            <w:rFonts w:ascii="Google Sans" w:cs="Google Sans" w:eastAsia="Google Sans" w:hAnsi="Google Sans"/>
            <w:color w:val="0000ee"/>
            <w:sz w:val="24"/>
            <w:szCs w:val="24"/>
            <w:u w:val="single"/>
            <w:rtl w:val="0"/>
          </w:rPr>
          <w:t xml:space="preserve">https://macrosynergy.com/research/how-to-measure-the-quality-of-a-trading-signal/</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Precision vs. Recall: Differences, Use Cases &amp; Evaluation - V7 Go, otwierano: lutego 3, 2026, </w:t>
      </w:r>
      <w:hyperlink r:id="rId55">
        <w:r w:rsidDel="00000000" w:rsidR="00000000" w:rsidRPr="00000000">
          <w:rPr>
            <w:rFonts w:ascii="Google Sans" w:cs="Google Sans" w:eastAsia="Google Sans" w:hAnsi="Google Sans"/>
            <w:color w:val="0000ee"/>
            <w:sz w:val="24"/>
            <w:szCs w:val="24"/>
            <w:u w:val="single"/>
            <w:rtl w:val="0"/>
          </w:rPr>
          <w:t xml:space="preserve">https://www.v7labs.com/blog/precision-vs-recall-guide</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Technical Indicators to Build a Trading Tool Kit - Investopedia, otwierano: lutego 3, 2026, </w:t>
      </w:r>
      <w:hyperlink r:id="rId56">
        <w:r w:rsidDel="00000000" w:rsidR="00000000" w:rsidRPr="00000000">
          <w:rPr>
            <w:rFonts w:ascii="Google Sans" w:cs="Google Sans" w:eastAsia="Google Sans" w:hAnsi="Google Sans"/>
            <w:color w:val="0000ee"/>
            <w:sz w:val="24"/>
            <w:szCs w:val="24"/>
            <w:u w:val="single"/>
            <w:rtl w:val="0"/>
          </w:rPr>
          <w:t xml:space="preserve">https://www.investopedia.com/top-7-technical-analysis-tools-4773275</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 Trading: The 4 Most Common Indicators - Investopedia, otwierano: lutego 3, 2026, </w:t>
      </w:r>
      <w:hyperlink r:id="rId57">
        <w:r w:rsidDel="00000000" w:rsidR="00000000" w:rsidRPr="00000000">
          <w:rPr>
            <w:rFonts w:ascii="Google Sans" w:cs="Google Sans" w:eastAsia="Google Sans" w:hAnsi="Google Sans"/>
            <w:color w:val="0000ee"/>
            <w:sz w:val="24"/>
            <w:szCs w:val="24"/>
            <w:u w:val="single"/>
            <w:rtl w:val="0"/>
          </w:rPr>
          <w:t xml:space="preserve">https://www.investopedia.com/articles/active-trading/041814/four-most-commonlyused-indicators-trend-trading.asp</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Simple Moving Average Crossovers - Charles Schwab, otwierano: lutego 3, 2026, </w:t>
      </w:r>
      <w:hyperlink r:id="rId58">
        <w:r w:rsidDel="00000000" w:rsidR="00000000" w:rsidRPr="00000000">
          <w:rPr>
            <w:rFonts w:ascii="Google Sans" w:cs="Google Sans" w:eastAsia="Google Sans" w:hAnsi="Google Sans"/>
            <w:color w:val="0000ee"/>
            <w:sz w:val="24"/>
            <w:szCs w:val="24"/>
            <w:u w:val="single"/>
            <w:rtl w:val="0"/>
          </w:rPr>
          <w:t xml:space="preserve">https://www.schwab.com/learn/story/understanding-simple-moving-average-crossovers</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Creative target variables for supervised ML? : r/algotrading - Reddit, otwierano: lutego 3, 2026, </w:t>
      </w:r>
      <w:hyperlink r:id="rId59">
        <w:r w:rsidDel="00000000" w:rsidR="00000000" w:rsidRPr="00000000">
          <w:rPr>
            <w:rFonts w:ascii="Google Sans" w:cs="Google Sans" w:eastAsia="Google Sans" w:hAnsi="Google Sans"/>
            <w:color w:val="0000ee"/>
            <w:sz w:val="24"/>
            <w:szCs w:val="24"/>
            <w:u w:val="single"/>
            <w:rtl w:val="0"/>
          </w:rPr>
          <w:t xml:space="preserve">https://www.reddit.com/r/algotrading/comments/1c2jtut/creative_target_variables_for_supervised_ml/</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Volatility Ratio: A Comprehensive Guide - Morpher, otwierano: lutego 3, 2026, </w:t>
      </w:r>
      <w:hyperlink r:id="rId60">
        <w:r w:rsidDel="00000000" w:rsidR="00000000" w:rsidRPr="00000000">
          <w:rPr>
            <w:rFonts w:ascii="Google Sans" w:cs="Google Sans" w:eastAsia="Google Sans" w:hAnsi="Google Sans"/>
            <w:color w:val="0000ee"/>
            <w:sz w:val="24"/>
            <w:szCs w:val="24"/>
            <w:u w:val="single"/>
            <w:rtl w:val="0"/>
          </w:rPr>
          <w:t xml:space="preserve">https://www.morpher.com/blog/volatility-ratio</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Regimes Explained: Build Winning Trading Strategies - LuxAlgo, otwierano: lutego 3, 2026, </w:t>
      </w:r>
      <w:hyperlink r:id="rId61">
        <w:r w:rsidDel="00000000" w:rsidR="00000000" w:rsidRPr="00000000">
          <w:rPr>
            <w:rFonts w:ascii="Google Sans" w:cs="Google Sans" w:eastAsia="Google Sans" w:hAnsi="Google Sans"/>
            <w:color w:val="0000ee"/>
            <w:sz w:val="24"/>
            <w:szCs w:val="24"/>
            <w:u w:val="single"/>
            <w:rtl w:val="0"/>
          </w:rPr>
          <w:t xml:space="preserve">https://www.luxalgo.com/blog/market-regimes-explained-build-winning-trading-strategies/</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Signal to Noise Ratio and How to calculate it? | Advanced PCB Design Blog, otwierano: lutego 3, 2026, </w:t>
      </w:r>
      <w:hyperlink r:id="rId62">
        <w:r w:rsidDel="00000000" w:rsidR="00000000" w:rsidRPr="00000000">
          <w:rPr>
            <w:rFonts w:ascii="Google Sans" w:cs="Google Sans" w:eastAsia="Google Sans" w:hAnsi="Google Sans"/>
            <w:color w:val="0000ee"/>
            <w:sz w:val="24"/>
            <w:szCs w:val="24"/>
            <w:u w:val="single"/>
            <w:rtl w:val="0"/>
          </w:rPr>
          <w:t xml:space="preserve">https://resources.pcb.cadence.com/blog/2020-what-is-signal-to-noise-ratio-and-how-to-calculate-it</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Noise to Signal Ratio in Financial Markets: Trends and Analysis Methods - noisetosignal.io, otwierano: lutego 3, 2026, </w:t>
      </w:r>
      <w:hyperlink r:id="rId63">
        <w:r w:rsidDel="00000000" w:rsidR="00000000" w:rsidRPr="00000000">
          <w:rPr>
            <w:rFonts w:ascii="Google Sans" w:cs="Google Sans" w:eastAsia="Google Sans" w:hAnsi="Google Sans"/>
            <w:color w:val="0000ee"/>
            <w:sz w:val="24"/>
            <w:szCs w:val="24"/>
            <w:u w:val="single"/>
            <w:rtl w:val="0"/>
          </w:rPr>
          <w:t xml:space="preserve">https://noisetosignal.io/noise-to-signal-ratio-financial-market-trends-analysis-methods-and-predictive-value/</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Metalabeling. This post is directly based on content… | by Denny Joseph, CFA | Medium, otwierano: lutego 3, 2026, </w:t>
      </w:r>
      <w:hyperlink r:id="rId64">
        <w:r w:rsidDel="00000000" w:rsidR="00000000" w:rsidRPr="00000000">
          <w:rPr>
            <w:rFonts w:ascii="Google Sans" w:cs="Google Sans" w:eastAsia="Google Sans" w:hAnsi="Google Sans"/>
            <w:color w:val="0000ee"/>
            <w:sz w:val="24"/>
            <w:szCs w:val="24"/>
            <w:u w:val="single"/>
            <w:rtl w:val="0"/>
          </w:rPr>
          <w:t xml:space="preserve">https://medium.com/@quant_views/metalabeling-dff4e2801a40</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Meta-Labelling Explained: Filter Noise, Boost Precision, Win More ..., otwierano: lutego 3, 2026, </w:t>
      </w:r>
      <w:hyperlink r:id="rId65">
        <w:r w:rsidDel="00000000" w:rsidR="00000000" w:rsidRPr="00000000">
          <w:rPr>
            <w:rFonts w:ascii="Google Sans" w:cs="Google Sans" w:eastAsia="Google Sans" w:hAnsi="Google Sans"/>
            <w:color w:val="0000ee"/>
            <w:sz w:val="24"/>
            <w:szCs w:val="24"/>
            <w:u w:val="single"/>
            <w:rtl w:val="0"/>
          </w:rPr>
          <w:t xml:space="preserve">https://docs.quantreo.com/tutorials/tutorial-meta-labeling/</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 Decay - Jackson Hole Finance Group, otwierano: lutego 3, 2026, </w:t>
      </w:r>
      <w:hyperlink r:id="rId66">
        <w:r w:rsidDel="00000000" w:rsidR="00000000" w:rsidRPr="00000000">
          <w:rPr>
            <w:rFonts w:ascii="Google Sans" w:cs="Google Sans" w:eastAsia="Google Sans" w:hAnsi="Google Sans"/>
            <w:color w:val="0000ee"/>
            <w:sz w:val="24"/>
            <w:szCs w:val="24"/>
            <w:u w:val="single"/>
            <w:rtl w:val="0"/>
          </w:rPr>
          <w:t xml:space="preserve">https://jhfinance.web.unc.edu/wp-content/uploads/sites/12369/2016/02/Alpha-Decay.pdf</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 Decay: what does it look like? And what does it mean for systematic traders?, otwierano: lutego 3, 2026, </w:t>
      </w:r>
      <w:hyperlink r:id="rId67">
        <w:r w:rsidDel="00000000" w:rsidR="00000000" w:rsidRPr="00000000">
          <w:rPr>
            <w:rFonts w:ascii="Google Sans" w:cs="Google Sans" w:eastAsia="Google Sans" w:hAnsi="Google Sans"/>
            <w:color w:val="0000ee"/>
            <w:sz w:val="24"/>
            <w:szCs w:val="24"/>
            <w:u w:val="single"/>
            <w:rtl w:val="0"/>
          </w:rPr>
          <w:t xml:space="preserve">https://www.mavensecurities.com/alpha-decay-what-does-it-look-like-and-what-does-it-mean-for-systematic-traders/</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compute the alpha decay of a strategy? - Quantitative Finance Stack Exchange, otwierano: lutego 3, 2026, </w:t>
      </w:r>
      <w:hyperlink r:id="rId68">
        <w:r w:rsidDel="00000000" w:rsidR="00000000" w:rsidRPr="00000000">
          <w:rPr>
            <w:rFonts w:ascii="Google Sans" w:cs="Google Sans" w:eastAsia="Google Sans" w:hAnsi="Google Sans"/>
            <w:color w:val="0000ee"/>
            <w:sz w:val="24"/>
            <w:szCs w:val="24"/>
            <w:u w:val="single"/>
            <w:rtl w:val="0"/>
          </w:rPr>
          <w:t xml:space="preserve">https://quant.stackexchange.com/questions/2412/how-to-compute-the-alpha-decay-of-a-strategy</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Time-series and cross-sectional momentum strategies under alternative implementation strategies - UTS, otwierano: lutego 3, 2026, </w:t>
      </w:r>
      <w:hyperlink r:id="rId69">
        <w:r w:rsidDel="00000000" w:rsidR="00000000" w:rsidRPr="00000000">
          <w:rPr>
            <w:rFonts w:ascii="Google Sans" w:cs="Google Sans" w:eastAsia="Google Sans" w:hAnsi="Google Sans"/>
            <w:color w:val="0000ee"/>
            <w:sz w:val="24"/>
            <w:szCs w:val="24"/>
            <w:u w:val="single"/>
            <w:rtl w:val="0"/>
          </w:rPr>
          <w:t xml:space="preserve">https://www.uts.edu.au/globalassets/sites/default/files/FDG_Seminar_150408.pdf</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Optimal Lookback Horizon - ReSolve Asset Management, otwierano: lutego 3, 2026, </w:t>
      </w:r>
      <w:hyperlink r:id="rId70">
        <w:r w:rsidDel="00000000" w:rsidR="00000000" w:rsidRPr="00000000">
          <w:rPr>
            <w:rFonts w:ascii="Google Sans" w:cs="Google Sans" w:eastAsia="Google Sans" w:hAnsi="Google Sans"/>
            <w:color w:val="0000ee"/>
            <w:sz w:val="24"/>
            <w:szCs w:val="24"/>
            <w:u w:val="single"/>
            <w:rtl w:val="0"/>
          </w:rPr>
          <w:t xml:space="preserve">https://investresolve.com/half-life-of-optimal-lookback-horizon/</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 Clustering — scikit-learn 1.8.0 documentation, otwierano: lutego 3, 2026, </w:t>
      </w:r>
      <w:hyperlink r:id="rId71">
        <w:r w:rsidDel="00000000" w:rsidR="00000000" w:rsidRPr="00000000">
          <w:rPr>
            <w:rFonts w:ascii="Google Sans" w:cs="Google Sans" w:eastAsia="Google Sans" w:hAnsi="Google Sans"/>
            <w:color w:val="0000ee"/>
            <w:sz w:val="24"/>
            <w:szCs w:val="24"/>
            <w:u w:val="single"/>
            <w:rtl w:val="0"/>
          </w:rPr>
          <w:t xml:space="preserve">https://scikit-learn.org/stable/modules/clustering.html</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The Performance Of Cryptocurrency Trading Signal Providers On Social Media Platforms - NORMA@NCI Library, otwierano: lutego 3, 2026, </w:t>
      </w:r>
      <w:hyperlink r:id="rId72">
        <w:r w:rsidDel="00000000" w:rsidR="00000000" w:rsidRPr="00000000">
          <w:rPr>
            <w:rFonts w:ascii="Google Sans" w:cs="Google Sans" w:eastAsia="Google Sans" w:hAnsi="Google Sans"/>
            <w:color w:val="0000ee"/>
            <w:sz w:val="24"/>
            <w:szCs w:val="24"/>
            <w:u w:val="single"/>
            <w:rtl w:val="0"/>
          </w:rPr>
          <w:t xml:space="preserve">https://norma.ncirl.ie/8791/1/mohiburrehman.pdf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og.quantinsti.com/triple-barrier-method-gpu-python/" TargetMode="External"/><Relationship Id="rId42" Type="http://schemas.openxmlformats.org/officeDocument/2006/relationships/hyperlink" Target="https://tradewiththepros.com/how-to-find-reliable-trading-signals/" TargetMode="External"/><Relationship Id="rId41" Type="http://schemas.openxmlformats.org/officeDocument/2006/relationships/hyperlink" Target="https://strategyquant.com/blog/edge-ratio-in-strategyquant-x/" TargetMode="External"/><Relationship Id="rId44" Type="http://schemas.openxmlformats.org/officeDocument/2006/relationships/hyperlink" Target="https://trading-vault.com/blog/maximize-your-profits-with-maximum-favourable-excursion-and-maximum-adverse-excursion-in-trading-vault" TargetMode="External"/><Relationship Id="rId43" Type="http://schemas.openxmlformats.org/officeDocument/2006/relationships/hyperlink" Target="https://www.tradesviz.com/blog/mfe-mae-duration/" TargetMode="External"/><Relationship Id="rId46" Type="http://schemas.openxmlformats.org/officeDocument/2006/relationships/hyperlink" Target="https://trademetria.com/blog/understanding-mae-and-mfe-metrics-a-guide-for-traders/" TargetMode="External"/><Relationship Id="rId45" Type="http://schemas.openxmlformats.org/officeDocument/2006/relationships/hyperlink" Target="https://help.tradervue.com/article/3440-mfe-and-mae-calcul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www.quantifiedstrategies.com/efficiency-ratio/" TargetMode="External"/><Relationship Id="rId47" Type="http://schemas.openxmlformats.org/officeDocument/2006/relationships/hyperlink" Target="https://optimusfutures.com/blog/the-metrics-to-help-you-improve-your-trading/" TargetMode="External"/><Relationship Id="rId49" Type="http://schemas.openxmlformats.org/officeDocument/2006/relationships/hyperlink" Target="https://help.tradestation.com/10_00/eng/tradestationhelp/subsystems/spr_topics/report/entry_efficiency_exit_efficiency__strategy_performance_report_.htm" TargetMode="Externa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1.png"/><Relationship Id="rId8" Type="http://schemas.openxmlformats.org/officeDocument/2006/relationships/image" Target="media/image23.png"/><Relationship Id="rId72" Type="http://schemas.openxmlformats.org/officeDocument/2006/relationships/hyperlink" Target="https://norma.ncirl.ie/8791/1/mohiburrehman.pdf" TargetMode="External"/><Relationship Id="rId31" Type="http://schemas.openxmlformats.org/officeDocument/2006/relationships/hyperlink" Target="https://hudsonthames.org/does-meta-labeling-add-to-signal-efficacy-triple-barrier-method/" TargetMode="External"/><Relationship Id="rId30" Type="http://schemas.openxmlformats.org/officeDocument/2006/relationships/hyperlink" Target="https://github.com/nkonts/barrier-method" TargetMode="External"/><Relationship Id="rId33" Type="http://schemas.openxmlformats.org/officeDocument/2006/relationships/hyperlink" Target="https://www.mql5.com/en/articles/19253" TargetMode="External"/><Relationship Id="rId32" Type="http://schemas.openxmlformats.org/officeDocument/2006/relationships/hyperlink" Target="https://en.wikipedia.org/wiki/Meta-Labeling" TargetMode="External"/><Relationship Id="rId35" Type="http://schemas.openxmlformats.org/officeDocument/2006/relationships/hyperlink" Target="https://medium.com/@yairoz/the-triple-barrier-method-labeling-financial-time-series-for-ml-in-elixir-e539301b90d6" TargetMode="External"/><Relationship Id="rId34" Type="http://schemas.openxmlformats.org/officeDocument/2006/relationships/hyperlink" Target="https://www.quantifiedstrategies.com/maximum-adverse-excursion-and-maximum-favorable-excursion/" TargetMode="External"/><Relationship Id="rId71" Type="http://schemas.openxmlformats.org/officeDocument/2006/relationships/hyperlink" Target="https://scikit-learn.org/stable/modules/clustering.html" TargetMode="External"/><Relationship Id="rId70" Type="http://schemas.openxmlformats.org/officeDocument/2006/relationships/hyperlink" Target="https://investresolve.com/half-life-of-optimal-lookback-horizon/" TargetMode="External"/><Relationship Id="rId37" Type="http://schemas.openxmlformats.org/officeDocument/2006/relationships/hyperlink" Target="https://www.luxalgo.com/blog/moving-average-crossovers-for-entry-and-exit/" TargetMode="External"/><Relationship Id="rId36" Type="http://schemas.openxmlformats.org/officeDocument/2006/relationships/hyperlink" Target="https://stratzy.in/blog/untitled-10/" TargetMode="External"/><Relationship Id="rId39" Type="http://schemas.openxmlformats.org/officeDocument/2006/relationships/hyperlink" Target="https://pypi.org/project/triple-barrier/" TargetMode="External"/><Relationship Id="rId38" Type="http://schemas.openxmlformats.org/officeDocument/2006/relationships/hyperlink" Target="https://www.mdpi.com/2227-7390/12/5/780" TargetMode="External"/><Relationship Id="rId62" Type="http://schemas.openxmlformats.org/officeDocument/2006/relationships/hyperlink" Target="https://resources.pcb.cadence.com/blog/2020-what-is-signal-to-noise-ratio-and-how-to-calculate-it" TargetMode="External"/><Relationship Id="rId61" Type="http://schemas.openxmlformats.org/officeDocument/2006/relationships/hyperlink" Target="https://www.luxalgo.com/blog/market-regimes-explained-build-winning-trading-strategies/" TargetMode="External"/><Relationship Id="rId20" Type="http://schemas.openxmlformats.org/officeDocument/2006/relationships/image" Target="media/image21.png"/><Relationship Id="rId64" Type="http://schemas.openxmlformats.org/officeDocument/2006/relationships/hyperlink" Target="https://medium.com/@quant_views/metalabeling-dff4e2801a40" TargetMode="External"/><Relationship Id="rId63" Type="http://schemas.openxmlformats.org/officeDocument/2006/relationships/hyperlink" Target="https://noisetosignal.io/noise-to-signal-ratio-financial-market-trends-analysis-methods-and-predictive-value/" TargetMode="External"/><Relationship Id="rId22" Type="http://schemas.openxmlformats.org/officeDocument/2006/relationships/image" Target="media/image17.png"/><Relationship Id="rId66" Type="http://schemas.openxmlformats.org/officeDocument/2006/relationships/hyperlink" Target="https://jhfinance.web.unc.edu/wp-content/uploads/sites/12369/2016/02/Alpha-Decay.pdf" TargetMode="External"/><Relationship Id="rId21" Type="http://schemas.openxmlformats.org/officeDocument/2006/relationships/image" Target="media/image14.png"/><Relationship Id="rId65" Type="http://schemas.openxmlformats.org/officeDocument/2006/relationships/hyperlink" Target="https://docs.quantreo.com/tutorials/tutorial-meta-labeling/" TargetMode="External"/><Relationship Id="rId24" Type="http://schemas.openxmlformats.org/officeDocument/2006/relationships/image" Target="media/image5.png"/><Relationship Id="rId68" Type="http://schemas.openxmlformats.org/officeDocument/2006/relationships/hyperlink" Target="https://quant.stackexchange.com/questions/2412/how-to-compute-the-alpha-decay-of-a-strategy" TargetMode="External"/><Relationship Id="rId23" Type="http://schemas.openxmlformats.org/officeDocument/2006/relationships/image" Target="media/image16.png"/><Relationship Id="rId67" Type="http://schemas.openxmlformats.org/officeDocument/2006/relationships/hyperlink" Target="https://www.mavensecurities.com/alpha-decay-what-does-it-look-like-and-what-does-it-mean-for-systematic-traders/" TargetMode="External"/><Relationship Id="rId60" Type="http://schemas.openxmlformats.org/officeDocument/2006/relationships/hyperlink" Target="https://www.morpher.com/blog/volatility-ratio" TargetMode="External"/><Relationship Id="rId26" Type="http://schemas.openxmlformats.org/officeDocument/2006/relationships/image" Target="media/image1.png"/><Relationship Id="rId25" Type="http://schemas.openxmlformats.org/officeDocument/2006/relationships/image" Target="media/image2.png"/><Relationship Id="rId69" Type="http://schemas.openxmlformats.org/officeDocument/2006/relationships/hyperlink" Target="https://www.uts.edu.au/globalassets/sites/default/files/FDG_Seminar_150408.pdf" TargetMode="External"/><Relationship Id="rId28" Type="http://schemas.openxmlformats.org/officeDocument/2006/relationships/image" Target="media/image13.png"/><Relationship Id="rId27" Type="http://schemas.openxmlformats.org/officeDocument/2006/relationships/image" Target="media/image10.png"/><Relationship Id="rId29" Type="http://schemas.openxmlformats.org/officeDocument/2006/relationships/image" Target="media/image4.png"/><Relationship Id="rId51" Type="http://schemas.openxmlformats.org/officeDocument/2006/relationships/hyperlink" Target="https://www.myfxbook.com/community/general/entry-efficiency/212522,1" TargetMode="External"/><Relationship Id="rId50" Type="http://schemas.openxmlformats.org/officeDocument/2006/relationships/hyperlink" Target="https://forum.ninjatrader.com/forum/ninjatrader-7/platform-technical-support/75441-performance-report-entry-efficiency-and-exit-efficency" TargetMode="External"/><Relationship Id="rId53" Type="http://schemas.openxmlformats.org/officeDocument/2006/relationships/hyperlink" Target="https://www.luxalgo.com/blog/reversal-candles-identify-market-turning-points/" TargetMode="External"/><Relationship Id="rId52" Type="http://schemas.openxmlformats.org/officeDocument/2006/relationships/hyperlink" Target="https://medium.com/@khizarimran/leveraging-hidden-markov-models-for-regime-based-segmentation-in-time-series-3900aa549451" TargetMode="External"/><Relationship Id="rId11" Type="http://schemas.openxmlformats.org/officeDocument/2006/relationships/image" Target="media/image18.png"/><Relationship Id="rId55" Type="http://schemas.openxmlformats.org/officeDocument/2006/relationships/hyperlink" Target="https://www.v7labs.com/blog/precision-vs-recall-guide" TargetMode="External"/><Relationship Id="rId10" Type="http://schemas.openxmlformats.org/officeDocument/2006/relationships/image" Target="media/image24.png"/><Relationship Id="rId54" Type="http://schemas.openxmlformats.org/officeDocument/2006/relationships/hyperlink" Target="https://macrosynergy.com/research/how-to-measure-the-quality-of-a-trading-signal/" TargetMode="External"/><Relationship Id="rId13" Type="http://schemas.openxmlformats.org/officeDocument/2006/relationships/image" Target="media/image6.png"/><Relationship Id="rId57" Type="http://schemas.openxmlformats.org/officeDocument/2006/relationships/hyperlink" Target="https://www.investopedia.com/articles/active-trading/041814/four-most-commonlyused-indicators-trend-trading.asp" TargetMode="External"/><Relationship Id="rId12" Type="http://schemas.openxmlformats.org/officeDocument/2006/relationships/image" Target="media/image22.png"/><Relationship Id="rId56" Type="http://schemas.openxmlformats.org/officeDocument/2006/relationships/hyperlink" Target="https://www.investopedia.com/top-7-technical-analysis-tools-4773275" TargetMode="External"/><Relationship Id="rId15" Type="http://schemas.openxmlformats.org/officeDocument/2006/relationships/image" Target="media/image20.png"/><Relationship Id="rId59" Type="http://schemas.openxmlformats.org/officeDocument/2006/relationships/hyperlink" Target="https://www.reddit.com/r/algotrading/comments/1c2jtut/creative_target_variables_for_supervised_ml/" TargetMode="External"/><Relationship Id="rId14" Type="http://schemas.openxmlformats.org/officeDocument/2006/relationships/image" Target="media/image3.png"/><Relationship Id="rId58" Type="http://schemas.openxmlformats.org/officeDocument/2006/relationships/hyperlink" Target="https://www.schwab.com/learn/story/understanding-simple-moving-average-crossovers" TargetMode="External"/><Relationship Id="rId17" Type="http://schemas.openxmlformats.org/officeDocument/2006/relationships/image" Target="media/image7.png"/><Relationship Id="rId16" Type="http://schemas.openxmlformats.org/officeDocument/2006/relationships/image" Target="media/image19.png"/><Relationship Id="rId19" Type="http://schemas.openxmlformats.org/officeDocument/2006/relationships/image" Target="media/image12.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