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0BE18" w14:textId="487FFE00" w:rsidR="00883CE9" w:rsidRDefault="007356C6" w:rsidP="00883CE9">
      <w:pPr>
        <w:jc w:val="both"/>
        <w:rPr>
          <w:rFonts w:ascii="Times New Roman" w:hAnsi="Times New Roman" w:cs="Times New Roman"/>
          <w:lang w:val="en-US"/>
        </w:rPr>
      </w:pPr>
      <w:r>
        <w:rPr>
          <w:rFonts w:ascii="Times New Roman" w:hAnsi="Times New Roman" w:cs="Times New Roman"/>
          <w:lang w:val="en-US"/>
        </w:rPr>
        <w:t>Femicide trends at the start of the 21</w:t>
      </w:r>
      <w:r w:rsidRPr="007356C6">
        <w:rPr>
          <w:rFonts w:ascii="Times New Roman" w:hAnsi="Times New Roman" w:cs="Times New Roman"/>
          <w:vertAlign w:val="superscript"/>
          <w:lang w:val="en-US"/>
        </w:rPr>
        <w:t>st</w:t>
      </w:r>
      <w:r>
        <w:rPr>
          <w:rFonts w:ascii="Times New Roman" w:hAnsi="Times New Roman" w:cs="Times New Roman"/>
          <w:lang w:val="en-US"/>
        </w:rPr>
        <w:t>. century: prevalence, risk factors and national public health actions</w:t>
      </w:r>
    </w:p>
    <w:p w14:paraId="6F7C6D8E" w14:textId="77777777" w:rsidR="007356C6" w:rsidRPr="00883CE9" w:rsidRDefault="007356C6" w:rsidP="00883CE9">
      <w:pPr>
        <w:jc w:val="both"/>
        <w:rPr>
          <w:rFonts w:ascii="Times New Roman" w:hAnsi="Times New Roman" w:cs="Times New Roman"/>
          <w:lang w:val="en-US"/>
        </w:rPr>
      </w:pPr>
    </w:p>
    <w:p w14:paraId="50C99A93" w14:textId="15438906" w:rsidR="00883CE9" w:rsidRPr="00883CE9" w:rsidRDefault="00883CE9" w:rsidP="00883CE9">
      <w:pPr>
        <w:jc w:val="both"/>
        <w:rPr>
          <w:rFonts w:ascii="Times New Roman" w:hAnsi="Times New Roman" w:cs="Times New Roman"/>
          <w:lang w:val="en-US"/>
        </w:rPr>
      </w:pPr>
      <w:r w:rsidRPr="00883CE9">
        <w:rPr>
          <w:rFonts w:ascii="Times New Roman" w:hAnsi="Times New Roman" w:cs="Times New Roman"/>
          <w:lang w:val="en-US"/>
        </w:rPr>
        <w:t>Richard Whittington</w:t>
      </w:r>
      <w:r w:rsidR="00641FBB">
        <w:rPr>
          <w:rFonts w:ascii="Times New Roman" w:hAnsi="Times New Roman" w:cs="Times New Roman"/>
          <w:lang w:val="en-US"/>
        </w:rPr>
        <w:t>*</w:t>
      </w:r>
      <w:r w:rsidR="008F6C8D">
        <w:rPr>
          <w:rFonts w:ascii="Times New Roman" w:hAnsi="Times New Roman" w:cs="Times New Roman"/>
          <w:lang w:val="en-US"/>
        </w:rPr>
        <w:t xml:space="preserve"> </w:t>
      </w:r>
      <w:r w:rsidR="00791259" w:rsidRPr="008F6C8D">
        <w:rPr>
          <w:rFonts w:ascii="Times New Roman" w:hAnsi="Times New Roman" w:cs="Times New Roman"/>
          <w:vertAlign w:val="superscript"/>
          <w:lang w:val="en-US"/>
        </w:rPr>
        <w:t>1, 2, 3</w:t>
      </w:r>
      <w:r w:rsidRPr="00883CE9">
        <w:rPr>
          <w:rFonts w:ascii="Times New Roman" w:hAnsi="Times New Roman" w:cs="Times New Roman"/>
          <w:lang w:val="en-US"/>
        </w:rPr>
        <w:t xml:space="preserve"> </w:t>
      </w:r>
    </w:p>
    <w:p w14:paraId="613BDCE8" w14:textId="7FCA086A" w:rsidR="00883CE9" w:rsidRDefault="00883CE9" w:rsidP="00883CE9">
      <w:pPr>
        <w:jc w:val="both"/>
        <w:rPr>
          <w:rFonts w:ascii="Times New Roman" w:hAnsi="Times New Roman" w:cs="Times New Roman"/>
          <w:lang w:val="en-US"/>
        </w:rPr>
      </w:pPr>
      <w:r w:rsidRPr="00883CE9">
        <w:rPr>
          <w:rFonts w:ascii="Times New Roman" w:hAnsi="Times New Roman" w:cs="Times New Roman"/>
          <w:lang w:val="en-US"/>
        </w:rPr>
        <w:t>Alina Haines</w:t>
      </w:r>
      <w:r w:rsidR="00143108">
        <w:rPr>
          <w:rFonts w:ascii="Times New Roman" w:hAnsi="Times New Roman" w:cs="Times New Roman"/>
          <w:lang w:val="en-US"/>
        </w:rPr>
        <w:t>-Delmont</w:t>
      </w:r>
      <w:r w:rsidR="00791259">
        <w:rPr>
          <w:rFonts w:ascii="Times New Roman" w:hAnsi="Times New Roman" w:cs="Times New Roman"/>
          <w:lang w:val="en-US"/>
        </w:rPr>
        <w:t xml:space="preserve"> </w:t>
      </w:r>
      <w:r w:rsidR="00791259" w:rsidRPr="008F6C8D">
        <w:rPr>
          <w:rFonts w:ascii="Times New Roman" w:hAnsi="Times New Roman" w:cs="Times New Roman"/>
          <w:vertAlign w:val="superscript"/>
          <w:lang w:val="en-US"/>
        </w:rPr>
        <w:t>3, 4</w:t>
      </w:r>
      <w:r w:rsidRPr="008F6C8D">
        <w:rPr>
          <w:rFonts w:ascii="Times New Roman" w:hAnsi="Times New Roman" w:cs="Times New Roman"/>
          <w:vertAlign w:val="superscript"/>
          <w:lang w:val="en-US"/>
        </w:rPr>
        <w:t xml:space="preserve"> </w:t>
      </w:r>
    </w:p>
    <w:p w14:paraId="50969283" w14:textId="67074A35" w:rsidR="00C24C0F" w:rsidRDefault="00C24C0F" w:rsidP="00C24C0F">
      <w:pPr>
        <w:jc w:val="both"/>
        <w:rPr>
          <w:rFonts w:ascii="Times New Roman" w:hAnsi="Times New Roman" w:cs="Times New Roman"/>
          <w:vertAlign w:val="superscript"/>
          <w:lang w:val="en-US"/>
        </w:rPr>
      </w:pPr>
      <w:r w:rsidRPr="00C24C0F">
        <w:rPr>
          <w:rFonts w:ascii="Times New Roman" w:hAnsi="Times New Roman" w:cs="Times New Roman"/>
          <w:lang w:val="en-US"/>
        </w:rPr>
        <w:t>Johan Hakon Bjorngard</w:t>
      </w:r>
      <w:r w:rsidR="008F6C8D">
        <w:rPr>
          <w:rFonts w:ascii="Times New Roman" w:hAnsi="Times New Roman" w:cs="Times New Roman"/>
          <w:lang w:val="en-US"/>
        </w:rPr>
        <w:t xml:space="preserve"> </w:t>
      </w:r>
      <w:r w:rsidR="008F6C8D" w:rsidRPr="008F6C8D">
        <w:rPr>
          <w:rFonts w:ascii="Times New Roman" w:hAnsi="Times New Roman" w:cs="Times New Roman"/>
          <w:vertAlign w:val="superscript"/>
          <w:lang w:val="en-US"/>
        </w:rPr>
        <w:t>5</w:t>
      </w:r>
      <w:r w:rsidRPr="008F6C8D">
        <w:rPr>
          <w:rFonts w:ascii="Times New Roman" w:hAnsi="Times New Roman" w:cs="Times New Roman"/>
          <w:vertAlign w:val="superscript"/>
          <w:lang w:val="en-US"/>
        </w:rPr>
        <w:t xml:space="preserve"> </w:t>
      </w:r>
    </w:p>
    <w:p w14:paraId="1DB6AF58" w14:textId="04717F84" w:rsidR="008F6C8D" w:rsidRDefault="008F6C8D" w:rsidP="00C24C0F">
      <w:pPr>
        <w:jc w:val="both"/>
        <w:rPr>
          <w:rFonts w:ascii="Times New Roman" w:hAnsi="Times New Roman" w:cs="Times New Roman"/>
          <w:vertAlign w:val="superscript"/>
          <w:lang w:val="en-US"/>
        </w:rPr>
      </w:pPr>
    </w:p>
    <w:p w14:paraId="11359571" w14:textId="77777777" w:rsidR="008F6C8D" w:rsidRPr="00C24C0F" w:rsidRDefault="008F6C8D" w:rsidP="00C24C0F">
      <w:pPr>
        <w:jc w:val="both"/>
        <w:rPr>
          <w:rFonts w:ascii="Times New Roman" w:hAnsi="Times New Roman" w:cs="Times New Roman"/>
          <w:lang w:val="en-US"/>
        </w:rPr>
      </w:pPr>
    </w:p>
    <w:p w14:paraId="376F7D81" w14:textId="2791890D" w:rsidR="00791259" w:rsidRPr="00791259" w:rsidRDefault="00791259" w:rsidP="00791259">
      <w:pPr>
        <w:jc w:val="both"/>
        <w:rPr>
          <w:rFonts w:ascii="Times New Roman" w:hAnsi="Times New Roman" w:cs="Times New Roman"/>
          <w:lang w:val="en-US"/>
        </w:rPr>
      </w:pPr>
      <w:r w:rsidRPr="008F6C8D">
        <w:rPr>
          <w:rFonts w:ascii="Times New Roman" w:hAnsi="Times New Roman" w:cs="Times New Roman"/>
          <w:vertAlign w:val="superscript"/>
          <w:lang w:val="en-US"/>
        </w:rPr>
        <w:t>1</w:t>
      </w:r>
      <w:r w:rsidRPr="00791259">
        <w:rPr>
          <w:rFonts w:ascii="Times New Roman" w:hAnsi="Times New Roman" w:cs="Times New Roman"/>
          <w:lang w:val="en-US"/>
        </w:rPr>
        <w:t xml:space="preserve"> St. Olav’s University Hospital</w:t>
      </w:r>
      <w:r w:rsidR="008F6C8D">
        <w:rPr>
          <w:rFonts w:ascii="Times New Roman" w:hAnsi="Times New Roman" w:cs="Times New Roman"/>
          <w:lang w:val="en-US"/>
        </w:rPr>
        <w:t xml:space="preserve">, </w:t>
      </w:r>
      <w:r w:rsidRPr="00791259">
        <w:rPr>
          <w:rFonts w:ascii="Times New Roman" w:hAnsi="Times New Roman" w:cs="Times New Roman"/>
          <w:lang w:val="en-US"/>
        </w:rPr>
        <w:t>Cent</w:t>
      </w:r>
      <w:r w:rsidR="008F6C8D">
        <w:rPr>
          <w:rFonts w:ascii="Times New Roman" w:hAnsi="Times New Roman" w:cs="Times New Roman"/>
          <w:lang w:val="en-US"/>
        </w:rPr>
        <w:t xml:space="preserve">re </w:t>
      </w:r>
      <w:r w:rsidRPr="00791259">
        <w:rPr>
          <w:rFonts w:ascii="Times New Roman" w:hAnsi="Times New Roman" w:cs="Times New Roman"/>
          <w:lang w:val="en-US"/>
        </w:rPr>
        <w:t>for Research and Education in Security, Penology and Forensic Psychiatry</w:t>
      </w:r>
      <w:r w:rsidR="008F6C8D">
        <w:rPr>
          <w:rFonts w:ascii="Times New Roman" w:hAnsi="Times New Roman" w:cs="Times New Roman"/>
          <w:lang w:val="en-US"/>
        </w:rPr>
        <w:t xml:space="preserve">, </w:t>
      </w:r>
      <w:r w:rsidRPr="00791259">
        <w:rPr>
          <w:rFonts w:ascii="Times New Roman" w:hAnsi="Times New Roman" w:cs="Times New Roman"/>
          <w:lang w:val="en-US"/>
        </w:rPr>
        <w:t>Østmarkveien</w:t>
      </w:r>
      <w:r w:rsidR="008F6C8D">
        <w:rPr>
          <w:rFonts w:ascii="Times New Roman" w:hAnsi="Times New Roman" w:cs="Times New Roman"/>
          <w:lang w:val="en-US"/>
        </w:rPr>
        <w:t xml:space="preserve">, </w:t>
      </w:r>
      <w:r w:rsidRPr="00791259">
        <w:rPr>
          <w:rFonts w:ascii="Times New Roman" w:hAnsi="Times New Roman" w:cs="Times New Roman"/>
          <w:lang w:val="en-US"/>
        </w:rPr>
        <w:t>7040 Trondheim</w:t>
      </w:r>
      <w:r w:rsidR="008F6C8D">
        <w:rPr>
          <w:rFonts w:ascii="Times New Roman" w:hAnsi="Times New Roman" w:cs="Times New Roman"/>
          <w:lang w:val="en-US"/>
        </w:rPr>
        <w:t xml:space="preserve">, </w:t>
      </w:r>
      <w:r w:rsidRPr="00791259">
        <w:rPr>
          <w:rFonts w:ascii="Times New Roman" w:hAnsi="Times New Roman" w:cs="Times New Roman"/>
          <w:lang w:val="en-US"/>
        </w:rPr>
        <w:t>Norway</w:t>
      </w:r>
      <w:r w:rsidR="008F6C8D">
        <w:rPr>
          <w:rFonts w:ascii="Times New Roman" w:hAnsi="Times New Roman" w:cs="Times New Roman"/>
          <w:lang w:val="en-US"/>
        </w:rPr>
        <w:t xml:space="preserve">. </w:t>
      </w:r>
      <w:r w:rsidR="00641FBB">
        <w:rPr>
          <w:rFonts w:ascii="Times New Roman" w:hAnsi="Times New Roman" w:cs="Times New Roman"/>
          <w:lang w:val="en-US"/>
        </w:rPr>
        <w:t xml:space="preserve">Email: </w:t>
      </w:r>
      <w:hyperlink r:id="rId8" w:history="1">
        <w:r w:rsidR="00641FBB" w:rsidRPr="00ED0F17">
          <w:rPr>
            <w:rStyle w:val="Hyperlink"/>
            <w:rFonts w:ascii="Times New Roman" w:hAnsi="Times New Roman" w:cs="Times New Roman"/>
            <w:lang w:val="en-US"/>
          </w:rPr>
          <w:t>richard.whittington@ntnu.no</w:t>
        </w:r>
      </w:hyperlink>
      <w:r w:rsidR="00641FBB">
        <w:rPr>
          <w:rFonts w:ascii="Times New Roman" w:hAnsi="Times New Roman" w:cs="Times New Roman"/>
          <w:lang w:val="en-US"/>
        </w:rPr>
        <w:t>. Phone 00447759314337</w:t>
      </w:r>
    </w:p>
    <w:p w14:paraId="41B61B93" w14:textId="73E4F1BA" w:rsidR="00791259" w:rsidRPr="00791259" w:rsidRDefault="00791259" w:rsidP="00791259">
      <w:pPr>
        <w:jc w:val="both"/>
        <w:rPr>
          <w:rFonts w:ascii="Times New Roman" w:hAnsi="Times New Roman" w:cs="Times New Roman"/>
          <w:lang w:val="en-US"/>
        </w:rPr>
      </w:pPr>
      <w:r w:rsidRPr="008F6C8D">
        <w:rPr>
          <w:rFonts w:ascii="Times New Roman" w:hAnsi="Times New Roman" w:cs="Times New Roman"/>
          <w:vertAlign w:val="superscript"/>
          <w:lang w:val="en-US"/>
        </w:rPr>
        <w:t>2</w:t>
      </w:r>
      <w:r w:rsidRPr="00791259">
        <w:rPr>
          <w:rFonts w:ascii="Times New Roman" w:hAnsi="Times New Roman" w:cs="Times New Roman"/>
          <w:lang w:val="en-US"/>
        </w:rPr>
        <w:t xml:space="preserve"> Norwegian University of Science and Technology (NTNU)</w:t>
      </w:r>
      <w:r w:rsidR="008F6C8D">
        <w:rPr>
          <w:rFonts w:ascii="Times New Roman" w:hAnsi="Times New Roman" w:cs="Times New Roman"/>
          <w:lang w:val="en-US"/>
        </w:rPr>
        <w:t xml:space="preserve">, </w:t>
      </w:r>
      <w:r w:rsidRPr="00791259">
        <w:rPr>
          <w:rFonts w:ascii="Times New Roman" w:hAnsi="Times New Roman" w:cs="Times New Roman"/>
          <w:lang w:val="en-US"/>
        </w:rPr>
        <w:t>Institute of Mental Health</w:t>
      </w:r>
      <w:r w:rsidR="008F6C8D">
        <w:rPr>
          <w:rFonts w:ascii="Times New Roman" w:hAnsi="Times New Roman" w:cs="Times New Roman"/>
          <w:lang w:val="en-US"/>
        </w:rPr>
        <w:t xml:space="preserve">, </w:t>
      </w:r>
      <w:r w:rsidRPr="00791259">
        <w:rPr>
          <w:rFonts w:ascii="Times New Roman" w:hAnsi="Times New Roman" w:cs="Times New Roman"/>
          <w:lang w:val="en-US"/>
        </w:rPr>
        <w:t>PO Box 8905</w:t>
      </w:r>
      <w:r w:rsidR="008F6C8D">
        <w:rPr>
          <w:rFonts w:ascii="Times New Roman" w:hAnsi="Times New Roman" w:cs="Times New Roman"/>
          <w:lang w:val="en-US"/>
        </w:rPr>
        <w:t xml:space="preserve">, </w:t>
      </w:r>
      <w:r w:rsidRPr="00791259">
        <w:rPr>
          <w:rFonts w:ascii="Times New Roman" w:hAnsi="Times New Roman" w:cs="Times New Roman"/>
          <w:lang w:val="en-US"/>
        </w:rPr>
        <w:t>Trondheim</w:t>
      </w:r>
      <w:r w:rsidR="008F6C8D">
        <w:rPr>
          <w:rFonts w:ascii="Times New Roman" w:hAnsi="Times New Roman" w:cs="Times New Roman"/>
          <w:lang w:val="en-US"/>
        </w:rPr>
        <w:t xml:space="preserve"> </w:t>
      </w:r>
      <w:r w:rsidRPr="00791259">
        <w:rPr>
          <w:rFonts w:ascii="Times New Roman" w:hAnsi="Times New Roman" w:cs="Times New Roman"/>
          <w:lang w:val="en-US"/>
        </w:rPr>
        <w:t>NO-7491</w:t>
      </w:r>
      <w:r w:rsidR="008F6C8D">
        <w:rPr>
          <w:rFonts w:ascii="Times New Roman" w:hAnsi="Times New Roman" w:cs="Times New Roman"/>
          <w:lang w:val="en-US"/>
        </w:rPr>
        <w:t xml:space="preserve">, </w:t>
      </w:r>
      <w:r w:rsidRPr="00791259">
        <w:rPr>
          <w:rFonts w:ascii="Times New Roman" w:hAnsi="Times New Roman" w:cs="Times New Roman"/>
          <w:lang w:val="en-US"/>
        </w:rPr>
        <w:t>Norway</w:t>
      </w:r>
    </w:p>
    <w:p w14:paraId="3B7F8A73" w14:textId="5DFC9767" w:rsidR="00C24C0F" w:rsidRDefault="00791259" w:rsidP="00791259">
      <w:pPr>
        <w:jc w:val="both"/>
        <w:rPr>
          <w:rFonts w:ascii="Times New Roman" w:hAnsi="Times New Roman" w:cs="Times New Roman"/>
          <w:lang w:val="en-US"/>
        </w:rPr>
      </w:pPr>
      <w:r w:rsidRPr="008F6C8D">
        <w:rPr>
          <w:rFonts w:ascii="Times New Roman" w:hAnsi="Times New Roman" w:cs="Times New Roman"/>
          <w:vertAlign w:val="superscript"/>
          <w:lang w:val="en-US"/>
        </w:rPr>
        <w:t>3</w:t>
      </w:r>
      <w:r w:rsidRPr="00791259">
        <w:rPr>
          <w:rFonts w:ascii="Times New Roman" w:hAnsi="Times New Roman" w:cs="Times New Roman"/>
          <w:lang w:val="en-US"/>
        </w:rPr>
        <w:t xml:space="preserve"> University of Liverpool</w:t>
      </w:r>
      <w:r w:rsidR="008F6C8D">
        <w:rPr>
          <w:rFonts w:ascii="Times New Roman" w:hAnsi="Times New Roman" w:cs="Times New Roman"/>
          <w:lang w:val="en-US"/>
        </w:rPr>
        <w:t xml:space="preserve">, </w:t>
      </w:r>
      <w:r w:rsidRPr="00791259">
        <w:rPr>
          <w:rFonts w:ascii="Times New Roman" w:hAnsi="Times New Roman" w:cs="Times New Roman"/>
          <w:lang w:val="en-US"/>
        </w:rPr>
        <w:t>Department of Public Health, Policy and Systems</w:t>
      </w:r>
      <w:r w:rsidR="008F6C8D">
        <w:rPr>
          <w:rFonts w:ascii="Times New Roman" w:hAnsi="Times New Roman" w:cs="Times New Roman"/>
          <w:lang w:val="en-US"/>
        </w:rPr>
        <w:t xml:space="preserve">, </w:t>
      </w:r>
      <w:r w:rsidRPr="00791259">
        <w:rPr>
          <w:rFonts w:ascii="Times New Roman" w:hAnsi="Times New Roman" w:cs="Times New Roman"/>
          <w:lang w:val="en-US"/>
        </w:rPr>
        <w:t>Waterhouse Building</w:t>
      </w:r>
      <w:r w:rsidR="008F6C8D">
        <w:rPr>
          <w:rFonts w:ascii="Times New Roman" w:hAnsi="Times New Roman" w:cs="Times New Roman"/>
          <w:lang w:val="en-US"/>
        </w:rPr>
        <w:t xml:space="preserve">, </w:t>
      </w:r>
      <w:r w:rsidRPr="00791259">
        <w:rPr>
          <w:rFonts w:ascii="Times New Roman" w:hAnsi="Times New Roman" w:cs="Times New Roman"/>
          <w:lang w:val="en-US"/>
        </w:rPr>
        <w:t>Liverpool</w:t>
      </w:r>
      <w:r w:rsidR="008F6C8D">
        <w:rPr>
          <w:rFonts w:ascii="Times New Roman" w:hAnsi="Times New Roman" w:cs="Times New Roman"/>
          <w:lang w:val="en-US"/>
        </w:rPr>
        <w:t xml:space="preserve"> </w:t>
      </w:r>
      <w:r w:rsidRPr="00791259">
        <w:rPr>
          <w:rFonts w:ascii="Times New Roman" w:hAnsi="Times New Roman" w:cs="Times New Roman"/>
          <w:lang w:val="en-US"/>
        </w:rPr>
        <w:t>L69 3BX</w:t>
      </w:r>
      <w:r w:rsidR="008F6C8D">
        <w:rPr>
          <w:rFonts w:ascii="Times New Roman" w:hAnsi="Times New Roman" w:cs="Times New Roman"/>
          <w:lang w:val="en-US"/>
        </w:rPr>
        <w:t xml:space="preserve">, </w:t>
      </w:r>
      <w:r w:rsidRPr="00791259">
        <w:rPr>
          <w:rFonts w:ascii="Times New Roman" w:hAnsi="Times New Roman" w:cs="Times New Roman"/>
          <w:lang w:val="en-US"/>
        </w:rPr>
        <w:t>United Kingdom</w:t>
      </w:r>
    </w:p>
    <w:p w14:paraId="5F64A292" w14:textId="5D6B8D0F" w:rsidR="008F6C8D" w:rsidRDefault="008F6C8D" w:rsidP="008F6C8D">
      <w:pPr>
        <w:jc w:val="both"/>
        <w:rPr>
          <w:rFonts w:ascii="Times New Roman" w:hAnsi="Times New Roman" w:cs="Times New Roman"/>
          <w:lang w:val="en-US"/>
        </w:rPr>
      </w:pPr>
      <w:r w:rsidRPr="008F6C8D">
        <w:rPr>
          <w:rFonts w:ascii="Times New Roman" w:hAnsi="Times New Roman" w:cs="Times New Roman"/>
          <w:vertAlign w:val="superscript"/>
          <w:lang w:val="en-US"/>
        </w:rPr>
        <w:t>4</w:t>
      </w:r>
      <w:r>
        <w:rPr>
          <w:rFonts w:ascii="Times New Roman" w:hAnsi="Times New Roman" w:cs="Times New Roman"/>
          <w:lang w:val="en-US"/>
        </w:rPr>
        <w:t xml:space="preserve"> </w:t>
      </w:r>
      <w:r w:rsidRPr="008F6C8D">
        <w:rPr>
          <w:rFonts w:ascii="Times New Roman" w:hAnsi="Times New Roman" w:cs="Times New Roman"/>
          <w:lang w:val="en-US"/>
        </w:rPr>
        <w:t>Manchester Metropolitan University</w:t>
      </w:r>
      <w:r>
        <w:rPr>
          <w:rFonts w:ascii="Times New Roman" w:hAnsi="Times New Roman" w:cs="Times New Roman"/>
          <w:lang w:val="en-US"/>
        </w:rPr>
        <w:t xml:space="preserve">, </w:t>
      </w:r>
      <w:r w:rsidRPr="008F6C8D">
        <w:rPr>
          <w:rFonts w:ascii="Times New Roman" w:hAnsi="Times New Roman" w:cs="Times New Roman"/>
          <w:lang w:val="en-US"/>
        </w:rPr>
        <w:t>Department of Nursing</w:t>
      </w:r>
      <w:r>
        <w:rPr>
          <w:rFonts w:ascii="Times New Roman" w:hAnsi="Times New Roman" w:cs="Times New Roman"/>
          <w:lang w:val="en-US"/>
        </w:rPr>
        <w:t>,</w:t>
      </w:r>
      <w:r w:rsidRPr="008F6C8D">
        <w:rPr>
          <w:rFonts w:ascii="Times New Roman" w:hAnsi="Times New Roman" w:cs="Times New Roman"/>
          <w:lang w:val="en-US"/>
        </w:rPr>
        <w:t xml:space="preserve"> Faculty of Health, Psychology and Social Care</w:t>
      </w:r>
      <w:r>
        <w:rPr>
          <w:rFonts w:ascii="Times New Roman" w:hAnsi="Times New Roman" w:cs="Times New Roman"/>
          <w:lang w:val="en-US"/>
        </w:rPr>
        <w:t xml:space="preserve">, </w:t>
      </w:r>
      <w:r w:rsidRPr="008F6C8D">
        <w:rPr>
          <w:rFonts w:ascii="Times New Roman" w:hAnsi="Times New Roman" w:cs="Times New Roman"/>
          <w:lang w:val="en-US"/>
        </w:rPr>
        <w:t>Brooks Building</w:t>
      </w:r>
      <w:r>
        <w:rPr>
          <w:rFonts w:ascii="Times New Roman" w:hAnsi="Times New Roman" w:cs="Times New Roman"/>
          <w:lang w:val="en-US"/>
        </w:rPr>
        <w:t>,</w:t>
      </w:r>
      <w:r w:rsidRPr="008F6C8D">
        <w:rPr>
          <w:rFonts w:ascii="Times New Roman" w:hAnsi="Times New Roman" w:cs="Times New Roman"/>
          <w:lang w:val="en-US"/>
        </w:rPr>
        <w:t xml:space="preserve"> Bonsall Street | Manchester M15 6GX</w:t>
      </w:r>
      <w:r>
        <w:rPr>
          <w:rFonts w:ascii="Times New Roman" w:hAnsi="Times New Roman" w:cs="Times New Roman"/>
          <w:lang w:val="en-US"/>
        </w:rPr>
        <w:t xml:space="preserve">, United Kingdom. </w:t>
      </w:r>
      <w:r w:rsidR="00641FBB">
        <w:rPr>
          <w:rFonts w:ascii="Times New Roman" w:hAnsi="Times New Roman" w:cs="Times New Roman"/>
          <w:lang w:val="en-US"/>
        </w:rPr>
        <w:t xml:space="preserve">Email: </w:t>
      </w:r>
      <w:r w:rsidR="00641FBB" w:rsidRPr="00641FBB">
        <w:rPr>
          <w:rFonts w:ascii="Times New Roman" w:hAnsi="Times New Roman" w:cs="Times New Roman"/>
          <w:lang w:val="en-US"/>
        </w:rPr>
        <w:t>A.Haines@mmu.ac.uk</w:t>
      </w:r>
    </w:p>
    <w:p w14:paraId="64CBBCFB" w14:textId="1011EEA0" w:rsidR="008F6C8D" w:rsidRDefault="008F6C8D" w:rsidP="008F6C8D">
      <w:pPr>
        <w:jc w:val="both"/>
        <w:rPr>
          <w:rFonts w:ascii="Times New Roman" w:hAnsi="Times New Roman" w:cs="Times New Roman"/>
          <w:lang w:val="en-US"/>
        </w:rPr>
      </w:pPr>
      <w:r w:rsidRPr="008F6C8D">
        <w:rPr>
          <w:rFonts w:ascii="Times New Roman" w:hAnsi="Times New Roman" w:cs="Times New Roman"/>
          <w:vertAlign w:val="superscript"/>
          <w:lang w:val="en-US"/>
        </w:rPr>
        <w:t>5</w:t>
      </w:r>
      <w:r>
        <w:rPr>
          <w:rFonts w:ascii="Times New Roman" w:hAnsi="Times New Roman" w:cs="Times New Roman"/>
          <w:lang w:val="en-US"/>
        </w:rPr>
        <w:t xml:space="preserve"> </w:t>
      </w:r>
      <w:r w:rsidRPr="008F6C8D">
        <w:rPr>
          <w:rFonts w:ascii="Times New Roman" w:hAnsi="Times New Roman" w:cs="Times New Roman"/>
          <w:lang w:val="en-US"/>
        </w:rPr>
        <w:t xml:space="preserve">Norwegian University of Science and Technology (NTNU), </w:t>
      </w:r>
      <w:r>
        <w:rPr>
          <w:rFonts w:ascii="Times New Roman" w:hAnsi="Times New Roman" w:cs="Times New Roman"/>
          <w:lang w:val="en-US"/>
        </w:rPr>
        <w:t>Department of Public Health and Nursing</w:t>
      </w:r>
      <w:r w:rsidRPr="008F6C8D">
        <w:rPr>
          <w:rFonts w:ascii="Times New Roman" w:hAnsi="Times New Roman" w:cs="Times New Roman"/>
          <w:lang w:val="en-US"/>
        </w:rPr>
        <w:t xml:space="preserve">, </w:t>
      </w:r>
      <w:r>
        <w:rPr>
          <w:rFonts w:ascii="Times New Roman" w:hAnsi="Times New Roman" w:cs="Times New Roman"/>
          <w:lang w:val="en-US"/>
        </w:rPr>
        <w:t>Oya Helsehus, Hakon Jarls Gate, T</w:t>
      </w:r>
      <w:r w:rsidRPr="008F6C8D">
        <w:rPr>
          <w:rFonts w:ascii="Times New Roman" w:hAnsi="Times New Roman" w:cs="Times New Roman"/>
          <w:lang w:val="en-US"/>
        </w:rPr>
        <w:t>rondheim, Norway</w:t>
      </w:r>
      <w:r w:rsidR="00641FBB" w:rsidRPr="00641FBB">
        <w:rPr>
          <w:rFonts w:ascii="Times New Roman" w:hAnsi="Times New Roman" w:cs="Times New Roman"/>
          <w:lang w:val="en-US"/>
        </w:rPr>
        <w:t xml:space="preserve">. Email: </w:t>
      </w:r>
      <w:hyperlink r:id="rId9" w:history="1">
        <w:r w:rsidR="00641FBB" w:rsidRPr="00ED0F17">
          <w:rPr>
            <w:rStyle w:val="Hyperlink"/>
            <w:rFonts w:ascii="Times New Roman" w:hAnsi="Times New Roman" w:cs="Times New Roman"/>
            <w:lang w:val="en-US"/>
          </w:rPr>
          <w:t>johan.h.bjorngaard@ntnu.no</w:t>
        </w:r>
      </w:hyperlink>
    </w:p>
    <w:p w14:paraId="0EE37A8A" w14:textId="1AFC2B2C" w:rsidR="00641FBB" w:rsidRDefault="00641FBB" w:rsidP="008F6C8D">
      <w:pPr>
        <w:jc w:val="both"/>
        <w:rPr>
          <w:rFonts w:ascii="Times New Roman" w:hAnsi="Times New Roman" w:cs="Times New Roman"/>
          <w:lang w:val="en-US"/>
        </w:rPr>
      </w:pPr>
    </w:p>
    <w:p w14:paraId="5710EF8E" w14:textId="77777777" w:rsidR="00641FBB" w:rsidRPr="00883CE9" w:rsidRDefault="00641FBB" w:rsidP="008F6C8D">
      <w:pPr>
        <w:jc w:val="both"/>
        <w:rPr>
          <w:rFonts w:ascii="Times New Roman" w:hAnsi="Times New Roman" w:cs="Times New Roman"/>
          <w:lang w:val="en-US"/>
        </w:rPr>
      </w:pPr>
    </w:p>
    <w:p w14:paraId="26EF35F8" w14:textId="3487BD7B" w:rsidR="00883CE9" w:rsidRPr="00883CE9" w:rsidRDefault="00641FBB" w:rsidP="00883CE9">
      <w:pPr>
        <w:jc w:val="both"/>
        <w:rPr>
          <w:rFonts w:ascii="Times New Roman" w:hAnsi="Times New Roman" w:cs="Times New Roman"/>
          <w:lang w:val="en-US"/>
        </w:rPr>
      </w:pPr>
      <w:r>
        <w:rPr>
          <w:rFonts w:ascii="Times New Roman" w:hAnsi="Times New Roman" w:cs="Times New Roman"/>
          <w:lang w:val="en-US"/>
        </w:rPr>
        <w:t>*corresponding author</w:t>
      </w:r>
    </w:p>
    <w:p w14:paraId="1E8BC456" w14:textId="5CDD8460" w:rsidR="00883CE9" w:rsidRDefault="00883CE9" w:rsidP="00883CE9">
      <w:pPr>
        <w:jc w:val="both"/>
        <w:rPr>
          <w:rFonts w:ascii="Times New Roman" w:hAnsi="Times New Roman" w:cs="Times New Roman"/>
          <w:lang w:val="en-US"/>
        </w:rPr>
      </w:pPr>
    </w:p>
    <w:p w14:paraId="392C4BB0" w14:textId="4D71DD3B" w:rsidR="00641FBB" w:rsidRPr="00883CE9" w:rsidRDefault="00641FBB" w:rsidP="00883CE9">
      <w:pPr>
        <w:jc w:val="both"/>
        <w:rPr>
          <w:rFonts w:ascii="Times New Roman" w:hAnsi="Times New Roman" w:cs="Times New Roman"/>
          <w:lang w:val="en-US"/>
        </w:rPr>
      </w:pPr>
      <w:r>
        <w:rPr>
          <w:rFonts w:ascii="Times New Roman" w:hAnsi="Times New Roman" w:cs="Times New Roman"/>
          <w:lang w:val="en-US"/>
        </w:rPr>
        <w:t>5453 words</w:t>
      </w:r>
    </w:p>
    <w:p w14:paraId="6E29C5F1" w14:textId="77777777" w:rsidR="00641FBB" w:rsidRDefault="00641FBB">
      <w:pPr>
        <w:rPr>
          <w:rFonts w:ascii="Times New Roman" w:hAnsi="Times New Roman" w:cs="Times New Roman"/>
          <w:lang w:val="en-US"/>
        </w:rPr>
      </w:pPr>
    </w:p>
    <w:p w14:paraId="72F7DD39" w14:textId="416771A0" w:rsidR="00883CE9" w:rsidRDefault="00641FBB">
      <w:pPr>
        <w:rPr>
          <w:rFonts w:ascii="Times New Roman" w:hAnsi="Times New Roman" w:cs="Times New Roman"/>
          <w:lang w:val="en-US"/>
        </w:rPr>
      </w:pPr>
      <w:r>
        <w:rPr>
          <w:rFonts w:ascii="Times New Roman" w:hAnsi="Times New Roman" w:cs="Times New Roman"/>
          <w:lang w:val="en-US"/>
        </w:rPr>
        <w:t>Keywords: femicide, inequality, national income, public health, prevention</w:t>
      </w:r>
      <w:r w:rsidR="00883CE9">
        <w:rPr>
          <w:rFonts w:ascii="Times New Roman" w:hAnsi="Times New Roman" w:cs="Times New Roman"/>
          <w:lang w:val="en-US"/>
        </w:rPr>
        <w:br w:type="page"/>
      </w:r>
    </w:p>
    <w:p w14:paraId="29EEC693" w14:textId="77777777" w:rsidR="00883CE9" w:rsidRPr="00883CE9" w:rsidRDefault="00883CE9" w:rsidP="00883CE9">
      <w:pPr>
        <w:jc w:val="both"/>
        <w:rPr>
          <w:rFonts w:ascii="Times New Roman" w:hAnsi="Times New Roman" w:cs="Times New Roman"/>
          <w:lang w:val="en-US"/>
        </w:rPr>
      </w:pPr>
    </w:p>
    <w:p w14:paraId="4844BA69" w14:textId="77777777" w:rsidR="00883CE9" w:rsidRPr="00883CE9" w:rsidRDefault="00883CE9" w:rsidP="00883CE9">
      <w:pPr>
        <w:jc w:val="both"/>
        <w:rPr>
          <w:rFonts w:ascii="Times New Roman" w:hAnsi="Times New Roman" w:cs="Times New Roman"/>
          <w:lang w:val="en-US"/>
        </w:rPr>
      </w:pPr>
      <w:r w:rsidRPr="00883CE9">
        <w:rPr>
          <w:rFonts w:ascii="Times New Roman" w:hAnsi="Times New Roman" w:cs="Times New Roman"/>
          <w:lang w:val="en-US"/>
        </w:rPr>
        <w:t xml:space="preserve"> </w:t>
      </w:r>
    </w:p>
    <w:p w14:paraId="0FB03327" w14:textId="77777777" w:rsidR="00883CE9" w:rsidRPr="00883CE9" w:rsidRDefault="00883CE9" w:rsidP="00706620">
      <w:pPr>
        <w:pStyle w:val="Heading1"/>
        <w:rPr>
          <w:lang w:val="en-US"/>
        </w:rPr>
      </w:pPr>
      <w:r w:rsidRPr="00883CE9">
        <w:rPr>
          <w:lang w:val="en-US"/>
        </w:rPr>
        <w:t>Abstract</w:t>
      </w:r>
    </w:p>
    <w:p w14:paraId="5D85944C" w14:textId="77777777" w:rsidR="00D0610C" w:rsidRDefault="00D0610C">
      <w:pPr>
        <w:rPr>
          <w:rFonts w:ascii="Times New Roman" w:hAnsi="Times New Roman" w:cs="Times New Roman"/>
          <w:lang w:val="en-US"/>
        </w:rPr>
      </w:pPr>
    </w:p>
    <w:p w14:paraId="75A70CF2" w14:textId="3A1B9848" w:rsidR="00883CE9" w:rsidRDefault="00D0610C" w:rsidP="00D96219">
      <w:pPr>
        <w:jc w:val="both"/>
        <w:rPr>
          <w:rFonts w:ascii="Times New Roman" w:hAnsi="Times New Roman" w:cs="Times New Roman"/>
          <w:lang w:val="en-US"/>
        </w:rPr>
      </w:pPr>
      <w:r>
        <w:rPr>
          <w:rFonts w:ascii="Times New Roman" w:hAnsi="Times New Roman" w:cs="Times New Roman"/>
          <w:lang w:val="en-US"/>
        </w:rPr>
        <w:t>Lethal violence requires a gend</w:t>
      </w:r>
      <w:r w:rsidR="000D36F2">
        <w:rPr>
          <w:rFonts w:ascii="Times New Roman" w:hAnsi="Times New Roman" w:cs="Times New Roman"/>
          <w:lang w:val="en-US"/>
        </w:rPr>
        <w:t>er-based</w:t>
      </w:r>
      <w:r>
        <w:rPr>
          <w:rFonts w:ascii="Times New Roman" w:hAnsi="Times New Roman" w:cs="Times New Roman"/>
          <w:lang w:val="en-US"/>
        </w:rPr>
        <w:t xml:space="preserve"> </w:t>
      </w:r>
      <w:r w:rsidR="0019140A">
        <w:rPr>
          <w:rFonts w:ascii="Times New Roman" w:hAnsi="Times New Roman" w:cs="Times New Roman"/>
          <w:lang w:val="en-US"/>
        </w:rPr>
        <w:t xml:space="preserve">analysis </w:t>
      </w:r>
      <w:r>
        <w:rPr>
          <w:rFonts w:ascii="Times New Roman" w:hAnsi="Times New Roman" w:cs="Times New Roman"/>
          <w:lang w:val="en-US"/>
        </w:rPr>
        <w:t>which recognizes that femicide is different from homicide</w:t>
      </w:r>
      <w:r w:rsidR="000D36F2">
        <w:rPr>
          <w:rFonts w:ascii="Times New Roman" w:hAnsi="Times New Roman" w:cs="Times New Roman"/>
          <w:lang w:val="en-US"/>
        </w:rPr>
        <w:t xml:space="preserve"> in many ways</w:t>
      </w:r>
      <w:r>
        <w:rPr>
          <w:rFonts w:ascii="Times New Roman" w:hAnsi="Times New Roman" w:cs="Times New Roman"/>
          <w:lang w:val="en-US"/>
        </w:rPr>
        <w:t xml:space="preserve">. </w:t>
      </w:r>
      <w:r w:rsidR="00B06B2B">
        <w:rPr>
          <w:rFonts w:ascii="Times New Roman" w:hAnsi="Times New Roman" w:cs="Times New Roman"/>
          <w:lang w:val="en-US"/>
        </w:rPr>
        <w:t xml:space="preserve">Structural factors such as national income and wealth equality </w:t>
      </w:r>
      <w:r w:rsidR="000D36F2">
        <w:rPr>
          <w:rFonts w:ascii="Times New Roman" w:hAnsi="Times New Roman" w:cs="Times New Roman"/>
          <w:lang w:val="en-US"/>
        </w:rPr>
        <w:t>together with</w:t>
      </w:r>
      <w:r w:rsidR="00B06B2B">
        <w:rPr>
          <w:rFonts w:ascii="Times New Roman" w:hAnsi="Times New Roman" w:cs="Times New Roman"/>
          <w:lang w:val="en-US"/>
        </w:rPr>
        <w:t xml:space="preserve"> government policies </w:t>
      </w:r>
      <w:r w:rsidR="000D36F2">
        <w:rPr>
          <w:rFonts w:ascii="Times New Roman" w:hAnsi="Times New Roman" w:cs="Times New Roman"/>
          <w:lang w:val="en-US"/>
        </w:rPr>
        <w:t xml:space="preserve">may influence the scale of the problem </w:t>
      </w:r>
      <w:r w:rsidR="00D96219">
        <w:rPr>
          <w:rFonts w:ascii="Times New Roman" w:hAnsi="Times New Roman" w:cs="Times New Roman"/>
          <w:lang w:val="en-US"/>
        </w:rPr>
        <w:t>globally</w:t>
      </w:r>
      <w:r w:rsidR="000D36F2">
        <w:rPr>
          <w:rFonts w:ascii="Times New Roman" w:hAnsi="Times New Roman" w:cs="Times New Roman"/>
          <w:lang w:val="en-US"/>
        </w:rPr>
        <w:t>.</w:t>
      </w:r>
      <w:r w:rsidR="00B06B2B">
        <w:rPr>
          <w:rFonts w:ascii="Times New Roman" w:hAnsi="Times New Roman" w:cs="Times New Roman"/>
          <w:lang w:val="en-US"/>
        </w:rPr>
        <w:t xml:space="preserve"> </w:t>
      </w:r>
      <w:r>
        <w:rPr>
          <w:rFonts w:ascii="Times New Roman" w:hAnsi="Times New Roman" w:cs="Times New Roman"/>
          <w:lang w:val="en-US"/>
        </w:rPr>
        <w:t>In this study</w:t>
      </w:r>
      <w:r w:rsidR="00143108">
        <w:rPr>
          <w:rFonts w:ascii="Times New Roman" w:hAnsi="Times New Roman" w:cs="Times New Roman"/>
          <w:lang w:val="en-US"/>
        </w:rPr>
        <w:t>,</w:t>
      </w:r>
      <w:r>
        <w:rPr>
          <w:rFonts w:ascii="Times New Roman" w:hAnsi="Times New Roman" w:cs="Times New Roman"/>
          <w:lang w:val="en-US"/>
        </w:rPr>
        <w:t xml:space="preserve"> data from two large open</w:t>
      </w:r>
      <w:r w:rsidR="000D36F2">
        <w:rPr>
          <w:rFonts w:ascii="Times New Roman" w:hAnsi="Times New Roman" w:cs="Times New Roman"/>
          <w:lang w:val="en-US"/>
        </w:rPr>
        <w:t>-</w:t>
      </w:r>
      <w:r>
        <w:rPr>
          <w:rFonts w:ascii="Times New Roman" w:hAnsi="Times New Roman" w:cs="Times New Roman"/>
          <w:lang w:val="en-US"/>
        </w:rPr>
        <w:t xml:space="preserve">access international </w:t>
      </w:r>
      <w:r w:rsidR="000D36F2">
        <w:rPr>
          <w:rFonts w:ascii="Times New Roman" w:hAnsi="Times New Roman" w:cs="Times New Roman"/>
          <w:lang w:val="en-US"/>
        </w:rPr>
        <w:t>surveys</w:t>
      </w:r>
      <w:r>
        <w:rPr>
          <w:rFonts w:ascii="Times New Roman" w:hAnsi="Times New Roman" w:cs="Times New Roman"/>
          <w:lang w:val="en-US"/>
        </w:rPr>
        <w:t xml:space="preserve"> were combined to </w:t>
      </w:r>
      <w:r w:rsidR="0019140A">
        <w:rPr>
          <w:rFonts w:ascii="Times New Roman" w:hAnsi="Times New Roman" w:cs="Times New Roman"/>
          <w:lang w:val="en-US"/>
        </w:rPr>
        <w:t xml:space="preserve">examine anti-femicide actions (n=1333 countries) and </w:t>
      </w:r>
      <w:r>
        <w:rPr>
          <w:rFonts w:ascii="Times New Roman" w:hAnsi="Times New Roman" w:cs="Times New Roman"/>
          <w:lang w:val="en-US"/>
        </w:rPr>
        <w:t xml:space="preserve"> temporal femicide prevalence trends </w:t>
      </w:r>
      <w:r w:rsidR="0019140A">
        <w:rPr>
          <w:rFonts w:ascii="Times New Roman" w:hAnsi="Times New Roman" w:cs="Times New Roman"/>
          <w:lang w:val="en-US"/>
        </w:rPr>
        <w:t xml:space="preserve">(n=66 countries) </w:t>
      </w:r>
      <w:r>
        <w:rPr>
          <w:rFonts w:ascii="Times New Roman" w:hAnsi="Times New Roman" w:cs="Times New Roman"/>
          <w:lang w:val="en-US"/>
        </w:rPr>
        <w:t xml:space="preserve"> in the context of national income and wealth inequality</w:t>
      </w:r>
      <w:r w:rsidR="00D96219">
        <w:rPr>
          <w:rFonts w:ascii="Times New Roman" w:hAnsi="Times New Roman" w:cs="Times New Roman"/>
          <w:lang w:val="en-US"/>
        </w:rPr>
        <w:t xml:space="preserve"> factors</w:t>
      </w:r>
      <w:r>
        <w:rPr>
          <w:rFonts w:ascii="Times New Roman" w:hAnsi="Times New Roman" w:cs="Times New Roman"/>
          <w:lang w:val="en-US"/>
        </w:rPr>
        <w:t xml:space="preserve">. The </w:t>
      </w:r>
      <w:r w:rsidR="000D36F2" w:rsidRPr="000D36F2">
        <w:rPr>
          <w:rFonts w:ascii="Times New Roman" w:hAnsi="Times New Roman" w:cs="Times New Roman"/>
          <w:lang w:val="en-US"/>
        </w:rPr>
        <w:t xml:space="preserve">United Nations Survey of Crime Trends and Operations of Criminal Justice Systems (UN-CTS) </w:t>
      </w:r>
      <w:r w:rsidR="000D36F2">
        <w:rPr>
          <w:rFonts w:ascii="Times New Roman" w:hAnsi="Times New Roman" w:cs="Times New Roman"/>
          <w:lang w:val="en-US"/>
        </w:rPr>
        <w:t>was used to estimate femicide rates per country 2003-2014 and the W</w:t>
      </w:r>
      <w:r>
        <w:rPr>
          <w:rFonts w:ascii="Times New Roman" w:hAnsi="Times New Roman" w:cs="Times New Roman"/>
          <w:lang w:val="en-US"/>
        </w:rPr>
        <w:t xml:space="preserve">orld Health Organisation (WHO) </w:t>
      </w:r>
      <w:r w:rsidRPr="00D0610C">
        <w:rPr>
          <w:rFonts w:ascii="Times New Roman" w:hAnsi="Times New Roman" w:cs="Times New Roman"/>
          <w:lang w:val="en-US"/>
        </w:rPr>
        <w:t xml:space="preserve">Global Status Report on Violence Prevention </w:t>
      </w:r>
      <w:r>
        <w:rPr>
          <w:rFonts w:ascii="Times New Roman" w:hAnsi="Times New Roman" w:cs="Times New Roman"/>
          <w:lang w:val="en-US"/>
        </w:rPr>
        <w:t xml:space="preserve">provided data on </w:t>
      </w:r>
      <w:r w:rsidR="000D36F2">
        <w:rPr>
          <w:rFonts w:ascii="Times New Roman" w:hAnsi="Times New Roman" w:cs="Times New Roman"/>
          <w:lang w:val="en-US"/>
        </w:rPr>
        <w:t xml:space="preserve">policy initiatives in place by 2014. </w:t>
      </w:r>
      <w:r w:rsidR="00E12A6A">
        <w:rPr>
          <w:rFonts w:ascii="Times New Roman" w:hAnsi="Times New Roman" w:cs="Times New Roman"/>
          <w:lang w:val="en-US"/>
        </w:rPr>
        <w:t>Results indicate that f</w:t>
      </w:r>
      <w:r w:rsidR="000D36F2">
        <w:rPr>
          <w:rFonts w:ascii="Times New Roman" w:hAnsi="Times New Roman" w:cs="Times New Roman"/>
          <w:lang w:val="en-US"/>
        </w:rPr>
        <w:t xml:space="preserve">emicide rates decreased </w:t>
      </w:r>
      <w:r w:rsidR="0019140A">
        <w:rPr>
          <w:rFonts w:ascii="Times New Roman" w:hAnsi="Times New Roman" w:cs="Times New Roman"/>
          <w:lang w:val="en-US"/>
        </w:rPr>
        <w:t xml:space="preserve">over the study period </w:t>
      </w:r>
      <w:r w:rsidR="000D36F2">
        <w:rPr>
          <w:rFonts w:ascii="Times New Roman" w:hAnsi="Times New Roman" w:cs="Times New Roman"/>
          <w:lang w:val="en-US"/>
        </w:rPr>
        <w:t xml:space="preserve">by 32% </w:t>
      </w:r>
      <w:r w:rsidR="00C26809">
        <w:rPr>
          <w:rFonts w:ascii="Times New Roman" w:hAnsi="Times New Roman" w:cs="Times New Roman"/>
          <w:lang w:val="en-US"/>
        </w:rPr>
        <w:t>worldwide and by 33% in low-inequality countries</w:t>
      </w:r>
      <w:r w:rsidR="00143108">
        <w:rPr>
          <w:rFonts w:ascii="Times New Roman" w:hAnsi="Times New Roman" w:cs="Times New Roman"/>
          <w:lang w:val="en-US"/>
        </w:rPr>
        <w:t>,</w:t>
      </w:r>
      <w:r w:rsidR="00C26809">
        <w:rPr>
          <w:rFonts w:ascii="Times New Roman" w:hAnsi="Times New Roman" w:cs="Times New Roman"/>
          <w:lang w:val="en-US"/>
        </w:rPr>
        <w:t xml:space="preserve"> </w:t>
      </w:r>
      <w:r w:rsidR="000D36F2">
        <w:rPr>
          <w:rFonts w:ascii="Times New Roman" w:hAnsi="Times New Roman" w:cs="Times New Roman"/>
          <w:lang w:val="en-US"/>
        </w:rPr>
        <w:t xml:space="preserve">but </w:t>
      </w:r>
      <w:r w:rsidR="00C26809">
        <w:rPr>
          <w:rFonts w:ascii="Times New Roman" w:hAnsi="Times New Roman" w:cs="Times New Roman"/>
          <w:lang w:val="en-US"/>
        </w:rPr>
        <w:t xml:space="preserve">increased by 26% in low- and medium-income countries. </w:t>
      </w:r>
      <w:r w:rsidR="00D96219">
        <w:rPr>
          <w:rFonts w:ascii="Times New Roman" w:hAnsi="Times New Roman" w:cs="Times New Roman"/>
          <w:lang w:val="en-US"/>
        </w:rPr>
        <w:t xml:space="preserve">The structural factors of </w:t>
      </w:r>
      <w:r w:rsidR="0019140A">
        <w:rPr>
          <w:rFonts w:ascii="Times New Roman" w:hAnsi="Times New Roman" w:cs="Times New Roman"/>
          <w:lang w:val="en-US"/>
        </w:rPr>
        <w:t xml:space="preserve">low </w:t>
      </w:r>
      <w:r w:rsidR="00D96219">
        <w:rPr>
          <w:rFonts w:ascii="Times New Roman" w:hAnsi="Times New Roman" w:cs="Times New Roman"/>
          <w:lang w:val="en-US"/>
        </w:rPr>
        <w:t xml:space="preserve">income and </w:t>
      </w:r>
      <w:r w:rsidR="0019140A">
        <w:rPr>
          <w:rFonts w:ascii="Times New Roman" w:hAnsi="Times New Roman" w:cs="Times New Roman"/>
          <w:lang w:val="en-US"/>
        </w:rPr>
        <w:t xml:space="preserve">high </w:t>
      </w:r>
      <w:r w:rsidR="00D96219">
        <w:rPr>
          <w:rFonts w:ascii="Times New Roman" w:hAnsi="Times New Roman" w:cs="Times New Roman"/>
          <w:lang w:val="en-US"/>
        </w:rPr>
        <w:t xml:space="preserve">inequality were significantly </w:t>
      </w:r>
      <w:r w:rsidR="0019140A">
        <w:rPr>
          <w:rFonts w:ascii="Times New Roman" w:hAnsi="Times New Roman" w:cs="Times New Roman"/>
          <w:lang w:val="en-US"/>
        </w:rPr>
        <w:t xml:space="preserve">negatively </w:t>
      </w:r>
      <w:r w:rsidR="00D96219">
        <w:rPr>
          <w:rFonts w:ascii="Times New Roman" w:hAnsi="Times New Roman" w:cs="Times New Roman"/>
          <w:lang w:val="en-US"/>
        </w:rPr>
        <w:t>associated with the 2014 femicide rate</w:t>
      </w:r>
      <w:r w:rsidR="00143108">
        <w:rPr>
          <w:rFonts w:ascii="Times New Roman" w:hAnsi="Times New Roman" w:cs="Times New Roman"/>
          <w:lang w:val="en-US"/>
        </w:rPr>
        <w:t>,</w:t>
      </w:r>
      <w:r w:rsidR="00D96219">
        <w:rPr>
          <w:rFonts w:ascii="Times New Roman" w:hAnsi="Times New Roman" w:cs="Times New Roman"/>
          <w:lang w:val="en-US"/>
        </w:rPr>
        <w:t xml:space="preserve"> but the overall number of adopted anti-femicide actions was not</w:t>
      </w:r>
      <w:r w:rsidR="0019140A">
        <w:rPr>
          <w:rFonts w:ascii="Times New Roman" w:hAnsi="Times New Roman" w:cs="Times New Roman"/>
          <w:lang w:val="en-US"/>
        </w:rPr>
        <w:t xml:space="preserve"> linked</w:t>
      </w:r>
      <w:r w:rsidR="00D96219">
        <w:rPr>
          <w:rFonts w:ascii="Times New Roman" w:hAnsi="Times New Roman" w:cs="Times New Roman"/>
          <w:lang w:val="en-US"/>
        </w:rPr>
        <w:t xml:space="preserve">. </w:t>
      </w:r>
      <w:r w:rsidR="00143108">
        <w:rPr>
          <w:rFonts w:ascii="Times New Roman" w:hAnsi="Times New Roman" w:cs="Times New Roman"/>
          <w:lang w:val="en-US"/>
        </w:rPr>
        <w:t>S</w:t>
      </w:r>
      <w:r w:rsidR="00D96219">
        <w:rPr>
          <w:rFonts w:ascii="Times New Roman" w:hAnsi="Times New Roman" w:cs="Times New Roman"/>
          <w:lang w:val="en-US"/>
        </w:rPr>
        <w:t xml:space="preserve">tructural factors must be addressed alongside policy and legal initiatives if significant gains are to be made toward eradicating violence against women and girls.         </w:t>
      </w:r>
      <w:bookmarkStart w:id="0" w:name="_GoBack"/>
      <w:bookmarkEnd w:id="0"/>
      <w:r w:rsidR="00883CE9">
        <w:rPr>
          <w:rFonts w:ascii="Times New Roman" w:hAnsi="Times New Roman" w:cs="Times New Roman"/>
          <w:lang w:val="en-US"/>
        </w:rPr>
        <w:br w:type="page"/>
      </w:r>
    </w:p>
    <w:p w14:paraId="24A89F72" w14:textId="77777777" w:rsidR="00883CE9" w:rsidRPr="00883CE9" w:rsidRDefault="00883CE9" w:rsidP="007356C6">
      <w:pPr>
        <w:spacing w:line="360" w:lineRule="auto"/>
        <w:jc w:val="both"/>
        <w:rPr>
          <w:rFonts w:ascii="Times New Roman" w:hAnsi="Times New Roman" w:cs="Times New Roman"/>
          <w:lang w:val="en-US"/>
        </w:rPr>
      </w:pPr>
      <w:r w:rsidRPr="00883CE9">
        <w:rPr>
          <w:rFonts w:ascii="Times New Roman" w:hAnsi="Times New Roman" w:cs="Times New Roman"/>
          <w:lang w:val="en-US"/>
        </w:rPr>
        <w:lastRenderedPageBreak/>
        <w:t xml:space="preserve"> </w:t>
      </w:r>
    </w:p>
    <w:p w14:paraId="73F991E2" w14:textId="77777777" w:rsidR="00883CE9" w:rsidRPr="00883CE9" w:rsidRDefault="00883CE9" w:rsidP="007356C6">
      <w:pPr>
        <w:pStyle w:val="Heading1"/>
        <w:spacing w:line="360" w:lineRule="auto"/>
        <w:rPr>
          <w:lang w:val="en-US"/>
        </w:rPr>
      </w:pPr>
      <w:r w:rsidRPr="00883CE9">
        <w:rPr>
          <w:lang w:val="en-US"/>
        </w:rPr>
        <w:t>Introduction</w:t>
      </w:r>
    </w:p>
    <w:p w14:paraId="485E7127" w14:textId="23CB1ACC" w:rsidR="00706620" w:rsidRDefault="00883CE9" w:rsidP="007356C6">
      <w:pPr>
        <w:spacing w:line="360" w:lineRule="auto"/>
        <w:jc w:val="both"/>
        <w:rPr>
          <w:rFonts w:ascii="Times New Roman" w:hAnsi="Times New Roman" w:cs="Times New Roman"/>
          <w:lang w:val="en-US"/>
        </w:rPr>
      </w:pPr>
      <w:r w:rsidRPr="00883CE9">
        <w:rPr>
          <w:rFonts w:ascii="Times New Roman" w:hAnsi="Times New Roman" w:cs="Times New Roman"/>
          <w:lang w:val="en-US"/>
        </w:rPr>
        <w:t>Homi</w:t>
      </w:r>
      <w:r>
        <w:rPr>
          <w:rFonts w:ascii="Times New Roman" w:hAnsi="Times New Roman" w:cs="Times New Roman"/>
          <w:lang w:val="en-US"/>
        </w:rPr>
        <w:t>cide is the most serious consequence</w:t>
      </w:r>
      <w:r w:rsidRPr="00883CE9">
        <w:rPr>
          <w:rFonts w:ascii="Times New Roman" w:hAnsi="Times New Roman" w:cs="Times New Roman"/>
          <w:lang w:val="en-US"/>
        </w:rPr>
        <w:t xml:space="preserve"> of human violent behaviour and the risk of </w:t>
      </w:r>
      <w:r w:rsidR="00771BC6">
        <w:rPr>
          <w:rFonts w:ascii="Times New Roman" w:hAnsi="Times New Roman" w:cs="Times New Roman"/>
          <w:lang w:val="en-US"/>
        </w:rPr>
        <w:t xml:space="preserve">dieing </w:t>
      </w:r>
      <w:r w:rsidRPr="00883CE9">
        <w:rPr>
          <w:rFonts w:ascii="Times New Roman" w:hAnsi="Times New Roman" w:cs="Times New Roman"/>
          <w:lang w:val="en-US"/>
        </w:rPr>
        <w:t xml:space="preserve"> </w:t>
      </w:r>
      <w:r w:rsidR="007356C6">
        <w:rPr>
          <w:rFonts w:ascii="Times New Roman" w:hAnsi="Times New Roman" w:cs="Times New Roman"/>
          <w:lang w:val="en-US"/>
        </w:rPr>
        <w:t xml:space="preserve">as a result of </w:t>
      </w:r>
      <w:r>
        <w:rPr>
          <w:rFonts w:ascii="Times New Roman" w:hAnsi="Times New Roman" w:cs="Times New Roman"/>
          <w:lang w:val="en-US"/>
        </w:rPr>
        <w:t>aggression  by other people</w:t>
      </w:r>
      <w:r w:rsidRPr="00883CE9">
        <w:rPr>
          <w:rFonts w:ascii="Times New Roman" w:hAnsi="Times New Roman" w:cs="Times New Roman"/>
          <w:lang w:val="en-US"/>
        </w:rPr>
        <w:t xml:space="preserve"> remains a </w:t>
      </w:r>
      <w:r w:rsidR="007356C6">
        <w:rPr>
          <w:rFonts w:ascii="Times New Roman" w:hAnsi="Times New Roman" w:cs="Times New Roman"/>
          <w:lang w:val="en-US"/>
        </w:rPr>
        <w:t>significant</w:t>
      </w:r>
      <w:r w:rsidRPr="00883CE9">
        <w:rPr>
          <w:rFonts w:ascii="Times New Roman" w:hAnsi="Times New Roman" w:cs="Times New Roman"/>
          <w:lang w:val="en-US"/>
        </w:rPr>
        <w:t xml:space="preserve"> feature of life for many people around the world. </w:t>
      </w:r>
      <w:r w:rsidR="007356C6">
        <w:rPr>
          <w:rFonts w:ascii="Times New Roman" w:hAnsi="Times New Roman" w:cs="Times New Roman"/>
          <w:lang w:val="en-US"/>
        </w:rPr>
        <w:t xml:space="preserve">Homicide has been defined by the United Nations for statistical purposes as </w:t>
      </w:r>
      <w:r w:rsidR="007356C6" w:rsidRPr="007356C6">
        <w:rPr>
          <w:rFonts w:ascii="Times New Roman" w:hAnsi="Times New Roman" w:cs="Times New Roman"/>
          <w:lang w:val="en-US"/>
        </w:rPr>
        <w:t>“unlawful death inflicted upon a person with the intent to cause death or serious injury”</w:t>
      </w:r>
      <w:r w:rsidR="007356C6">
        <w:rPr>
          <w:rFonts w:ascii="Times New Roman" w:hAnsi="Times New Roman" w:cs="Times New Roman"/>
          <w:lang w:val="en-US"/>
        </w:rPr>
        <w:t xml:space="preserve"> </w:t>
      </w:r>
      <w:r w:rsidR="00771BC6">
        <w:rPr>
          <w:rFonts w:ascii="Times New Roman" w:hAnsi="Times New Roman" w:cs="Times New Roman"/>
          <w:lang w:val="en-US"/>
        </w:rPr>
        <w:t xml:space="preserve">with </w:t>
      </w:r>
      <w:r w:rsidR="007356C6">
        <w:rPr>
          <w:rFonts w:ascii="Times New Roman" w:hAnsi="Times New Roman" w:cs="Times New Roman"/>
          <w:lang w:val="en-US"/>
        </w:rPr>
        <w:t xml:space="preserve"> three </w:t>
      </w:r>
      <w:r w:rsidR="00771BC6">
        <w:rPr>
          <w:rFonts w:ascii="Times New Roman" w:hAnsi="Times New Roman" w:cs="Times New Roman"/>
          <w:lang w:val="en-US"/>
        </w:rPr>
        <w:t xml:space="preserve">key </w:t>
      </w:r>
      <w:r w:rsidR="007356C6">
        <w:rPr>
          <w:rFonts w:ascii="Times New Roman" w:hAnsi="Times New Roman" w:cs="Times New Roman"/>
          <w:lang w:val="en-US"/>
        </w:rPr>
        <w:t>elements: interpersonal killing, harmful intent and unlawfulness</w:t>
      </w:r>
      <w:r w:rsidR="006075DD">
        <w:rPr>
          <w:rFonts w:ascii="Times New Roman" w:hAnsi="Times New Roman" w:cs="Times New Roman"/>
          <w:lang w:val="en-US"/>
        </w:rPr>
        <w:t xml:space="preserve"> </w:t>
      </w:r>
      <w:r w:rsidR="006075DD">
        <w:rPr>
          <w:rFonts w:ascii="Times New Roman" w:hAnsi="Times New Roman" w:cs="Times New Roman"/>
          <w:lang w:val="en-US"/>
        </w:rPr>
        <w:fldChar w:fldCharType="begin"/>
      </w:r>
      <w:r w:rsidR="00F038DF">
        <w:rPr>
          <w:rFonts w:ascii="Times New Roman" w:hAnsi="Times New Roman" w:cs="Times New Roman"/>
          <w:lang w:val="en-US"/>
        </w:rPr>
        <w:instrText xml:space="preserve"> ADDIN EN.CITE &lt;EndNote&gt;&lt;Cite&gt;&lt;Author&gt;UNODC&lt;/Author&gt;&lt;Year&gt;2015&lt;/Year&gt;&lt;RecNum&gt;3319&lt;/RecNum&gt;&lt;DisplayText&gt;(UNODC 2015)&lt;/DisplayText&gt;&lt;record&gt;&lt;rec-number&gt;3319&lt;/rec-number&gt;&lt;foreign-keys&gt;&lt;key app="EN" db-id="xeadttdpnf0vfgev2xzv2v9gvp92rp5tstes" timestamp="1655214066"&gt;3319&lt;/key&gt;&lt;/foreign-keys&gt;&lt;ref-type name="Report"&gt;27&lt;/ref-type&gt;&lt;contributors&gt;&lt;authors&gt;&lt;author&gt;UNODC&lt;/author&gt;&lt;/authors&gt;&lt;/contributors&gt;&lt;titles&gt;&lt;title&gt;International Classifciation of Crime for Staistical Purposes (ICCS) version 1.0&lt;/title&gt;&lt;/titles&gt;&lt;edition&gt;1.0&lt;/edition&gt;&lt;dates&gt;&lt;year&gt;2015&lt;/year&gt;&lt;/dates&gt;&lt;pub-location&gt;Vienna&lt;/pub-location&gt;&lt;publisher&gt;United Nations Office on Drugs and Crime&lt;/publisher&gt;&lt;urls&gt;&lt;related-urls&gt;&lt;url&gt;https://www.unodc.org/unodc/en/data-and-analysis/statistics/iccs.html?msclkid=0ad51f39b41711ecac0e7485600bec78&lt;/url&gt;&lt;/related-urls&gt;&lt;/urls&gt;&lt;/record&gt;&lt;/Cite&gt;&lt;/EndNote&gt;</w:instrText>
      </w:r>
      <w:r w:rsidR="006075DD">
        <w:rPr>
          <w:rFonts w:ascii="Times New Roman" w:hAnsi="Times New Roman" w:cs="Times New Roman"/>
          <w:lang w:val="en-US"/>
        </w:rPr>
        <w:fldChar w:fldCharType="separate"/>
      </w:r>
      <w:r w:rsidR="00F038DF">
        <w:rPr>
          <w:rFonts w:ascii="Times New Roman" w:hAnsi="Times New Roman" w:cs="Times New Roman"/>
          <w:noProof/>
          <w:lang w:val="en-US"/>
        </w:rPr>
        <w:t>(UNODC 2015)</w:t>
      </w:r>
      <w:r w:rsidR="006075DD">
        <w:rPr>
          <w:rFonts w:ascii="Times New Roman" w:hAnsi="Times New Roman" w:cs="Times New Roman"/>
          <w:lang w:val="en-US"/>
        </w:rPr>
        <w:fldChar w:fldCharType="end"/>
      </w:r>
      <w:r w:rsidR="007356C6">
        <w:rPr>
          <w:rFonts w:ascii="Times New Roman" w:hAnsi="Times New Roman" w:cs="Times New Roman"/>
          <w:lang w:val="en-US"/>
        </w:rPr>
        <w:t xml:space="preserve">. </w:t>
      </w:r>
      <w:r w:rsidR="00706620" w:rsidRPr="00706620">
        <w:rPr>
          <w:rFonts w:ascii="Times New Roman" w:hAnsi="Times New Roman" w:cs="Times New Roman"/>
          <w:lang w:val="en-US"/>
        </w:rPr>
        <w:t>It is</w:t>
      </w:r>
      <w:r w:rsidR="007356C6">
        <w:rPr>
          <w:rFonts w:ascii="Times New Roman" w:hAnsi="Times New Roman" w:cs="Times New Roman"/>
          <w:lang w:val="en-US"/>
        </w:rPr>
        <w:t xml:space="preserve"> considered</w:t>
      </w:r>
      <w:r w:rsidR="00706620" w:rsidRPr="00706620">
        <w:rPr>
          <w:rFonts w:ascii="Times New Roman" w:hAnsi="Times New Roman" w:cs="Times New Roman"/>
          <w:lang w:val="en-US"/>
        </w:rPr>
        <w:t xml:space="preserve"> </w:t>
      </w:r>
      <w:r w:rsidR="00F038DF">
        <w:rPr>
          <w:rFonts w:ascii="Times New Roman" w:hAnsi="Times New Roman" w:cs="Times New Roman"/>
          <w:lang w:val="en-US"/>
        </w:rPr>
        <w:t xml:space="preserve">to be </w:t>
      </w:r>
      <w:r w:rsidR="00706620" w:rsidRPr="00706620">
        <w:rPr>
          <w:rFonts w:ascii="Times New Roman" w:hAnsi="Times New Roman" w:cs="Times New Roman"/>
          <w:lang w:val="en-US"/>
        </w:rPr>
        <w:t xml:space="preserve">distinct from </w:t>
      </w:r>
      <w:r w:rsidR="007356C6">
        <w:rPr>
          <w:rFonts w:ascii="Times New Roman" w:hAnsi="Times New Roman" w:cs="Times New Roman"/>
          <w:lang w:val="en-US"/>
        </w:rPr>
        <w:t xml:space="preserve">intentional harm in conflict situations such as war and </w:t>
      </w:r>
      <w:r w:rsidR="00706620" w:rsidRPr="00706620">
        <w:rPr>
          <w:rFonts w:ascii="Times New Roman" w:hAnsi="Times New Roman" w:cs="Times New Roman"/>
          <w:lang w:val="en-US"/>
        </w:rPr>
        <w:t xml:space="preserve">other forms of non-conflict violent deaths such as killing in the context of self-defence or legal interventions such as lawful execution or assisted suicide </w:t>
      </w:r>
      <w:r w:rsidR="00F038DF">
        <w:rPr>
          <w:rFonts w:ascii="Times New Roman" w:hAnsi="Times New Roman" w:cs="Times New Roman"/>
          <w:lang w:val="en-US"/>
        </w:rPr>
        <w:fldChar w:fldCharType="begin"/>
      </w:r>
      <w:r w:rsidR="00F038DF">
        <w:rPr>
          <w:rFonts w:ascii="Times New Roman" w:hAnsi="Times New Roman" w:cs="Times New Roman"/>
          <w:lang w:val="en-US"/>
        </w:rPr>
        <w:instrText xml:space="preserve"> ADDIN EN.CITE &lt;EndNote&gt;&lt;Cite&gt;&lt;Author&gt;UNODC&lt;/Author&gt;&lt;Year&gt;2019&lt;/Year&gt;&lt;RecNum&gt;3320&lt;/RecNum&gt;&lt;DisplayText&gt;(UNODC 2019)&lt;/DisplayText&gt;&lt;record&gt;&lt;rec-number&gt;3320&lt;/rec-number&gt;&lt;foreign-keys&gt;&lt;key app="EN" db-id="xeadttdpnf0vfgev2xzv2v9gvp92rp5tstes" timestamp="1655214448"&gt;3320&lt;/key&gt;&lt;/foreign-keys&gt;&lt;ref-type name="Report"&gt;27&lt;/ref-type&gt;&lt;contributors&gt;&lt;authors&gt;&lt;author&gt;UNODC&lt;/author&gt;&lt;/authors&gt;&lt;/contributors&gt;&lt;titles&gt;&lt;title&gt;Global Study on Homicide&lt;/title&gt;&lt;/titles&gt;&lt;dates&gt;&lt;year&gt;2019&lt;/year&gt;&lt;/dates&gt;&lt;pub-location&gt;Vienna&lt;/pub-location&gt;&lt;publisher&gt;United Nations Office on Drugs and Crime&lt;/publisher&gt;&lt;urls&gt;&lt;related-urls&gt;&lt;url&gt;https://www.unodc.org/documents/data-and-analysis/gsh/Booklet1.pdf&lt;/url&gt;&lt;/related-urls&gt;&lt;/urls&gt;&lt;/record&gt;&lt;/Cite&gt;&lt;/EndNote&gt;</w:instrText>
      </w:r>
      <w:r w:rsidR="00F038DF">
        <w:rPr>
          <w:rFonts w:ascii="Times New Roman" w:hAnsi="Times New Roman" w:cs="Times New Roman"/>
          <w:lang w:val="en-US"/>
        </w:rPr>
        <w:fldChar w:fldCharType="separate"/>
      </w:r>
      <w:r w:rsidR="00F038DF">
        <w:rPr>
          <w:rFonts w:ascii="Times New Roman" w:hAnsi="Times New Roman" w:cs="Times New Roman"/>
          <w:noProof/>
          <w:lang w:val="en-US"/>
        </w:rPr>
        <w:t>(UNODC 2019)</w:t>
      </w:r>
      <w:r w:rsidR="00F038DF">
        <w:rPr>
          <w:rFonts w:ascii="Times New Roman" w:hAnsi="Times New Roman" w:cs="Times New Roman"/>
          <w:lang w:val="en-US"/>
        </w:rPr>
        <w:fldChar w:fldCharType="end"/>
      </w:r>
      <w:r w:rsidR="00706620" w:rsidRPr="00706620">
        <w:rPr>
          <w:rFonts w:ascii="Times New Roman" w:hAnsi="Times New Roman" w:cs="Times New Roman"/>
          <w:lang w:val="en-US"/>
        </w:rPr>
        <w:t xml:space="preserve">.      </w:t>
      </w:r>
    </w:p>
    <w:p w14:paraId="6EEE4A90" w14:textId="52FA96B5" w:rsidR="00771BC6" w:rsidRDefault="007356C6" w:rsidP="007356C6">
      <w:pPr>
        <w:spacing w:line="360" w:lineRule="auto"/>
        <w:jc w:val="both"/>
        <w:rPr>
          <w:rFonts w:ascii="Times New Roman" w:hAnsi="Times New Roman" w:cs="Times New Roman"/>
          <w:lang w:val="en-US"/>
        </w:rPr>
      </w:pPr>
      <w:r>
        <w:rPr>
          <w:rFonts w:ascii="Times New Roman" w:hAnsi="Times New Roman" w:cs="Times New Roman"/>
          <w:lang w:val="en-US"/>
        </w:rPr>
        <w:t xml:space="preserve">The phenomenon of unlawful killing </w:t>
      </w:r>
      <w:r w:rsidR="00771BC6">
        <w:rPr>
          <w:rFonts w:ascii="Times New Roman" w:hAnsi="Times New Roman" w:cs="Times New Roman"/>
          <w:lang w:val="en-US"/>
        </w:rPr>
        <w:t xml:space="preserve">furthermore </w:t>
      </w:r>
      <w:r>
        <w:rPr>
          <w:rFonts w:ascii="Times New Roman" w:hAnsi="Times New Roman" w:cs="Times New Roman"/>
          <w:lang w:val="en-US"/>
        </w:rPr>
        <w:t>is different for women and men</w:t>
      </w:r>
      <w:r w:rsidR="00C2135A">
        <w:rPr>
          <w:rFonts w:ascii="Times New Roman" w:hAnsi="Times New Roman" w:cs="Times New Roman"/>
          <w:lang w:val="en-US"/>
        </w:rPr>
        <w:t xml:space="preserve"> </w:t>
      </w:r>
      <w:r w:rsidR="00C2135A">
        <w:rPr>
          <w:rFonts w:ascii="Times New Roman" w:hAnsi="Times New Roman" w:cs="Times New Roman"/>
          <w:lang w:val="en-US"/>
        </w:rPr>
        <w:fldChar w:fldCharType="begin"/>
      </w:r>
      <w:r w:rsidR="00C2135A">
        <w:rPr>
          <w:rFonts w:ascii="Times New Roman" w:hAnsi="Times New Roman" w:cs="Times New Roman"/>
          <w:lang w:val="en-US"/>
        </w:rPr>
        <w:instrText xml:space="preserve"> ADDIN EN.CITE &lt;EndNote&gt;&lt;Cite&gt;&lt;Author&gt;Dawson&lt;/Author&gt;&lt;Year&gt;2021&lt;/Year&gt;&lt;RecNum&gt;3323&lt;/RecNum&gt;&lt;DisplayText&gt;(Dawson and Carrigan 2021)&lt;/DisplayText&gt;&lt;record&gt;&lt;rec-number&gt;3323&lt;/rec-number&gt;&lt;foreign-keys&gt;&lt;key app="EN" db-id="xeadttdpnf0vfgev2xzv2v9gvp92rp5tstes" timestamp="1655219211"&gt;3323&lt;/key&gt;&lt;/foreign-keys&gt;&lt;ref-type name="Journal Article"&gt;17&lt;/ref-type&gt;&lt;contributors&gt;&lt;authors&gt;&lt;author&gt;Dawson, Myrna&lt;/author&gt;&lt;author&gt;Carrigan, Michelle&lt;/author&gt;&lt;/authors&gt;&lt;/contributors&gt;&lt;titles&gt;&lt;title&gt;Identifying femicide locally and globally: Understanding the utility and accessibility of sex/gender-related motives and indicators&lt;/title&gt;&lt;secondary-title&gt;Current Sociology&lt;/secondary-title&gt;&lt;/titles&gt;&lt;periodical&gt;&lt;full-title&gt;Current Sociology&lt;/full-title&gt;&lt;/periodical&gt;&lt;pages&gt;682-704&lt;/pages&gt;&lt;volume&gt;69&lt;/volume&gt;&lt;number&gt;5&lt;/number&gt;&lt;keywords&gt;&lt;keyword&gt;Data,femicide,feminicide,gender,indicators,prevention,sex&lt;/keyword&gt;&lt;/keywords&gt;&lt;dates&gt;&lt;year&gt;2021&lt;/year&gt;&lt;/dates&gt;&lt;urls&gt;&lt;related-urls&gt;&lt;url&gt;https://journals.sagepub.com/doi/abs/10.1177/0011392120946359&lt;/url&gt;&lt;/related-urls&gt;&lt;/urls&gt;&lt;electronic-resource-num&gt;10.1177/0011392120946359&lt;/electronic-resource-num&gt;&lt;/record&gt;&lt;/Cite&gt;&lt;/EndNote&gt;</w:instrText>
      </w:r>
      <w:r w:rsidR="00C2135A">
        <w:rPr>
          <w:rFonts w:ascii="Times New Roman" w:hAnsi="Times New Roman" w:cs="Times New Roman"/>
          <w:lang w:val="en-US"/>
        </w:rPr>
        <w:fldChar w:fldCharType="separate"/>
      </w:r>
      <w:r w:rsidR="00C2135A">
        <w:rPr>
          <w:rFonts w:ascii="Times New Roman" w:hAnsi="Times New Roman" w:cs="Times New Roman"/>
          <w:noProof/>
          <w:lang w:val="en-US"/>
        </w:rPr>
        <w:t>(Dawson and Carrigan 2021)</w:t>
      </w:r>
      <w:r w:rsidR="00C2135A">
        <w:rPr>
          <w:rFonts w:ascii="Times New Roman" w:hAnsi="Times New Roman" w:cs="Times New Roman"/>
          <w:lang w:val="en-US"/>
        </w:rPr>
        <w:fldChar w:fldCharType="end"/>
      </w:r>
      <w:r>
        <w:rPr>
          <w:rFonts w:ascii="Times New Roman" w:hAnsi="Times New Roman" w:cs="Times New Roman"/>
          <w:lang w:val="en-US"/>
        </w:rPr>
        <w:t xml:space="preserve">. </w:t>
      </w:r>
      <w:r w:rsidR="00883CE9" w:rsidRPr="00883CE9">
        <w:rPr>
          <w:rFonts w:ascii="Times New Roman" w:hAnsi="Times New Roman" w:cs="Times New Roman"/>
          <w:lang w:val="en-US"/>
        </w:rPr>
        <w:t xml:space="preserve">The risk factors for </w:t>
      </w:r>
      <w:r w:rsidR="00F038DF">
        <w:rPr>
          <w:rFonts w:ascii="Times New Roman" w:hAnsi="Times New Roman" w:cs="Times New Roman"/>
          <w:lang w:val="en-US"/>
        </w:rPr>
        <w:t>‘</w:t>
      </w:r>
      <w:r w:rsidR="00883CE9">
        <w:rPr>
          <w:rFonts w:ascii="Times New Roman" w:hAnsi="Times New Roman" w:cs="Times New Roman"/>
          <w:lang w:val="en-US"/>
        </w:rPr>
        <w:t xml:space="preserve">homicide with </w:t>
      </w:r>
      <w:r w:rsidR="00F038DF">
        <w:rPr>
          <w:rFonts w:ascii="Times New Roman" w:hAnsi="Times New Roman" w:cs="Times New Roman"/>
          <w:lang w:val="en-US"/>
        </w:rPr>
        <w:t xml:space="preserve">a </w:t>
      </w:r>
      <w:r w:rsidR="00883CE9">
        <w:rPr>
          <w:rFonts w:ascii="Times New Roman" w:hAnsi="Times New Roman" w:cs="Times New Roman"/>
          <w:lang w:val="en-US"/>
        </w:rPr>
        <w:t>female victim</w:t>
      </w:r>
      <w:r w:rsidR="00F038DF">
        <w:rPr>
          <w:rFonts w:ascii="Times New Roman" w:hAnsi="Times New Roman" w:cs="Times New Roman"/>
          <w:lang w:val="en-US"/>
        </w:rPr>
        <w:t>’</w:t>
      </w:r>
      <w:r w:rsidR="00883CE9">
        <w:rPr>
          <w:rFonts w:ascii="Times New Roman" w:hAnsi="Times New Roman" w:cs="Times New Roman"/>
          <w:lang w:val="en-US"/>
        </w:rPr>
        <w:t xml:space="preserve"> are very different from those with male victims </w:t>
      </w:r>
      <w:r w:rsidR="00883CE9" w:rsidRPr="00883CE9">
        <w:rPr>
          <w:rFonts w:ascii="Times New Roman" w:hAnsi="Times New Roman" w:cs="Times New Roman"/>
          <w:lang w:val="en-US"/>
        </w:rPr>
        <w:t>in many ways and this indicates the need to consider fatal violence from a gender</w:t>
      </w:r>
      <w:r w:rsidR="00883CE9">
        <w:rPr>
          <w:rFonts w:ascii="Times New Roman" w:hAnsi="Times New Roman" w:cs="Times New Roman"/>
          <w:lang w:val="en-US"/>
        </w:rPr>
        <w:t>ed</w:t>
      </w:r>
      <w:r w:rsidR="00883CE9" w:rsidRPr="00883CE9">
        <w:rPr>
          <w:rFonts w:ascii="Times New Roman" w:hAnsi="Times New Roman" w:cs="Times New Roman"/>
          <w:lang w:val="en-US"/>
        </w:rPr>
        <w:t xml:space="preserve"> perspective</w:t>
      </w:r>
      <w:r w:rsidR="00A27DC7">
        <w:rPr>
          <w:rFonts w:ascii="Times New Roman" w:hAnsi="Times New Roman" w:cs="Times New Roman"/>
          <w:lang w:val="en-US"/>
        </w:rPr>
        <w:t xml:space="preserve"> </w:t>
      </w:r>
      <w:r w:rsidR="00A27DC7">
        <w:rPr>
          <w:rFonts w:ascii="Times New Roman" w:hAnsi="Times New Roman" w:cs="Times New Roman"/>
          <w:lang w:val="en-US"/>
        </w:rPr>
        <w:fldChar w:fldCharType="begin"/>
      </w:r>
      <w:r w:rsidR="00A27DC7">
        <w:rPr>
          <w:rFonts w:ascii="Times New Roman" w:hAnsi="Times New Roman" w:cs="Times New Roman"/>
          <w:lang w:val="en-US"/>
        </w:rPr>
        <w:instrText xml:space="preserve"> ADDIN EN.CITE &lt;EndNote&gt;&lt;Cite&gt;&lt;Author&gt;Garcia-Vergara&lt;/Author&gt;&lt;Year&gt;2022&lt;/Year&gt;&lt;RecNum&gt;3335&lt;/RecNum&gt;&lt;DisplayText&gt;(Garcia-Vergara, Almeda et al. 2022)&lt;/DisplayText&gt;&lt;record&gt;&lt;rec-number&gt;3335&lt;/rec-number&gt;&lt;foreign-keys&gt;&lt;key app="EN" db-id="xeadttdpnf0vfgev2xzv2v9gvp92rp5tstes" timestamp="1661447160"&gt;3335&lt;/key&gt;&lt;/foreign-keys&gt;&lt;ref-type name="Journal Article"&gt;17&lt;/ref-type&gt;&lt;contributors&gt;&lt;authors&gt;&lt;author&gt;Garcia-Vergara, Esperanza&lt;/author&gt;&lt;author&gt;Almeda, Nerea&lt;/author&gt;&lt;author&gt;Martín Ríos, Blanca&lt;/author&gt;&lt;author&gt;Becerra-Alonso, David&lt;/author&gt;&lt;author&gt;Fernández-Navarro, Francisco&lt;/author&gt;&lt;/authors&gt;&lt;/contributors&gt;&lt;titles&gt;&lt;title&gt;A Comprehensive Analysis of Factors Associated with Intimate Partner Femicide: A Systematic Review&lt;/title&gt;&lt;secondary-title&gt;International Journal of Environmental Research and Public Health&lt;/secondary-title&gt;&lt;/titles&gt;&lt;periodical&gt;&lt;full-title&gt;International Journal of Environmental Research and Public Health&lt;/full-title&gt;&lt;/periodical&gt;&lt;pages&gt;7336&lt;/pages&gt;&lt;volume&gt;19&lt;/volume&gt;&lt;number&gt;12&lt;/number&gt;&lt;dates&gt;&lt;year&gt;2022&lt;/year&gt;&lt;/dates&gt;&lt;isbn&gt;1660-4601&lt;/isbn&gt;&lt;accession-num&gt;doi:10.3390/ijerph19127336&lt;/accession-num&gt;&lt;urls&gt;&lt;related-urls&gt;&lt;url&gt;https://www.mdpi.com/1660-4601/19/12/7336&lt;/url&gt;&lt;/related-urls&gt;&lt;/urls&gt;&lt;/record&gt;&lt;/Cite&gt;&lt;/EndNote&gt;</w:instrText>
      </w:r>
      <w:r w:rsidR="00A27DC7">
        <w:rPr>
          <w:rFonts w:ascii="Times New Roman" w:hAnsi="Times New Roman" w:cs="Times New Roman"/>
          <w:lang w:val="en-US"/>
        </w:rPr>
        <w:fldChar w:fldCharType="separate"/>
      </w:r>
      <w:r w:rsidR="00A27DC7">
        <w:rPr>
          <w:rFonts w:ascii="Times New Roman" w:hAnsi="Times New Roman" w:cs="Times New Roman"/>
          <w:noProof/>
          <w:lang w:val="en-US"/>
        </w:rPr>
        <w:t>(Garcia-Vergara, Almeda et al. 2022)</w:t>
      </w:r>
      <w:r w:rsidR="00A27DC7">
        <w:rPr>
          <w:rFonts w:ascii="Times New Roman" w:hAnsi="Times New Roman" w:cs="Times New Roman"/>
          <w:lang w:val="en-US"/>
        </w:rPr>
        <w:fldChar w:fldCharType="end"/>
      </w:r>
      <w:r w:rsidR="00883CE9" w:rsidRPr="00883CE9">
        <w:rPr>
          <w:rFonts w:ascii="Times New Roman" w:hAnsi="Times New Roman" w:cs="Times New Roman"/>
          <w:lang w:val="en-US"/>
        </w:rPr>
        <w:t xml:space="preserve">. </w:t>
      </w:r>
      <w:r w:rsidR="00883CE9">
        <w:rPr>
          <w:rFonts w:ascii="Times New Roman" w:hAnsi="Times New Roman" w:cs="Times New Roman"/>
          <w:lang w:val="en-US"/>
        </w:rPr>
        <w:t xml:space="preserve">The term femicide </w:t>
      </w:r>
      <w:r>
        <w:rPr>
          <w:rFonts w:ascii="Times New Roman" w:hAnsi="Times New Roman" w:cs="Times New Roman"/>
          <w:lang w:val="en-US"/>
        </w:rPr>
        <w:t xml:space="preserve">has </w:t>
      </w:r>
      <w:r w:rsidR="00771BC6">
        <w:rPr>
          <w:rFonts w:ascii="Times New Roman" w:hAnsi="Times New Roman" w:cs="Times New Roman"/>
          <w:lang w:val="en-US"/>
        </w:rPr>
        <w:t xml:space="preserve">been introduced to highlight this distinction </w:t>
      </w:r>
      <w:r>
        <w:rPr>
          <w:rFonts w:ascii="Times New Roman" w:hAnsi="Times New Roman" w:cs="Times New Roman"/>
          <w:lang w:val="en-US"/>
        </w:rPr>
        <w:t xml:space="preserve"> </w:t>
      </w:r>
      <w:r>
        <w:rPr>
          <w:rFonts w:ascii="Times New Roman" w:hAnsi="Times New Roman" w:cs="Times New Roman"/>
          <w:lang w:val="en-US"/>
        </w:rPr>
        <w:fldChar w:fldCharType="begin">
          <w:fldData xml:space="preserve">PEVuZE5vdGU+PENpdGU+PEF1dGhvcj5NYXJjdWVsbG8tU2VydsOzczwvQXV0aG9yPjxZZWFyPjIw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PEVuZE5vdGU+PENpdGU+PEF1dGhvcj5NYXJjdWVsbG8tU2VydsOzczwvQXV0aG9yPjxZZWFyPjIw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Pr>
          <w:rFonts w:ascii="Times New Roman" w:hAnsi="Times New Roman" w:cs="Times New Roman"/>
          <w:lang w:val="en-US"/>
        </w:rPr>
      </w:r>
      <w:r>
        <w:rPr>
          <w:rFonts w:ascii="Times New Roman" w:hAnsi="Times New Roman" w:cs="Times New Roman"/>
          <w:lang w:val="en-US"/>
        </w:rPr>
        <w:fldChar w:fldCharType="separate"/>
      </w:r>
      <w:r>
        <w:rPr>
          <w:rFonts w:ascii="Times New Roman" w:hAnsi="Times New Roman" w:cs="Times New Roman"/>
          <w:noProof/>
          <w:lang w:val="en-US"/>
        </w:rPr>
        <w:t>(Marcuello-Servós, Corradi et al. 2016, Luque González, Apunte Guerra et al. 2022)</w:t>
      </w:r>
      <w:r>
        <w:rPr>
          <w:rFonts w:ascii="Times New Roman" w:hAnsi="Times New Roman" w:cs="Times New Roman"/>
          <w:lang w:val="en-US"/>
        </w:rPr>
        <w:fldChar w:fldCharType="end"/>
      </w:r>
      <w:r w:rsidR="00771BC6">
        <w:rPr>
          <w:rFonts w:ascii="Times New Roman" w:hAnsi="Times New Roman" w:cs="Times New Roman"/>
          <w:lang w:val="en-US"/>
        </w:rPr>
        <w:t xml:space="preserve"> and to emphasise that</w:t>
      </w:r>
      <w:r w:rsidR="00883CE9" w:rsidRPr="00883CE9">
        <w:rPr>
          <w:rFonts w:ascii="Times New Roman" w:hAnsi="Times New Roman" w:cs="Times New Roman"/>
          <w:lang w:val="en-US"/>
        </w:rPr>
        <w:t xml:space="preserve"> the perpetrator-victi</w:t>
      </w:r>
      <w:r w:rsidR="00871CE2">
        <w:rPr>
          <w:rFonts w:ascii="Times New Roman" w:hAnsi="Times New Roman" w:cs="Times New Roman"/>
          <w:lang w:val="en-US"/>
        </w:rPr>
        <w:t xml:space="preserve">m relationship varies greatly between femicide and homicide. </w:t>
      </w:r>
      <w:r w:rsidR="00771BC6">
        <w:rPr>
          <w:rFonts w:ascii="Times New Roman" w:hAnsi="Times New Roman" w:cs="Times New Roman"/>
          <w:lang w:val="en-US"/>
        </w:rPr>
        <w:t>In particular, w</w:t>
      </w:r>
      <w:r w:rsidR="00F038DF">
        <w:rPr>
          <w:rFonts w:ascii="Times New Roman" w:hAnsi="Times New Roman" w:cs="Times New Roman"/>
          <w:lang w:val="en-US"/>
        </w:rPr>
        <w:t xml:space="preserve">omen who are killed are </w:t>
      </w:r>
      <w:r w:rsidR="00771BC6">
        <w:rPr>
          <w:rFonts w:ascii="Times New Roman" w:hAnsi="Times New Roman" w:cs="Times New Roman"/>
          <w:lang w:val="en-US"/>
        </w:rPr>
        <w:t xml:space="preserve">very </w:t>
      </w:r>
      <w:r w:rsidR="00F038DF">
        <w:rPr>
          <w:rFonts w:ascii="Times New Roman" w:hAnsi="Times New Roman" w:cs="Times New Roman"/>
          <w:lang w:val="en-US"/>
        </w:rPr>
        <w:t xml:space="preserve"> likely to be killed by an i</w:t>
      </w:r>
      <w:r w:rsidR="00871CE2">
        <w:rPr>
          <w:rFonts w:ascii="Times New Roman" w:hAnsi="Times New Roman" w:cs="Times New Roman"/>
          <w:lang w:val="en-US"/>
        </w:rPr>
        <w:t>nt</w:t>
      </w:r>
      <w:r w:rsidR="00883CE9" w:rsidRPr="00883CE9">
        <w:rPr>
          <w:rFonts w:ascii="Times New Roman" w:hAnsi="Times New Roman" w:cs="Times New Roman"/>
          <w:lang w:val="en-US"/>
        </w:rPr>
        <w:t xml:space="preserve">imate partner </w:t>
      </w:r>
      <w:r w:rsidR="00F038DF">
        <w:rPr>
          <w:rFonts w:ascii="Times New Roman" w:hAnsi="Times New Roman" w:cs="Times New Roman"/>
          <w:lang w:val="en-US"/>
        </w:rPr>
        <w:t>(</w:t>
      </w:r>
      <w:r>
        <w:rPr>
          <w:rFonts w:ascii="Times New Roman" w:hAnsi="Times New Roman" w:cs="Times New Roman"/>
          <w:lang w:val="en-US"/>
        </w:rPr>
        <w:t>82</w:t>
      </w:r>
      <w:r w:rsidR="00883CE9" w:rsidRPr="00883CE9">
        <w:rPr>
          <w:rFonts w:ascii="Times New Roman" w:hAnsi="Times New Roman" w:cs="Times New Roman"/>
          <w:lang w:val="en-US"/>
        </w:rPr>
        <w:t>% of homicides with a female victim</w:t>
      </w:r>
      <w:r w:rsidR="00F038DF">
        <w:rPr>
          <w:rFonts w:ascii="Times New Roman" w:hAnsi="Times New Roman" w:cs="Times New Roman"/>
          <w:lang w:val="en-US"/>
        </w:rPr>
        <w:t>)</w:t>
      </w:r>
      <w:r w:rsidR="00A2445C">
        <w:rPr>
          <w:rFonts w:ascii="Times New Roman" w:hAnsi="Times New Roman" w:cs="Times New Roman"/>
          <w:lang w:val="en-US"/>
        </w:rPr>
        <w:t>,</w:t>
      </w:r>
      <w:r w:rsidR="00883CE9" w:rsidRPr="00883CE9">
        <w:rPr>
          <w:rFonts w:ascii="Times New Roman" w:hAnsi="Times New Roman" w:cs="Times New Roman"/>
          <w:lang w:val="en-US"/>
        </w:rPr>
        <w:t xml:space="preserve"> but </w:t>
      </w:r>
      <w:r w:rsidR="00F038DF">
        <w:rPr>
          <w:rFonts w:ascii="Times New Roman" w:hAnsi="Times New Roman" w:cs="Times New Roman"/>
          <w:lang w:val="en-US"/>
        </w:rPr>
        <w:t xml:space="preserve">this applies to less than a fifth (18%) of men who are killed </w:t>
      </w:r>
      <w:r>
        <w:rPr>
          <w:rFonts w:ascii="Times New Roman" w:hAnsi="Times New Roman" w:cs="Times New Roman"/>
          <w:lang w:val="en-US"/>
        </w:rPr>
        <w:fldChar w:fldCharType="begin"/>
      </w:r>
      <w:r w:rsidR="00D06A7A">
        <w:rPr>
          <w:rFonts w:ascii="Times New Roman" w:hAnsi="Times New Roman" w:cs="Times New Roman"/>
          <w:lang w:val="en-US"/>
        </w:rPr>
        <w:instrText xml:space="preserve"> ADDIN EN.CITE &lt;EndNote&gt;&lt;Cite&gt;&lt;Author&gt;UNODC&lt;/Author&gt;&lt;Year&gt;2019&lt;/Year&gt;&lt;RecNum&gt;3307&lt;/RecNum&gt;&lt;DisplayText&gt;(UNODC 2019)&lt;/DisplayText&gt;&lt;record&gt;&lt;rec-number&gt;3307&lt;/rec-number&gt;&lt;foreign-keys&gt;&lt;key app="EN" db-id="xeadttdpnf0vfgev2xzv2v9gvp92rp5tstes" timestamp="1649079269"&gt;3307&lt;/key&gt;&lt;/foreign-keys&gt;&lt;ref-type name="Report"&gt;27&lt;/ref-type&gt;&lt;contributors&gt;&lt;authors&gt;&lt;author&gt;UNODC&lt;/author&gt;&lt;/authors&gt;&lt;/contributors&gt;&lt;titles&gt;&lt;title&gt;Global Study on Homicide. Gender-related killing of women and girls&lt;/title&gt;&lt;/titles&gt;&lt;dates&gt;&lt;year&gt;2019&lt;/year&gt;&lt;/dates&gt;&lt;pub-location&gt;Vienna&lt;/pub-location&gt;&lt;publisher&gt;United Nations Office on Drugs and Crime,&lt;/publisher&gt;&lt;urls&gt;&lt;related-urls&gt;&lt;url&gt;https://www.unodc.org/documents/data-and-analysis/gsh/Booklet_5.pdf&lt;/url&gt;&lt;/related-urls&gt;&lt;/urls&gt;&lt;/record&gt;&lt;/Cite&gt;&lt;/EndNote&gt;</w:instrText>
      </w:r>
      <w:r>
        <w:rPr>
          <w:rFonts w:ascii="Times New Roman" w:hAnsi="Times New Roman" w:cs="Times New Roman"/>
          <w:lang w:val="en-US"/>
        </w:rPr>
        <w:fldChar w:fldCharType="separate"/>
      </w:r>
      <w:r w:rsidR="00D06A7A">
        <w:rPr>
          <w:rFonts w:ascii="Times New Roman" w:hAnsi="Times New Roman" w:cs="Times New Roman"/>
          <w:noProof/>
          <w:lang w:val="en-US"/>
        </w:rPr>
        <w:t>(UNODC 2019)</w:t>
      </w:r>
      <w:r>
        <w:rPr>
          <w:rFonts w:ascii="Times New Roman" w:hAnsi="Times New Roman" w:cs="Times New Roman"/>
          <w:lang w:val="en-US"/>
        </w:rPr>
        <w:fldChar w:fldCharType="end"/>
      </w:r>
      <w:r w:rsidR="00883CE9" w:rsidRPr="00883CE9">
        <w:rPr>
          <w:rFonts w:ascii="Times New Roman" w:hAnsi="Times New Roman" w:cs="Times New Roman"/>
          <w:lang w:val="en-US"/>
        </w:rPr>
        <w:t xml:space="preserve">. </w:t>
      </w:r>
      <w:r w:rsidR="00771BC6">
        <w:rPr>
          <w:rFonts w:ascii="Times New Roman" w:hAnsi="Times New Roman" w:cs="Times New Roman"/>
          <w:lang w:val="en-US"/>
        </w:rPr>
        <w:t xml:space="preserve">As a result of this </w:t>
      </w:r>
      <w:r w:rsidR="00041BE8">
        <w:rPr>
          <w:rFonts w:ascii="Times New Roman" w:hAnsi="Times New Roman" w:cs="Times New Roman"/>
          <w:lang w:val="en-US"/>
        </w:rPr>
        <w:t xml:space="preserve">recognition of separate dynamics, distinctive theoretical approaches have been applied to understanding femicide specifically </w:t>
      </w:r>
      <w:r w:rsidR="00771BC6" w:rsidRPr="00D53074">
        <w:rPr>
          <w:rFonts w:ascii="Times New Roman" w:hAnsi="Times New Roman" w:cs="Times New Roman"/>
          <w:lang w:val="en-US"/>
        </w:rPr>
        <w:t xml:space="preserve">including </w:t>
      </w:r>
      <w:r w:rsidR="00041BE8">
        <w:rPr>
          <w:rFonts w:ascii="Times New Roman" w:hAnsi="Times New Roman" w:cs="Times New Roman"/>
          <w:lang w:val="en-US"/>
        </w:rPr>
        <w:t xml:space="preserve">those based in </w:t>
      </w:r>
      <w:r w:rsidR="00771BC6" w:rsidRPr="00D53074">
        <w:rPr>
          <w:rFonts w:ascii="Times New Roman" w:hAnsi="Times New Roman" w:cs="Times New Roman"/>
          <w:lang w:val="en-US"/>
        </w:rPr>
        <w:t xml:space="preserve">feminist, human rights and decolonial </w:t>
      </w:r>
      <w:r w:rsidR="00041BE8">
        <w:rPr>
          <w:rFonts w:ascii="Times New Roman" w:hAnsi="Times New Roman" w:cs="Times New Roman"/>
          <w:lang w:val="en-US"/>
        </w:rPr>
        <w:t>perspectives</w:t>
      </w:r>
      <w:r w:rsidR="00771BC6" w:rsidRPr="00D53074">
        <w:rPr>
          <w:rFonts w:ascii="Times New Roman" w:hAnsi="Times New Roman" w:cs="Times New Roman"/>
          <w:lang w:val="en-US"/>
        </w:rPr>
        <w:t xml:space="preserve"> </w:t>
      </w:r>
      <w:r w:rsidR="00041BE8">
        <w:rPr>
          <w:rFonts w:ascii="Times New Roman" w:hAnsi="Times New Roman" w:cs="Times New Roman"/>
          <w:lang w:val="en-US"/>
        </w:rPr>
        <w:fldChar w:fldCharType="begin"/>
      </w:r>
      <w:r w:rsidR="00041BE8">
        <w:rPr>
          <w:rFonts w:ascii="Times New Roman" w:hAnsi="Times New Roman" w:cs="Times New Roman"/>
          <w:lang w:val="en-US"/>
        </w:rPr>
        <w:instrText xml:space="preserve"> ADDIN EN.CITE &lt;EndNote&gt;&lt;Cite&gt;&lt;Author&gt;Corradi&lt;/Author&gt;&lt;Year&gt;2016&lt;/Year&gt;&lt;RecNum&gt;3321&lt;/RecNum&gt;&lt;DisplayText&gt;(Corradi, Marcuello-Servós et al. 2016)&lt;/DisplayText&gt;&lt;record&gt;&lt;rec-number&gt;3321&lt;/rec-number&gt;&lt;foreign-keys&gt;&lt;key app="EN" db-id="xeadttdpnf0vfgev2xzv2v9gvp92rp5tstes" timestamp="1655218381"&gt;3321&lt;/key&gt;&lt;/foreign-keys&gt;&lt;ref-type name="Journal Article"&gt;17&lt;/ref-type&gt;&lt;contributors&gt;&lt;authors&gt;&lt;author&gt;Corradi, Consuelo&lt;/author&gt;&lt;author&gt;Marcuello-Servós, Chaime&lt;/author&gt;&lt;author&gt;Boira, Santiago&lt;/author&gt;&lt;author&gt;Weil, Shalva&lt;/author&gt;&lt;/authors&gt;&lt;/contributors&gt;&lt;titles&gt;&lt;title&gt;Theories of femicide and their significance for social research&lt;/title&gt;&lt;secondary-title&gt;Current Sociology&lt;/secondary-title&gt;&lt;/titles&gt;&lt;periodical&gt;&lt;full-title&gt;Current Sociology&lt;/full-title&gt;&lt;/periodical&gt;&lt;pages&gt;975-995&lt;/pages&gt;&lt;volume&gt;64&lt;/volume&gt;&lt;number&gt;7&lt;/number&gt;&lt;keywords&gt;&lt;keyword&gt;Female homicide victimization,femicide,feminicidio,theories of violence,violence against women&lt;/keyword&gt;&lt;/keywords&gt;&lt;dates&gt;&lt;year&gt;2016&lt;/year&gt;&lt;/dates&gt;&lt;urls&gt;&lt;related-urls&gt;&lt;url&gt;https://journals.sagepub.com/doi/abs/10.1177/0011392115622256&lt;/url&gt;&lt;/related-urls&gt;&lt;/urls&gt;&lt;electronic-resource-num&gt;10.1177/0011392115622256&lt;/electronic-resource-num&gt;&lt;/record&gt;&lt;/Cite&gt;&lt;/EndNote&gt;</w:instrText>
      </w:r>
      <w:r w:rsidR="00041BE8">
        <w:rPr>
          <w:rFonts w:ascii="Times New Roman" w:hAnsi="Times New Roman" w:cs="Times New Roman"/>
          <w:lang w:val="en-US"/>
        </w:rPr>
        <w:fldChar w:fldCharType="separate"/>
      </w:r>
      <w:r w:rsidR="00041BE8">
        <w:rPr>
          <w:rFonts w:ascii="Times New Roman" w:hAnsi="Times New Roman" w:cs="Times New Roman"/>
          <w:noProof/>
          <w:lang w:val="en-US"/>
        </w:rPr>
        <w:t>(Corradi, Marcuello-Servós et al. 2016)</w:t>
      </w:r>
      <w:r w:rsidR="00041BE8">
        <w:rPr>
          <w:rFonts w:ascii="Times New Roman" w:hAnsi="Times New Roman" w:cs="Times New Roman"/>
          <w:lang w:val="en-US"/>
        </w:rPr>
        <w:fldChar w:fldCharType="end"/>
      </w:r>
      <w:r w:rsidR="00771BC6" w:rsidRPr="00D53074">
        <w:rPr>
          <w:rFonts w:ascii="Times New Roman" w:hAnsi="Times New Roman" w:cs="Times New Roman"/>
          <w:lang w:val="en-US"/>
        </w:rPr>
        <w:t>.</w:t>
      </w:r>
    </w:p>
    <w:p w14:paraId="7F13148F" w14:textId="7FA904F8" w:rsidR="007356C6" w:rsidRDefault="00883CE9" w:rsidP="007356C6">
      <w:pPr>
        <w:spacing w:line="360" w:lineRule="auto"/>
        <w:jc w:val="both"/>
        <w:rPr>
          <w:rFonts w:ascii="Times New Roman" w:hAnsi="Times New Roman" w:cs="Times New Roman"/>
          <w:lang w:val="en-US"/>
        </w:rPr>
      </w:pPr>
      <w:r w:rsidRPr="00883CE9">
        <w:rPr>
          <w:rFonts w:ascii="Times New Roman" w:hAnsi="Times New Roman" w:cs="Times New Roman"/>
          <w:lang w:val="en-US"/>
        </w:rPr>
        <w:t>Whilst the g</w:t>
      </w:r>
      <w:r w:rsidR="00871CE2">
        <w:rPr>
          <w:rFonts w:ascii="Times New Roman" w:hAnsi="Times New Roman" w:cs="Times New Roman"/>
          <w:lang w:val="en-US"/>
        </w:rPr>
        <w:t xml:space="preserve">lobal femicide rate </w:t>
      </w:r>
      <w:r w:rsidRPr="00883CE9">
        <w:rPr>
          <w:rFonts w:ascii="Times New Roman" w:hAnsi="Times New Roman" w:cs="Times New Roman"/>
          <w:lang w:val="en-US"/>
        </w:rPr>
        <w:t>overall is abo</w:t>
      </w:r>
      <w:r w:rsidR="00871CE2">
        <w:rPr>
          <w:rFonts w:ascii="Times New Roman" w:hAnsi="Times New Roman" w:cs="Times New Roman"/>
          <w:lang w:val="en-US"/>
        </w:rPr>
        <w:t xml:space="preserve">ut one fifth of that </w:t>
      </w:r>
      <w:r w:rsidR="00D06A7A">
        <w:rPr>
          <w:rFonts w:ascii="Times New Roman" w:hAnsi="Times New Roman" w:cs="Times New Roman"/>
          <w:lang w:val="en-US"/>
        </w:rPr>
        <w:t xml:space="preserve">for </w:t>
      </w:r>
      <w:r w:rsidR="007356C6">
        <w:rPr>
          <w:rFonts w:ascii="Times New Roman" w:hAnsi="Times New Roman" w:cs="Times New Roman"/>
          <w:lang w:val="en-US"/>
        </w:rPr>
        <w:t xml:space="preserve">homicide </w:t>
      </w:r>
      <w:r w:rsidR="00871CE2">
        <w:rPr>
          <w:rFonts w:ascii="Times New Roman" w:hAnsi="Times New Roman" w:cs="Times New Roman"/>
          <w:lang w:val="en-US"/>
        </w:rPr>
        <w:t>for males</w:t>
      </w:r>
      <w:r w:rsidR="007356C6">
        <w:rPr>
          <w:rFonts w:ascii="Times New Roman" w:hAnsi="Times New Roman" w:cs="Times New Roman"/>
          <w:lang w:val="en-US"/>
        </w:rPr>
        <w:t xml:space="preserve"> </w:t>
      </w:r>
      <w:r w:rsidR="007356C6">
        <w:rPr>
          <w:rFonts w:ascii="Times New Roman" w:hAnsi="Times New Roman" w:cs="Times New Roman"/>
          <w:lang w:val="en-US"/>
        </w:rPr>
        <w:fldChar w:fldCharType="begin"/>
      </w:r>
      <w:r w:rsidR="007356C6">
        <w:rPr>
          <w:rFonts w:ascii="Times New Roman" w:hAnsi="Times New Roman" w:cs="Times New Roman"/>
          <w:lang w:val="en-US"/>
        </w:rPr>
        <w:instrText xml:space="preserve"> ADDIN EN.CITE &lt;EndNote&gt;&lt;Cite&gt;&lt;Author&gt;World Health Organisation&lt;/Author&gt;&lt;Year&gt;2017&lt;/Year&gt;&lt;RecNum&gt;2182&lt;/RecNum&gt;&lt;DisplayText&gt;(World Health Organisation 2017)&lt;/DisplayText&gt;&lt;record&gt;&lt;rec-number&gt;2182&lt;/rec-number&gt;&lt;foreign-keys&gt;&lt;key app="EN" db-id="xeadttdpnf0vfgev2xzv2v9gvp92rp5tstes" timestamp="0"&gt;2182&lt;/key&gt;&lt;/foreign-keys&gt;&lt;ref-type name="Web Page"&gt;12&lt;/ref-type&gt;&lt;contributors&gt;&lt;authors&gt;&lt;author&gt;World Health Organisation,&lt;/author&gt;&lt;/authors&gt;&lt;/contributors&gt;&lt;titles&gt;&lt;title&gt;Global Campaign for Violence Prevention&lt;/title&gt;&lt;/titles&gt;&lt;dates&gt;&lt;year&gt;2017&lt;/year&gt;&lt;/dates&gt;&lt;urls&gt;&lt;related-urls&gt;&lt;url&gt;http://www.who.int/violence_injury_prevention/violence/global_campaign/en/&lt;/url&gt;&lt;/related-urls&gt;&lt;/urls&gt;&lt;/record&gt;&lt;/Cite&gt;&lt;/EndNote&gt;</w:instrText>
      </w:r>
      <w:r w:rsidR="007356C6">
        <w:rPr>
          <w:rFonts w:ascii="Times New Roman" w:hAnsi="Times New Roman" w:cs="Times New Roman"/>
          <w:lang w:val="en-US"/>
        </w:rPr>
        <w:fldChar w:fldCharType="separate"/>
      </w:r>
      <w:r w:rsidR="007356C6">
        <w:rPr>
          <w:rFonts w:ascii="Times New Roman" w:hAnsi="Times New Roman" w:cs="Times New Roman"/>
          <w:noProof/>
          <w:lang w:val="en-US"/>
        </w:rPr>
        <w:t>(World Health Organisation 2017)</w:t>
      </w:r>
      <w:r w:rsidR="007356C6">
        <w:rPr>
          <w:rFonts w:ascii="Times New Roman" w:hAnsi="Times New Roman" w:cs="Times New Roman"/>
          <w:lang w:val="en-US"/>
        </w:rPr>
        <w:fldChar w:fldCharType="end"/>
      </w:r>
      <w:r w:rsidR="00A2445C">
        <w:rPr>
          <w:rFonts w:ascii="Times New Roman" w:hAnsi="Times New Roman" w:cs="Times New Roman"/>
          <w:lang w:val="en-US"/>
        </w:rPr>
        <w:t>,</w:t>
      </w:r>
      <w:r w:rsidR="00871CE2">
        <w:rPr>
          <w:rFonts w:ascii="Times New Roman" w:hAnsi="Times New Roman" w:cs="Times New Roman"/>
          <w:lang w:val="en-US"/>
        </w:rPr>
        <w:t xml:space="preserve"> it is </w:t>
      </w:r>
      <w:r w:rsidR="00D06A7A">
        <w:rPr>
          <w:rFonts w:ascii="Times New Roman" w:hAnsi="Times New Roman" w:cs="Times New Roman"/>
          <w:lang w:val="en-US"/>
        </w:rPr>
        <w:t xml:space="preserve">still </w:t>
      </w:r>
      <w:r w:rsidRPr="00883CE9">
        <w:rPr>
          <w:rFonts w:ascii="Times New Roman" w:hAnsi="Times New Roman" w:cs="Times New Roman"/>
          <w:lang w:val="en-US"/>
        </w:rPr>
        <w:t xml:space="preserve">estimated that </w:t>
      </w:r>
      <w:r w:rsidR="00792F35">
        <w:rPr>
          <w:rFonts w:ascii="Times New Roman" w:hAnsi="Times New Roman" w:cs="Times New Roman"/>
          <w:lang w:val="en-US"/>
        </w:rPr>
        <w:t xml:space="preserve">about 81,000 </w:t>
      </w:r>
      <w:r w:rsidRPr="00883CE9">
        <w:rPr>
          <w:rFonts w:ascii="Times New Roman" w:hAnsi="Times New Roman" w:cs="Times New Roman"/>
          <w:lang w:val="en-US"/>
        </w:rPr>
        <w:t xml:space="preserve"> women and girls </w:t>
      </w:r>
      <w:r w:rsidR="00792F35">
        <w:rPr>
          <w:rFonts w:ascii="Times New Roman" w:hAnsi="Times New Roman" w:cs="Times New Roman"/>
          <w:lang w:val="en-US"/>
        </w:rPr>
        <w:t xml:space="preserve">were </w:t>
      </w:r>
      <w:r w:rsidRPr="00883CE9">
        <w:rPr>
          <w:rFonts w:ascii="Times New Roman" w:hAnsi="Times New Roman" w:cs="Times New Roman"/>
          <w:lang w:val="en-US"/>
        </w:rPr>
        <w:t xml:space="preserve"> killed </w:t>
      </w:r>
      <w:r w:rsidR="00792F35">
        <w:rPr>
          <w:rFonts w:ascii="Times New Roman" w:hAnsi="Times New Roman" w:cs="Times New Roman"/>
          <w:lang w:val="en-US"/>
        </w:rPr>
        <w:t xml:space="preserve">in 2020, with 58% of these deaths being inflicted by an intimate partner </w:t>
      </w:r>
      <w:r w:rsidR="00792F35">
        <w:rPr>
          <w:rFonts w:ascii="Times New Roman" w:hAnsi="Times New Roman" w:cs="Times New Roman"/>
          <w:lang w:val="en-US"/>
        </w:rPr>
        <w:fldChar w:fldCharType="begin"/>
      </w:r>
      <w:r w:rsidR="00792F35">
        <w:rPr>
          <w:rFonts w:ascii="Times New Roman" w:hAnsi="Times New Roman" w:cs="Times New Roman"/>
          <w:lang w:val="en-US"/>
        </w:rPr>
        <w:instrText xml:space="preserve"> ADDIN EN.CITE &lt;EndNote&gt;&lt;Cite&gt;&lt;Author&gt;UNODC&lt;/Author&gt;&lt;Year&gt;2022&lt;/Year&gt;&lt;RecNum&gt;3313&lt;/RecNum&gt;&lt;DisplayText&gt;(UNODC 2022)&lt;/DisplayText&gt;&lt;record&gt;&lt;rec-number&gt;3313&lt;/rec-number&gt;&lt;foreign-keys&gt;&lt;key app="EN" db-id="xeadttdpnf0vfgev2xzv2v9gvp92rp5tstes" timestamp="1649236265"&gt;3313&lt;/key&gt;&lt;/foreign-keys&gt;&lt;ref-type name="Web Page"&gt;12&lt;/ref-type&gt;&lt;contributors&gt;&lt;authors&gt;&lt;author&gt;UNODC&lt;/author&gt;&lt;/authors&gt;&lt;/contributors&gt;&lt;titles&gt;&lt;title&gt;The 2018 United Nations Survey of Crime Trends and Operations of Criminal Justice Systems (2018 UN-CTS)&lt;/title&gt;&lt;/titles&gt;&lt;volume&gt;2022&lt;/volume&gt;&lt;number&gt;06/04/22&lt;/number&gt;&lt;dates&gt;&lt;year&gt;2022&lt;/year&gt;&lt;/dates&gt;&lt;urls&gt;&lt;related-urls&gt;&lt;url&gt;https://www.unodc.org/unodc/en/data-and-analysis/statistics/crime/cts-data-collection.html&lt;/url&gt;&lt;/related-urls&gt;&lt;/urls&gt;&lt;/record&gt;&lt;/Cite&gt;&lt;/EndNote&gt;</w:instrText>
      </w:r>
      <w:r w:rsidR="00792F35">
        <w:rPr>
          <w:rFonts w:ascii="Times New Roman" w:hAnsi="Times New Roman" w:cs="Times New Roman"/>
          <w:lang w:val="en-US"/>
        </w:rPr>
        <w:fldChar w:fldCharType="separate"/>
      </w:r>
      <w:r w:rsidR="00792F35">
        <w:rPr>
          <w:rFonts w:ascii="Times New Roman" w:hAnsi="Times New Roman" w:cs="Times New Roman"/>
          <w:noProof/>
          <w:lang w:val="en-US"/>
        </w:rPr>
        <w:t>(UNODC 2022)</w:t>
      </w:r>
      <w:r w:rsidR="00792F35">
        <w:rPr>
          <w:rFonts w:ascii="Times New Roman" w:hAnsi="Times New Roman" w:cs="Times New Roman"/>
          <w:lang w:val="en-US"/>
        </w:rPr>
        <w:fldChar w:fldCharType="end"/>
      </w:r>
      <w:r w:rsidR="00792F35">
        <w:rPr>
          <w:rFonts w:ascii="Times New Roman" w:hAnsi="Times New Roman" w:cs="Times New Roman"/>
          <w:lang w:val="en-US"/>
        </w:rPr>
        <w:t xml:space="preserve">. </w:t>
      </w:r>
      <w:r w:rsidR="00041BE8">
        <w:rPr>
          <w:rFonts w:ascii="Times New Roman" w:hAnsi="Times New Roman" w:cs="Times New Roman"/>
          <w:lang w:val="en-US"/>
        </w:rPr>
        <w:t>Within this overall global picture, f</w:t>
      </w:r>
      <w:r w:rsidR="00DB0B23">
        <w:rPr>
          <w:rFonts w:ascii="Times New Roman" w:hAnsi="Times New Roman" w:cs="Times New Roman"/>
          <w:lang w:val="en-US"/>
        </w:rPr>
        <w:t>emicide rates are</w:t>
      </w:r>
      <w:r w:rsidRPr="00883CE9">
        <w:rPr>
          <w:rFonts w:ascii="Times New Roman" w:hAnsi="Times New Roman" w:cs="Times New Roman"/>
          <w:lang w:val="en-US"/>
        </w:rPr>
        <w:t xml:space="preserve"> highl</w:t>
      </w:r>
      <w:r w:rsidR="00DB0B23">
        <w:rPr>
          <w:rFonts w:ascii="Times New Roman" w:hAnsi="Times New Roman" w:cs="Times New Roman"/>
          <w:lang w:val="en-US"/>
        </w:rPr>
        <w:t xml:space="preserve">y variable </w:t>
      </w:r>
      <w:r w:rsidR="00041BE8">
        <w:rPr>
          <w:rFonts w:ascii="Times New Roman" w:hAnsi="Times New Roman" w:cs="Times New Roman"/>
          <w:lang w:val="en-US"/>
        </w:rPr>
        <w:t xml:space="preserve">between </w:t>
      </w:r>
      <w:r w:rsidR="00DB0B23">
        <w:rPr>
          <w:rFonts w:ascii="Times New Roman" w:hAnsi="Times New Roman" w:cs="Times New Roman"/>
          <w:lang w:val="en-US"/>
        </w:rPr>
        <w:t xml:space="preserve"> </w:t>
      </w:r>
      <w:r w:rsidR="00A2445C">
        <w:rPr>
          <w:rFonts w:ascii="Times New Roman" w:hAnsi="Times New Roman" w:cs="Times New Roman"/>
          <w:lang w:val="en-US"/>
        </w:rPr>
        <w:t>countries but</w:t>
      </w:r>
      <w:r w:rsidRPr="00883CE9">
        <w:rPr>
          <w:rFonts w:ascii="Times New Roman" w:hAnsi="Times New Roman" w:cs="Times New Roman"/>
          <w:lang w:val="en-US"/>
        </w:rPr>
        <w:t xml:space="preserve"> </w:t>
      </w:r>
      <w:r w:rsidR="00041BE8">
        <w:rPr>
          <w:rFonts w:ascii="Times New Roman" w:hAnsi="Times New Roman" w:cs="Times New Roman"/>
          <w:lang w:val="en-US"/>
        </w:rPr>
        <w:t xml:space="preserve">they </w:t>
      </w:r>
      <w:r w:rsidR="00D06A7A">
        <w:rPr>
          <w:rFonts w:ascii="Times New Roman" w:hAnsi="Times New Roman" w:cs="Times New Roman"/>
          <w:lang w:val="en-US"/>
        </w:rPr>
        <w:t xml:space="preserve">have been </w:t>
      </w:r>
      <w:r w:rsidRPr="00883CE9">
        <w:rPr>
          <w:rFonts w:ascii="Times New Roman" w:hAnsi="Times New Roman" w:cs="Times New Roman"/>
          <w:lang w:val="en-US"/>
        </w:rPr>
        <w:t>quite stable over time. Several countries in South and Central America (e.g. El Salvador, Guatemala, Guyana) have the h</w:t>
      </w:r>
      <w:r w:rsidR="00DB0B23">
        <w:rPr>
          <w:rFonts w:ascii="Times New Roman" w:hAnsi="Times New Roman" w:cs="Times New Roman"/>
          <w:lang w:val="en-US"/>
        </w:rPr>
        <w:t>ighest rates globally with more than</w:t>
      </w:r>
      <w:r w:rsidRPr="00883CE9">
        <w:rPr>
          <w:rFonts w:ascii="Times New Roman" w:hAnsi="Times New Roman" w:cs="Times New Roman"/>
          <w:lang w:val="en-US"/>
        </w:rPr>
        <w:t xml:space="preserve"> 8/1</w:t>
      </w:r>
      <w:r w:rsidR="00DB0B23">
        <w:rPr>
          <w:rFonts w:ascii="Times New Roman" w:hAnsi="Times New Roman" w:cs="Times New Roman"/>
          <w:lang w:val="en-US"/>
        </w:rPr>
        <w:t>00,000 of the female population</w:t>
      </w:r>
      <w:r w:rsidR="00D06A7A">
        <w:rPr>
          <w:rFonts w:ascii="Times New Roman" w:hAnsi="Times New Roman" w:cs="Times New Roman"/>
          <w:lang w:val="en-US"/>
        </w:rPr>
        <w:t xml:space="preserve"> subjected to </w:t>
      </w:r>
      <w:r w:rsidR="00801813">
        <w:rPr>
          <w:rFonts w:ascii="Times New Roman" w:hAnsi="Times New Roman" w:cs="Times New Roman"/>
          <w:lang w:val="en-US"/>
        </w:rPr>
        <w:t xml:space="preserve">lethal violence </w:t>
      </w:r>
      <w:r w:rsidR="007356C6">
        <w:rPr>
          <w:rFonts w:ascii="Times New Roman" w:hAnsi="Times New Roman" w:cs="Times New Roman"/>
          <w:lang w:val="en-US"/>
        </w:rPr>
        <w:t xml:space="preserve"> </w:t>
      </w:r>
      <w:r w:rsidR="007356C6">
        <w:rPr>
          <w:rFonts w:ascii="Times New Roman" w:hAnsi="Times New Roman" w:cs="Times New Roman"/>
          <w:lang w:val="en-US"/>
        </w:rPr>
        <w:fldChar w:fldCharType="begin"/>
      </w:r>
      <w:r w:rsidR="007356C6">
        <w:rPr>
          <w:rFonts w:ascii="Times New Roman" w:hAnsi="Times New Roman" w:cs="Times New Roman"/>
          <w:lang w:val="en-US"/>
        </w:rPr>
        <w:instrText xml:space="preserve"> ADDIN EN.CITE &lt;EndNote&gt;&lt;Cite&gt;&lt;Author&gt;Nowak&lt;/Author&gt;&lt;Year&gt;2012&lt;/Year&gt;&lt;RecNum&gt;3308&lt;/RecNum&gt;&lt;DisplayText&gt;(Nowak 2012)&lt;/DisplayText&gt;&lt;record&gt;&lt;rec-number&gt;3308&lt;/rec-number&gt;&lt;foreign-keys&gt;&lt;key app="EN" db-id="xeadttdpnf0vfgev2xzv2v9gvp92rp5tstes" timestamp="1649080362"&gt;3308&lt;/key&gt;&lt;/foreign-keys&gt;&lt;ref-type name="Report"&gt;27&lt;/ref-type&gt;&lt;contributors&gt;&lt;authors&gt;&lt;author&gt;Nowak, Matthias&lt;/author&gt;&lt;/authors&gt;&lt;tertiary-authors&gt;&lt;author&gt;Small Arms Survey&lt;/author&gt;&lt;/tertiary-authors&gt;&lt;/contributors&gt;&lt;titles&gt;&lt;title&gt;Femicide: A Global Problem (Research Note 14)&lt;/title&gt;&lt;/titles&gt;&lt;dates&gt;&lt;year&gt;2012&lt;/year&gt;&lt;/dates&gt;&lt;pub-location&gt;Geneva&lt;/pub-location&gt;&lt;urls&gt;&lt;related-urls&gt;&lt;url&gt;https://www.smallarmssurvey.org/resource/femicide-global-problem-research-note-14&lt;/url&gt;&lt;/related-urls&gt;&lt;/urls&gt;&lt;/record&gt;&lt;/Cite&gt;&lt;/EndNote&gt;</w:instrText>
      </w:r>
      <w:r w:rsidR="007356C6">
        <w:rPr>
          <w:rFonts w:ascii="Times New Roman" w:hAnsi="Times New Roman" w:cs="Times New Roman"/>
          <w:lang w:val="en-US"/>
        </w:rPr>
        <w:fldChar w:fldCharType="separate"/>
      </w:r>
      <w:r w:rsidR="007356C6">
        <w:rPr>
          <w:rFonts w:ascii="Times New Roman" w:hAnsi="Times New Roman" w:cs="Times New Roman"/>
          <w:noProof/>
          <w:lang w:val="en-US"/>
        </w:rPr>
        <w:t>(Nowak 2012)</w:t>
      </w:r>
      <w:r w:rsidR="007356C6">
        <w:rPr>
          <w:rFonts w:ascii="Times New Roman" w:hAnsi="Times New Roman" w:cs="Times New Roman"/>
          <w:lang w:val="en-US"/>
        </w:rPr>
        <w:fldChar w:fldCharType="end"/>
      </w:r>
      <w:r w:rsidRPr="00883CE9">
        <w:rPr>
          <w:rFonts w:ascii="Times New Roman" w:hAnsi="Times New Roman" w:cs="Times New Roman"/>
          <w:lang w:val="en-US"/>
        </w:rPr>
        <w:t>.</w:t>
      </w:r>
      <w:r w:rsidR="007356C6">
        <w:rPr>
          <w:rFonts w:ascii="Times New Roman" w:hAnsi="Times New Roman" w:cs="Times New Roman"/>
          <w:lang w:val="en-US"/>
        </w:rPr>
        <w:t xml:space="preserve"> The worldwide femicide rate for girls aged 0-14 years remained below 1/100,000 in the period 2008-17 but that for females aged 15-29 years increased somewhat over the same time period </w:t>
      </w:r>
      <w:r w:rsidR="007356C6">
        <w:rPr>
          <w:rFonts w:ascii="Times New Roman" w:hAnsi="Times New Roman" w:cs="Times New Roman"/>
          <w:lang w:val="en-US"/>
        </w:rPr>
        <w:fldChar w:fldCharType="begin"/>
      </w:r>
      <w:r w:rsidR="00D06A7A">
        <w:rPr>
          <w:rFonts w:ascii="Times New Roman" w:hAnsi="Times New Roman" w:cs="Times New Roman"/>
          <w:lang w:val="en-US"/>
        </w:rPr>
        <w:instrText xml:space="preserve"> ADDIN EN.CITE &lt;EndNote&gt;&lt;Cite&gt;&lt;Author&gt;UNODC&lt;/Author&gt;&lt;Year&gt;2019&lt;/Year&gt;&lt;RecNum&gt;3307&lt;/RecNum&gt;&lt;DisplayText&gt;(UNODC 2019)&lt;/DisplayText&gt;&lt;record&gt;&lt;rec-number&gt;3307&lt;/rec-number&gt;&lt;foreign-keys&gt;&lt;key app="EN" db-id="xeadttdpnf0vfgev2xzv2v9gvp92rp5tstes" timestamp="1649079269"&gt;3307&lt;/key&gt;&lt;/foreign-keys&gt;&lt;ref-type name="Report"&gt;27&lt;/ref-type&gt;&lt;contributors&gt;&lt;authors&gt;&lt;author&gt;UNODC&lt;/author&gt;&lt;/authors&gt;&lt;/contributors&gt;&lt;titles&gt;&lt;title&gt;Global Study on Homicide. Gender-related killing of women and girls&lt;/title&gt;&lt;/titles&gt;&lt;dates&gt;&lt;year&gt;2019&lt;/year&gt;&lt;/dates&gt;&lt;pub-location&gt;Vienna&lt;/pub-location&gt;&lt;publisher&gt;United Nations Office on Drugs and Crime,&lt;/publisher&gt;&lt;urls&gt;&lt;related-urls&gt;&lt;url&gt;https://www.unodc.org/documents/data-and-analysis/gsh/Booklet_5.pdf&lt;/url&gt;&lt;/related-urls&gt;&lt;/urls&gt;&lt;/record&gt;&lt;/Cite&gt;&lt;/EndNote&gt;</w:instrText>
      </w:r>
      <w:r w:rsidR="007356C6">
        <w:rPr>
          <w:rFonts w:ascii="Times New Roman" w:hAnsi="Times New Roman" w:cs="Times New Roman"/>
          <w:lang w:val="en-US"/>
        </w:rPr>
        <w:fldChar w:fldCharType="separate"/>
      </w:r>
      <w:r w:rsidR="00D06A7A">
        <w:rPr>
          <w:rFonts w:ascii="Times New Roman" w:hAnsi="Times New Roman" w:cs="Times New Roman"/>
          <w:noProof/>
          <w:lang w:val="en-US"/>
        </w:rPr>
        <w:t>(UNODC 2019)</w:t>
      </w:r>
      <w:r w:rsidR="007356C6">
        <w:rPr>
          <w:rFonts w:ascii="Times New Roman" w:hAnsi="Times New Roman" w:cs="Times New Roman"/>
          <w:lang w:val="en-US"/>
        </w:rPr>
        <w:fldChar w:fldCharType="end"/>
      </w:r>
      <w:r w:rsidR="007356C6">
        <w:rPr>
          <w:rFonts w:ascii="Times New Roman" w:hAnsi="Times New Roman" w:cs="Times New Roman"/>
          <w:lang w:val="en-US"/>
        </w:rPr>
        <w:t>.</w:t>
      </w:r>
      <w:r w:rsidR="00DB0B23">
        <w:rPr>
          <w:rFonts w:ascii="Times New Roman" w:hAnsi="Times New Roman" w:cs="Times New Roman"/>
          <w:lang w:val="en-US"/>
        </w:rPr>
        <w:t xml:space="preserve"> </w:t>
      </w:r>
      <w:r w:rsidRPr="00883CE9">
        <w:rPr>
          <w:rFonts w:ascii="Times New Roman" w:hAnsi="Times New Roman" w:cs="Times New Roman"/>
          <w:lang w:val="en-US"/>
        </w:rPr>
        <w:t xml:space="preserve">The </w:t>
      </w:r>
      <w:r w:rsidR="00617B2C">
        <w:rPr>
          <w:rFonts w:ascii="Times New Roman" w:hAnsi="Times New Roman" w:cs="Times New Roman"/>
          <w:lang w:val="en-US"/>
        </w:rPr>
        <w:t xml:space="preserve">temporal </w:t>
      </w:r>
      <w:r w:rsidRPr="00883CE9">
        <w:rPr>
          <w:rFonts w:ascii="Times New Roman" w:hAnsi="Times New Roman" w:cs="Times New Roman"/>
          <w:lang w:val="en-US"/>
        </w:rPr>
        <w:t xml:space="preserve">pattern is complex and </w:t>
      </w:r>
      <w:r w:rsidR="00617B2C">
        <w:rPr>
          <w:rFonts w:ascii="Times New Roman" w:hAnsi="Times New Roman" w:cs="Times New Roman"/>
          <w:lang w:val="en-US"/>
        </w:rPr>
        <w:t xml:space="preserve">again </w:t>
      </w:r>
      <w:r w:rsidRPr="00883CE9">
        <w:rPr>
          <w:rFonts w:ascii="Times New Roman" w:hAnsi="Times New Roman" w:cs="Times New Roman"/>
          <w:lang w:val="en-US"/>
        </w:rPr>
        <w:t>country-specific. South Africa</w:t>
      </w:r>
      <w:r w:rsidR="007356C6">
        <w:rPr>
          <w:rFonts w:ascii="Times New Roman" w:hAnsi="Times New Roman" w:cs="Times New Roman"/>
          <w:lang w:val="en-US"/>
        </w:rPr>
        <w:t>, for example,</w:t>
      </w:r>
      <w:r w:rsidRPr="00883CE9">
        <w:rPr>
          <w:rFonts w:ascii="Times New Roman" w:hAnsi="Times New Roman" w:cs="Times New Roman"/>
          <w:lang w:val="en-US"/>
        </w:rPr>
        <w:t xml:space="preserve"> had very high femicide rates in the period 2004-9 but this rate was significantly lower in this period than it had been in the 1990’s</w:t>
      </w:r>
      <w:r w:rsidR="007356C6">
        <w:rPr>
          <w:rFonts w:ascii="Times New Roman" w:hAnsi="Times New Roman" w:cs="Times New Roman"/>
          <w:lang w:val="en-US"/>
        </w:rPr>
        <w:t xml:space="preserve"> </w:t>
      </w:r>
      <w:r w:rsidR="007356C6">
        <w:rPr>
          <w:rFonts w:ascii="Times New Roman" w:hAnsi="Times New Roman" w:cs="Times New Roman"/>
          <w:lang w:val="en-US"/>
        </w:rPr>
        <w:fldChar w:fldCharType="begin"/>
      </w:r>
      <w:r w:rsidR="007356C6">
        <w:rPr>
          <w:rFonts w:ascii="Times New Roman" w:hAnsi="Times New Roman" w:cs="Times New Roman"/>
          <w:lang w:val="en-US"/>
        </w:rPr>
        <w:instrText xml:space="preserve"> ADDIN EN.CITE &lt;EndNote&gt;&lt;Cite&gt;&lt;Author&gt;Abrahams&lt;/Author&gt;&lt;Year&gt;2013&lt;/Year&gt;&lt;RecNum&gt;3309&lt;/RecNum&gt;&lt;DisplayText&gt;(Abrahams, Mathews et al. 2013)&lt;/DisplayText&gt;&lt;record&gt;&lt;rec-number&gt;3309&lt;/rec-number&gt;&lt;foreign-keys&gt;&lt;key app="EN" db-id="xeadttdpnf0vfgev2xzv2v9gvp92rp5tstes" timestamp="1649081209"&gt;3309&lt;/key&gt;&lt;/foreign-keys&gt;&lt;ref-type name="Journal Article"&gt;17&lt;/ref-type&gt;&lt;contributors&gt;&lt;authors&gt;&lt;author&gt;Abrahams, Naeemah&lt;/author&gt;&lt;author&gt;Mathews, Shanaaz&lt;/author&gt;&lt;author&gt;Martin, Lorna J.&lt;/author&gt;&lt;author&gt;Lombard, Carl&lt;/author&gt;&lt;author&gt;Jewkes, Rachel&lt;/author&gt;&lt;/authors&gt;&lt;/contributors&gt;&lt;titles&gt;&lt;title&gt;Intimate Partner Femicide in South Africa in 1999 and 2009&lt;/title&gt;&lt;secondary-title&gt;PLOS Medicine&lt;/secondary-title&gt;&lt;/titles&gt;&lt;periodical&gt;&lt;full-title&gt;PLOS Medicine&lt;/full-title&gt;&lt;/periodical&gt;&lt;pages&gt;e1001412&lt;/pages&gt;&lt;volume&gt;10&lt;/volume&gt;&lt;number&gt;4&lt;/number&gt;&lt;dates&gt;&lt;year&gt;2013&lt;/year&gt;&lt;/dates&gt;&lt;publisher&gt;Public Library of Science&lt;/publisher&gt;&lt;urls&gt;&lt;related-urls&gt;&lt;url&gt;https://doi.org/10.1371/journal.pmed.1001412&lt;/url&gt;&lt;/related-urls&gt;&lt;/urls&gt;&lt;electronic-resource-num&gt;10.1371/journal.pmed.1001412&lt;/electronic-resource-num&gt;&lt;/record&gt;&lt;/Cite&gt;&lt;/EndNote&gt;</w:instrText>
      </w:r>
      <w:r w:rsidR="007356C6">
        <w:rPr>
          <w:rFonts w:ascii="Times New Roman" w:hAnsi="Times New Roman" w:cs="Times New Roman"/>
          <w:lang w:val="en-US"/>
        </w:rPr>
        <w:fldChar w:fldCharType="separate"/>
      </w:r>
      <w:r w:rsidR="007356C6">
        <w:rPr>
          <w:rFonts w:ascii="Times New Roman" w:hAnsi="Times New Roman" w:cs="Times New Roman"/>
          <w:noProof/>
          <w:lang w:val="en-US"/>
        </w:rPr>
        <w:t>(Abrahams, Mathews et al. 2013)</w:t>
      </w:r>
      <w:r w:rsidR="007356C6">
        <w:rPr>
          <w:rFonts w:ascii="Times New Roman" w:hAnsi="Times New Roman" w:cs="Times New Roman"/>
          <w:lang w:val="en-US"/>
        </w:rPr>
        <w:fldChar w:fldCharType="end"/>
      </w:r>
      <w:r w:rsidR="007356C6">
        <w:rPr>
          <w:rFonts w:ascii="Times New Roman" w:hAnsi="Times New Roman" w:cs="Times New Roman"/>
          <w:lang w:val="en-US"/>
        </w:rPr>
        <w:t>.</w:t>
      </w:r>
      <w:r w:rsidRPr="00883CE9">
        <w:rPr>
          <w:rFonts w:ascii="Times New Roman" w:hAnsi="Times New Roman" w:cs="Times New Roman"/>
          <w:lang w:val="en-US"/>
        </w:rPr>
        <w:t xml:space="preserve"> </w:t>
      </w:r>
      <w:r w:rsidR="007356C6">
        <w:rPr>
          <w:rFonts w:ascii="Times New Roman" w:hAnsi="Times New Roman" w:cs="Times New Roman"/>
          <w:lang w:val="en-US"/>
        </w:rPr>
        <w:t xml:space="preserve">Such longitudinal trends are examined further in the study reported here. </w:t>
      </w:r>
    </w:p>
    <w:p w14:paraId="1DA37002" w14:textId="1230AB30" w:rsidR="00997953" w:rsidRDefault="00DB0B23" w:rsidP="007356C6">
      <w:p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A wide range of factors are known to be associated with fatal and non-fatal violence rates </w:t>
      </w:r>
      <w:r w:rsidR="00D06A7A">
        <w:rPr>
          <w:rFonts w:ascii="Times New Roman" w:hAnsi="Times New Roman" w:cs="Times New Roman"/>
          <w:lang w:val="en-US"/>
        </w:rPr>
        <w:t xml:space="preserve">regardless of gender. These include income </w:t>
      </w:r>
      <w:r w:rsidR="00883CE9" w:rsidRPr="00883CE9">
        <w:rPr>
          <w:rFonts w:ascii="Times New Roman" w:hAnsi="Times New Roman" w:cs="Times New Roman"/>
          <w:lang w:val="en-US"/>
        </w:rPr>
        <w:t>inequality, divorce rates, population growth, development, age, urbanic</w:t>
      </w:r>
      <w:r w:rsidR="00E35C02">
        <w:rPr>
          <w:rFonts w:ascii="Times New Roman" w:hAnsi="Times New Roman" w:cs="Times New Roman"/>
          <w:lang w:val="en-US"/>
        </w:rPr>
        <w:t xml:space="preserve">ity </w:t>
      </w:r>
      <w:r>
        <w:rPr>
          <w:rFonts w:ascii="Times New Roman" w:hAnsi="Times New Roman" w:cs="Times New Roman"/>
          <w:lang w:val="en-US"/>
        </w:rPr>
        <w:t>and alcohol consumption</w:t>
      </w:r>
      <w:r w:rsidR="00883CE9" w:rsidRPr="00883CE9">
        <w:rPr>
          <w:rFonts w:ascii="Times New Roman" w:hAnsi="Times New Roman" w:cs="Times New Roman"/>
          <w:lang w:val="en-US"/>
        </w:rPr>
        <w:t xml:space="preserve"> </w:t>
      </w:r>
      <w:r w:rsidR="007356C6">
        <w:rPr>
          <w:rFonts w:ascii="Times New Roman" w:hAnsi="Times New Roman" w:cs="Times New Roman"/>
          <w:lang w:val="en-US"/>
        </w:rPr>
        <w:fldChar w:fldCharType="begin">
          <w:fldData xml:space="preserve">PEVuZE5vdGU+PENpdGU+PEF1dGhvcj5QaWNrZXR0PC9BdXRob3I+PFllYXI+MjAxMTwvWWVhcj48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</w:fldData>
        </w:fldChar>
      </w:r>
      <w:r w:rsidR="007356C6">
        <w:rPr>
          <w:rFonts w:ascii="Times New Roman" w:hAnsi="Times New Roman" w:cs="Times New Roman"/>
          <w:lang w:val="en-US"/>
        </w:rPr>
        <w:instrText xml:space="preserve"> ADDIN EN.CITE </w:instrText>
      </w:r>
      <w:r w:rsidR="007356C6">
        <w:rPr>
          <w:rFonts w:ascii="Times New Roman" w:hAnsi="Times New Roman" w:cs="Times New Roman"/>
          <w:lang w:val="en-US"/>
        </w:rPr>
        <w:fldChar w:fldCharType="begin">
          <w:fldData xml:space="preserve">PEVuZE5vdGU+PENpdGU+PEF1dGhvcj5QaWNrZXR0PC9BdXRob3I+PFllYXI+MjAxMTwvWWVhcj48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</w:fldData>
        </w:fldChar>
      </w:r>
      <w:r w:rsidR="007356C6">
        <w:rPr>
          <w:rFonts w:ascii="Times New Roman" w:hAnsi="Times New Roman" w:cs="Times New Roman"/>
          <w:lang w:val="en-US"/>
        </w:rPr>
        <w:instrText xml:space="preserve"> ADDIN EN.CITE.DATA </w:instrText>
      </w:r>
      <w:r w:rsidR="007356C6">
        <w:rPr>
          <w:rFonts w:ascii="Times New Roman" w:hAnsi="Times New Roman" w:cs="Times New Roman"/>
          <w:lang w:val="en-US"/>
        </w:rPr>
      </w:r>
      <w:r w:rsidR="007356C6">
        <w:rPr>
          <w:rFonts w:ascii="Times New Roman" w:hAnsi="Times New Roman" w:cs="Times New Roman"/>
          <w:lang w:val="en-US"/>
        </w:rPr>
        <w:fldChar w:fldCharType="end"/>
      </w:r>
      <w:r w:rsidR="007356C6">
        <w:rPr>
          <w:rFonts w:ascii="Times New Roman" w:hAnsi="Times New Roman" w:cs="Times New Roman"/>
          <w:lang w:val="en-US"/>
        </w:rPr>
      </w:r>
      <w:r w:rsidR="007356C6">
        <w:rPr>
          <w:rFonts w:ascii="Times New Roman" w:hAnsi="Times New Roman" w:cs="Times New Roman"/>
          <w:lang w:val="en-US"/>
        </w:rPr>
        <w:fldChar w:fldCharType="separate"/>
      </w:r>
      <w:r w:rsidR="007356C6">
        <w:rPr>
          <w:rFonts w:ascii="Times New Roman" w:hAnsi="Times New Roman" w:cs="Times New Roman"/>
          <w:noProof/>
          <w:lang w:val="en-US"/>
        </w:rPr>
        <w:t>(Nivette 2011, Pickett and Wilkinson 2011, Wolf, Gray et al. 2014)</w:t>
      </w:r>
      <w:r w:rsidR="007356C6">
        <w:rPr>
          <w:rFonts w:ascii="Times New Roman" w:hAnsi="Times New Roman" w:cs="Times New Roman"/>
          <w:lang w:val="en-US"/>
        </w:rPr>
        <w:fldChar w:fldCharType="end"/>
      </w:r>
      <w:r>
        <w:rPr>
          <w:rFonts w:ascii="Times New Roman" w:hAnsi="Times New Roman" w:cs="Times New Roman"/>
          <w:lang w:val="en-US"/>
        </w:rPr>
        <w:t xml:space="preserve">. </w:t>
      </w:r>
      <w:r w:rsidR="00997953">
        <w:rPr>
          <w:rFonts w:ascii="Times New Roman" w:hAnsi="Times New Roman" w:cs="Times New Roman"/>
          <w:lang w:val="en-US"/>
        </w:rPr>
        <w:t xml:space="preserve">National wealth and social inequality in particular are two factors which relate to </w:t>
      </w:r>
      <w:r w:rsidR="00D06A7A">
        <w:rPr>
          <w:rFonts w:ascii="Times New Roman" w:hAnsi="Times New Roman" w:cs="Times New Roman"/>
          <w:lang w:val="en-US"/>
        </w:rPr>
        <w:t xml:space="preserve">(combined gender) </w:t>
      </w:r>
      <w:r w:rsidR="00997953">
        <w:rPr>
          <w:rFonts w:ascii="Times New Roman" w:hAnsi="Times New Roman" w:cs="Times New Roman"/>
          <w:lang w:val="en-US"/>
        </w:rPr>
        <w:t>homicide rates worldwide. Rates are lower in high-income countries than middle- and low-income countries and have dropped more steeply in these countries in the first decade of the 21</w:t>
      </w:r>
      <w:r w:rsidR="00997953" w:rsidRPr="00997953">
        <w:rPr>
          <w:rFonts w:ascii="Times New Roman" w:hAnsi="Times New Roman" w:cs="Times New Roman"/>
          <w:vertAlign w:val="superscript"/>
          <w:lang w:val="en-US"/>
        </w:rPr>
        <w:t>st</w:t>
      </w:r>
      <w:r w:rsidR="00997953">
        <w:rPr>
          <w:rFonts w:ascii="Times New Roman" w:hAnsi="Times New Roman" w:cs="Times New Roman"/>
          <w:lang w:val="en-US"/>
        </w:rPr>
        <w:t xml:space="preserve">. century. </w:t>
      </w:r>
      <w:r w:rsidR="003A27F3">
        <w:rPr>
          <w:rFonts w:ascii="Times New Roman" w:hAnsi="Times New Roman" w:cs="Times New Roman"/>
          <w:lang w:val="en-US"/>
        </w:rPr>
        <w:t>Even more importantly, high levels of inequality are persistently linked with high violence rates. Amongst OECD countries</w:t>
      </w:r>
      <w:r w:rsidR="008837EA">
        <w:rPr>
          <w:rFonts w:ascii="Times New Roman" w:hAnsi="Times New Roman" w:cs="Times New Roman"/>
          <w:lang w:val="en-US"/>
        </w:rPr>
        <w:t xml:space="preserve"> which are members of the Organisation for Economic Co-operation and Development (OECD) </w:t>
      </w:r>
      <w:r w:rsidR="003A27F3">
        <w:rPr>
          <w:rFonts w:ascii="Times New Roman" w:hAnsi="Times New Roman" w:cs="Times New Roman"/>
          <w:lang w:val="en-US"/>
        </w:rPr>
        <w:t xml:space="preserve"> Portugal and the USA are examples (</w:t>
      </w:r>
      <w:r w:rsidR="00D06A7A">
        <w:rPr>
          <w:rFonts w:ascii="Times New Roman" w:hAnsi="Times New Roman" w:cs="Times New Roman"/>
          <w:lang w:val="en-US"/>
        </w:rPr>
        <w:t xml:space="preserve">relatively </w:t>
      </w:r>
      <w:r w:rsidR="003A27F3">
        <w:rPr>
          <w:rFonts w:ascii="Times New Roman" w:hAnsi="Times New Roman" w:cs="Times New Roman"/>
          <w:lang w:val="en-US"/>
        </w:rPr>
        <w:t xml:space="preserve">unequal and violent) at one end of the scale and Japan and Norway </w:t>
      </w:r>
      <w:r w:rsidR="007356C6">
        <w:rPr>
          <w:rFonts w:ascii="Times New Roman" w:hAnsi="Times New Roman" w:cs="Times New Roman"/>
          <w:lang w:val="en-US"/>
        </w:rPr>
        <w:t xml:space="preserve">(relatively equal and low violence) </w:t>
      </w:r>
      <w:r w:rsidR="003A27F3">
        <w:rPr>
          <w:rFonts w:ascii="Times New Roman" w:hAnsi="Times New Roman" w:cs="Times New Roman"/>
          <w:lang w:val="en-US"/>
        </w:rPr>
        <w:t>at the other end</w:t>
      </w:r>
      <w:r w:rsidR="00D06A7A">
        <w:rPr>
          <w:rFonts w:ascii="Times New Roman" w:hAnsi="Times New Roman" w:cs="Times New Roman"/>
          <w:lang w:val="en-US"/>
        </w:rPr>
        <w:t xml:space="preserve"> </w:t>
      </w:r>
      <w:r w:rsidR="00D06A7A">
        <w:rPr>
          <w:rFonts w:ascii="Times New Roman" w:hAnsi="Times New Roman" w:cs="Times New Roman"/>
          <w:lang w:val="en-US"/>
        </w:rPr>
        <w:fldChar w:fldCharType="begin"/>
      </w:r>
      <w:r w:rsidR="00D06A7A">
        <w:rPr>
          <w:rFonts w:ascii="Times New Roman" w:hAnsi="Times New Roman" w:cs="Times New Roman"/>
          <w:lang w:val="en-US"/>
        </w:rPr>
        <w:instrText xml:space="preserve"> ADDIN EN.CITE &lt;EndNote&gt;&lt;Cite&gt;&lt;Author&gt;Pickett&lt;/Author&gt;&lt;Year&gt;2011&lt;/Year&gt;&lt;RecNum&gt;1800&lt;/RecNum&gt;&lt;DisplayText&gt;(Pickett and Wilkinson 2011)&lt;/DisplayText&gt;&lt;record&gt;&lt;rec-number&gt;1800&lt;/rec-number&gt;&lt;foreign-keys&gt;&lt;key app="EN" db-id="xeadttdpnf0vfgev2xzv2v9gvp92rp5tstes" timestamp="0"&gt;1800&lt;/key&gt;&lt;/foreign-keys&gt;&lt;ref-type name="Book"&gt;6&lt;/ref-type&gt;&lt;contributors&gt;&lt;authors&gt;&lt;author&gt;Pickett, K&lt;/author&gt;&lt;author&gt;Wilkinson, R&lt;/author&gt;&lt;/authors&gt;&lt;/contributors&gt;&lt;titles&gt;&lt;title&gt;The Spirit Level: Why Greater Equality Makes Societies Stronger&lt;/title&gt;&lt;short-title&gt;The Spirit Level: Why Greater Equality Makes Societies Stronger&lt;/short-title&gt;&lt;/titles&gt;&lt;dates&gt;&lt;year&gt;2011&lt;/year&gt;&lt;/dates&gt;&lt;pub-location&gt;New York&lt;/pub-location&gt;&lt;publisher&gt;Bloomsbury&lt;/publisher&gt;&lt;urls&gt;&lt;/urls&gt;&lt;/record&gt;&lt;/Cite&gt;&lt;/EndNote&gt;</w:instrText>
      </w:r>
      <w:r w:rsidR="00D06A7A">
        <w:rPr>
          <w:rFonts w:ascii="Times New Roman" w:hAnsi="Times New Roman" w:cs="Times New Roman"/>
          <w:lang w:val="en-US"/>
        </w:rPr>
        <w:fldChar w:fldCharType="separate"/>
      </w:r>
      <w:r w:rsidR="00D06A7A">
        <w:rPr>
          <w:rFonts w:ascii="Times New Roman" w:hAnsi="Times New Roman" w:cs="Times New Roman"/>
          <w:noProof/>
          <w:lang w:val="en-US"/>
        </w:rPr>
        <w:t>(Pickett and Wilkinson 2011)</w:t>
      </w:r>
      <w:r w:rsidR="00D06A7A">
        <w:rPr>
          <w:rFonts w:ascii="Times New Roman" w:hAnsi="Times New Roman" w:cs="Times New Roman"/>
          <w:lang w:val="en-US"/>
        </w:rPr>
        <w:fldChar w:fldCharType="end"/>
      </w:r>
      <w:r w:rsidR="003A27F3">
        <w:rPr>
          <w:rFonts w:ascii="Times New Roman" w:hAnsi="Times New Roman" w:cs="Times New Roman"/>
          <w:lang w:val="en-US"/>
        </w:rPr>
        <w:t xml:space="preserve">. </w:t>
      </w:r>
    </w:p>
    <w:p w14:paraId="220CAC9C" w14:textId="24571237" w:rsidR="00883CE9" w:rsidRDefault="00DB0B23" w:rsidP="007356C6">
      <w:pPr>
        <w:spacing w:line="360" w:lineRule="auto"/>
        <w:jc w:val="both"/>
        <w:rPr>
          <w:rFonts w:ascii="Times New Roman" w:hAnsi="Times New Roman" w:cs="Times New Roman"/>
          <w:lang w:val="en-US"/>
        </w:rPr>
      </w:pPr>
      <w:r>
        <w:rPr>
          <w:rFonts w:ascii="Times New Roman" w:hAnsi="Times New Roman" w:cs="Times New Roman"/>
          <w:lang w:val="en-US"/>
        </w:rPr>
        <w:t xml:space="preserve">However, </w:t>
      </w:r>
      <w:r w:rsidR="00E35C02">
        <w:rPr>
          <w:rFonts w:ascii="Times New Roman" w:hAnsi="Times New Roman" w:cs="Times New Roman"/>
          <w:lang w:val="en-US"/>
        </w:rPr>
        <w:t xml:space="preserve">much of </w:t>
      </w:r>
      <w:r w:rsidR="00D06A7A">
        <w:rPr>
          <w:rFonts w:ascii="Times New Roman" w:hAnsi="Times New Roman" w:cs="Times New Roman"/>
          <w:lang w:val="en-US"/>
        </w:rPr>
        <w:t xml:space="preserve">our knowledge on this issue is limited </w:t>
      </w:r>
      <w:r w:rsidR="003A27F3">
        <w:rPr>
          <w:rFonts w:ascii="Times New Roman" w:hAnsi="Times New Roman" w:cs="Times New Roman"/>
          <w:lang w:val="en-US"/>
        </w:rPr>
        <w:t xml:space="preserve">in two ways. Firstly, </w:t>
      </w:r>
      <w:r w:rsidR="007356C6" w:rsidRPr="007356C6">
        <w:rPr>
          <w:rFonts w:ascii="Times New Roman" w:hAnsi="Times New Roman" w:cs="Times New Roman"/>
          <w:lang w:val="en-US"/>
        </w:rPr>
        <w:t xml:space="preserve">little of this previous research separates out homicide and femicide </w:t>
      </w:r>
      <w:r w:rsidR="00D06A7A">
        <w:rPr>
          <w:rFonts w:ascii="Times New Roman" w:hAnsi="Times New Roman" w:cs="Times New Roman"/>
          <w:lang w:val="en-US"/>
        </w:rPr>
        <w:t xml:space="preserve">rates </w:t>
      </w:r>
      <w:r w:rsidR="007356C6" w:rsidRPr="007356C6">
        <w:rPr>
          <w:rFonts w:ascii="Times New Roman" w:hAnsi="Times New Roman" w:cs="Times New Roman"/>
          <w:lang w:val="en-US"/>
        </w:rPr>
        <w:t>which, as noted above, are influenced by different dynamics and thus require distinctive analyses</w:t>
      </w:r>
      <w:r w:rsidR="00D53074">
        <w:rPr>
          <w:rFonts w:ascii="Times New Roman" w:hAnsi="Times New Roman" w:cs="Times New Roman"/>
          <w:lang w:val="en-US"/>
        </w:rPr>
        <w:t xml:space="preserve"> </w:t>
      </w:r>
      <w:r w:rsidR="00D53074">
        <w:rPr>
          <w:rFonts w:ascii="Times New Roman" w:hAnsi="Times New Roman" w:cs="Times New Roman"/>
          <w:lang w:val="en-US"/>
        </w:rPr>
        <w:fldChar w:fldCharType="begin"/>
      </w:r>
      <w:r w:rsidR="00D53074">
        <w:rPr>
          <w:rFonts w:ascii="Times New Roman" w:hAnsi="Times New Roman" w:cs="Times New Roman"/>
          <w:lang w:val="en-US"/>
        </w:rPr>
        <w:instrText xml:space="preserve"> ADDIN EN.CITE &lt;EndNote&gt;&lt;Cite&gt;&lt;Author&gt;Matias&lt;/Author&gt;&lt;Year&gt;2020&lt;/Year&gt;&lt;RecNum&gt;3322&lt;/RecNum&gt;&lt;DisplayText&gt;(Matias, Gonçalves et al. 2020)&lt;/DisplayText&gt;&lt;record&gt;&lt;rec-number&gt;3322&lt;/rec-number&gt;&lt;foreign-keys&gt;&lt;key app="EN" db-id="xeadttdpnf0vfgev2xzv2v9gvp92rp5tstes" timestamp="1655218845"&gt;3322&lt;/key&gt;&lt;/foreign-keys&gt;&lt;ref-type name="Journal Article"&gt;17&lt;/ref-type&gt;&lt;contributors&gt;&lt;authors&gt;&lt;author&gt;Matias, Andreia&lt;/author&gt;&lt;author&gt;Gonçalves, Mariana&lt;/author&gt;&lt;author&gt;Soeiro, Cristina&lt;/author&gt;&lt;author&gt;Matos, Marlene&lt;/author&gt;&lt;/authors&gt;&lt;/contributors&gt;&lt;titles&gt;&lt;title&gt;Intimate partner homicide: A meta-analysis of risk factors&lt;/title&gt;&lt;secondary-title&gt;Aggression and Violent Behavior&lt;/secondary-title&gt;&lt;/titles&gt;&lt;periodical&gt;&lt;full-title&gt;Aggression and Violent Behavior&lt;/full-title&gt;&lt;/periodical&gt;&lt;pages&gt;101358&lt;/pages&gt;&lt;volume&gt;50&lt;/volume&gt;&lt;keywords&gt;&lt;keyword&gt;Homicide&lt;/keyword&gt;&lt;keyword&gt;Intimate partner&lt;/keyword&gt;&lt;keyword&gt;Risk factors&lt;/keyword&gt;&lt;keyword&gt;Abusive dynamics&lt;/keyword&gt;&lt;/keywords&gt;&lt;dates&gt;&lt;year&gt;2020&lt;/year&gt;&lt;pub-dates&gt;&lt;date&gt;2020/01/01/&lt;/date&gt;&lt;/pub-dates&gt;&lt;/dates&gt;&lt;isbn&gt;1359-1789&lt;/isbn&gt;&lt;urls&gt;&lt;related-urls&gt;&lt;url&gt;https://www.sciencedirect.com/science/article/pii/S1359178919300874&lt;/url&gt;&lt;/related-urls&gt;&lt;/urls&gt;&lt;electronic-resource-num&gt;https://doi.org/10.1016/j.avb.2019.101358&lt;/electronic-resource-num&gt;&lt;/record&gt;&lt;/Cite&gt;&lt;/EndNote&gt;</w:instrText>
      </w:r>
      <w:r w:rsidR="00D53074">
        <w:rPr>
          <w:rFonts w:ascii="Times New Roman" w:hAnsi="Times New Roman" w:cs="Times New Roman"/>
          <w:lang w:val="en-US"/>
        </w:rPr>
        <w:fldChar w:fldCharType="separate"/>
      </w:r>
      <w:r w:rsidR="00D53074">
        <w:rPr>
          <w:rFonts w:ascii="Times New Roman" w:hAnsi="Times New Roman" w:cs="Times New Roman"/>
          <w:noProof/>
          <w:lang w:val="en-US"/>
        </w:rPr>
        <w:t>(Matias, Gonçalves et al. 2020)</w:t>
      </w:r>
      <w:r w:rsidR="00D53074">
        <w:rPr>
          <w:rFonts w:ascii="Times New Roman" w:hAnsi="Times New Roman" w:cs="Times New Roman"/>
          <w:lang w:val="en-US"/>
        </w:rPr>
        <w:fldChar w:fldCharType="end"/>
      </w:r>
      <w:r w:rsidR="007356C6" w:rsidRPr="007356C6">
        <w:rPr>
          <w:rFonts w:ascii="Times New Roman" w:hAnsi="Times New Roman" w:cs="Times New Roman"/>
          <w:lang w:val="en-US"/>
        </w:rPr>
        <w:t xml:space="preserve">. </w:t>
      </w:r>
      <w:r w:rsidR="007356C6">
        <w:rPr>
          <w:rFonts w:ascii="Times New Roman" w:hAnsi="Times New Roman" w:cs="Times New Roman"/>
          <w:lang w:val="en-US"/>
        </w:rPr>
        <w:t>Secondly, t</w:t>
      </w:r>
      <w:r w:rsidR="003A27F3">
        <w:rPr>
          <w:rFonts w:ascii="Times New Roman" w:hAnsi="Times New Roman" w:cs="Times New Roman"/>
          <w:lang w:val="en-US"/>
        </w:rPr>
        <w:t xml:space="preserve">he emphasis </w:t>
      </w:r>
      <w:r w:rsidR="007356C6">
        <w:rPr>
          <w:rFonts w:ascii="Times New Roman" w:hAnsi="Times New Roman" w:cs="Times New Roman"/>
          <w:lang w:val="en-US"/>
        </w:rPr>
        <w:t>has been</w:t>
      </w:r>
      <w:r w:rsidR="003A27F3">
        <w:rPr>
          <w:rFonts w:ascii="Times New Roman" w:hAnsi="Times New Roman" w:cs="Times New Roman"/>
          <w:lang w:val="en-US"/>
        </w:rPr>
        <w:t xml:space="preserve"> on identifying social risk factors to improve prediction of violence rather than examining the potential for effective interventions</w:t>
      </w:r>
      <w:r w:rsidR="00617B2C">
        <w:rPr>
          <w:rFonts w:ascii="Times New Roman" w:hAnsi="Times New Roman" w:cs="Times New Roman"/>
          <w:lang w:val="en-US"/>
        </w:rPr>
        <w:t xml:space="preserve"> to reduce it</w:t>
      </w:r>
      <w:r w:rsidR="003A27F3">
        <w:rPr>
          <w:rFonts w:ascii="Times New Roman" w:hAnsi="Times New Roman" w:cs="Times New Roman"/>
          <w:lang w:val="en-US"/>
        </w:rPr>
        <w:t xml:space="preserve">. </w:t>
      </w:r>
      <w:r w:rsidR="007356C6">
        <w:rPr>
          <w:rFonts w:ascii="Times New Roman" w:hAnsi="Times New Roman" w:cs="Times New Roman"/>
          <w:lang w:val="en-US"/>
        </w:rPr>
        <w:t>Relatively l</w:t>
      </w:r>
      <w:r w:rsidR="00883CE9" w:rsidRPr="00883CE9">
        <w:rPr>
          <w:rFonts w:ascii="Times New Roman" w:hAnsi="Times New Roman" w:cs="Times New Roman"/>
          <w:lang w:val="en-US"/>
        </w:rPr>
        <w:t xml:space="preserve">ittle attention </w:t>
      </w:r>
      <w:r w:rsidR="007356C6">
        <w:rPr>
          <w:rFonts w:ascii="Times New Roman" w:hAnsi="Times New Roman" w:cs="Times New Roman"/>
          <w:lang w:val="en-US"/>
        </w:rPr>
        <w:t>has been</w:t>
      </w:r>
      <w:r w:rsidR="003A27F3">
        <w:rPr>
          <w:rFonts w:ascii="Times New Roman" w:hAnsi="Times New Roman" w:cs="Times New Roman"/>
          <w:lang w:val="en-US"/>
        </w:rPr>
        <w:t xml:space="preserve"> paid to </w:t>
      </w:r>
      <w:r w:rsidR="00E35C02">
        <w:rPr>
          <w:rFonts w:ascii="Times New Roman" w:hAnsi="Times New Roman" w:cs="Times New Roman"/>
          <w:lang w:val="en-US"/>
        </w:rPr>
        <w:t>important questions about</w:t>
      </w:r>
      <w:r>
        <w:rPr>
          <w:rFonts w:ascii="Times New Roman" w:hAnsi="Times New Roman" w:cs="Times New Roman"/>
          <w:lang w:val="en-US"/>
        </w:rPr>
        <w:t xml:space="preserve"> </w:t>
      </w:r>
      <w:r w:rsidR="00E35C02">
        <w:rPr>
          <w:rFonts w:ascii="Times New Roman" w:hAnsi="Times New Roman" w:cs="Times New Roman"/>
          <w:lang w:val="en-US"/>
        </w:rPr>
        <w:t xml:space="preserve">effective policy interventions which national governments can adopt especially in relation to preventing </w:t>
      </w:r>
      <w:r w:rsidR="007356C6">
        <w:rPr>
          <w:rFonts w:ascii="Times New Roman" w:hAnsi="Times New Roman" w:cs="Times New Roman"/>
          <w:lang w:val="en-US"/>
        </w:rPr>
        <w:t xml:space="preserve">the specific problem of </w:t>
      </w:r>
      <w:r w:rsidR="00E35C02">
        <w:rPr>
          <w:rFonts w:ascii="Times New Roman" w:hAnsi="Times New Roman" w:cs="Times New Roman"/>
          <w:lang w:val="en-US"/>
        </w:rPr>
        <w:t xml:space="preserve">femicide. This study sought therefore to </w:t>
      </w:r>
      <w:r w:rsidR="007356C6">
        <w:rPr>
          <w:rFonts w:ascii="Times New Roman" w:hAnsi="Times New Roman" w:cs="Times New Roman"/>
          <w:lang w:val="en-US"/>
        </w:rPr>
        <w:t xml:space="preserve">focus specifically on femicide and to </w:t>
      </w:r>
      <w:r w:rsidR="00E35C02">
        <w:rPr>
          <w:rFonts w:ascii="Times New Roman" w:hAnsi="Times New Roman" w:cs="Times New Roman"/>
          <w:lang w:val="en-US"/>
        </w:rPr>
        <w:t xml:space="preserve">examine </w:t>
      </w:r>
      <w:r w:rsidR="007356C6">
        <w:rPr>
          <w:rFonts w:ascii="Times New Roman" w:hAnsi="Times New Roman" w:cs="Times New Roman"/>
          <w:lang w:val="en-US"/>
        </w:rPr>
        <w:t xml:space="preserve">both risk factors and </w:t>
      </w:r>
      <w:r w:rsidR="00883CE9" w:rsidRPr="00883CE9">
        <w:rPr>
          <w:rFonts w:ascii="Times New Roman" w:hAnsi="Times New Roman" w:cs="Times New Roman"/>
          <w:lang w:val="en-US"/>
        </w:rPr>
        <w:t xml:space="preserve">actions </w:t>
      </w:r>
      <w:r w:rsidR="007356C6">
        <w:rPr>
          <w:rFonts w:ascii="Times New Roman" w:hAnsi="Times New Roman" w:cs="Times New Roman"/>
          <w:lang w:val="en-US"/>
        </w:rPr>
        <w:t xml:space="preserve">which </w:t>
      </w:r>
      <w:r w:rsidR="00E35C02">
        <w:rPr>
          <w:rFonts w:ascii="Times New Roman" w:hAnsi="Times New Roman" w:cs="Times New Roman"/>
          <w:lang w:val="en-US"/>
        </w:rPr>
        <w:t xml:space="preserve">have been taken </w:t>
      </w:r>
      <w:r w:rsidR="00883CE9" w:rsidRPr="00883CE9">
        <w:rPr>
          <w:rFonts w:ascii="Times New Roman" w:hAnsi="Times New Roman" w:cs="Times New Roman"/>
          <w:lang w:val="en-US"/>
        </w:rPr>
        <w:t xml:space="preserve">at the national level </w:t>
      </w:r>
      <w:r w:rsidR="00E35C02">
        <w:rPr>
          <w:rFonts w:ascii="Times New Roman" w:hAnsi="Times New Roman" w:cs="Times New Roman"/>
          <w:lang w:val="en-US"/>
        </w:rPr>
        <w:t xml:space="preserve">around the world to reduce femicide </w:t>
      </w:r>
      <w:r w:rsidR="00947DAF">
        <w:rPr>
          <w:rFonts w:ascii="Times New Roman" w:hAnsi="Times New Roman" w:cs="Times New Roman"/>
          <w:lang w:val="en-US"/>
        </w:rPr>
        <w:t>rates</w:t>
      </w:r>
      <w:r w:rsidR="00E35C02">
        <w:rPr>
          <w:rFonts w:ascii="Times New Roman" w:hAnsi="Times New Roman" w:cs="Times New Roman"/>
          <w:lang w:val="en-US"/>
        </w:rPr>
        <w:t>.</w:t>
      </w:r>
    </w:p>
    <w:p w14:paraId="45DBF062" w14:textId="77777777" w:rsidR="001E4AA1" w:rsidRDefault="007356C6" w:rsidP="007356C6">
      <w:pPr>
        <w:spacing w:line="360" w:lineRule="auto"/>
        <w:jc w:val="both"/>
        <w:rPr>
          <w:rFonts w:ascii="Times New Roman" w:hAnsi="Times New Roman" w:cs="Times New Roman"/>
          <w:lang w:val="en-US"/>
        </w:rPr>
      </w:pPr>
      <w:r>
        <w:rPr>
          <w:rFonts w:ascii="Times New Roman" w:hAnsi="Times New Roman" w:cs="Times New Roman"/>
          <w:lang w:val="en-US"/>
        </w:rPr>
        <w:t xml:space="preserve">Global efforts to address violence in general and femicide in particular have been framed </w:t>
      </w:r>
      <w:r w:rsidR="00616B3C">
        <w:rPr>
          <w:rFonts w:ascii="Times New Roman" w:hAnsi="Times New Roman" w:cs="Times New Roman"/>
          <w:lang w:val="en-US"/>
        </w:rPr>
        <w:t xml:space="preserve">over the past two decades </w:t>
      </w:r>
      <w:r>
        <w:rPr>
          <w:rFonts w:ascii="Times New Roman" w:hAnsi="Times New Roman" w:cs="Times New Roman"/>
          <w:lang w:val="en-US"/>
        </w:rPr>
        <w:t xml:space="preserve">by a public health perspective </w:t>
      </w:r>
      <w:r>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&lt;EndNote&gt;&lt;Cite&gt;&lt;Author&gt;World Health Organisation&lt;/Author&gt;&lt;Year&gt;2017&lt;/Year&gt;&lt;RecNum&gt;2182&lt;/RecNum&gt;&lt;DisplayText&gt;(World Health Organisation 2017)&lt;/DisplayText&gt;&lt;record&gt;&lt;rec-number&gt;2182&lt;/rec-number&gt;&lt;foreign-keys&gt;&lt;key app="EN" db-id="xeadttdpnf0vfgev2xzv2v9gvp92rp5tstes" timestamp="0"&gt;2182&lt;/key&gt;&lt;/foreign-keys&gt;&lt;ref-type name="Web Page"&gt;12&lt;/ref-type&gt;&lt;contributors&gt;&lt;authors&gt;&lt;author&gt;World Health Organisation,&lt;/author&gt;&lt;/authors&gt;&lt;/contributors&gt;&lt;titles&gt;&lt;title&gt;Global Campaign for Violence Prevention&lt;/title&gt;&lt;/titles&gt;&lt;dates&gt;&lt;year&gt;2017&lt;/year&gt;&lt;/dates&gt;&lt;urls&gt;&lt;related-urls&gt;&lt;url&gt;http://www.who.int/violence_injury_prevention/violence/global_campaign/en/&lt;/url&gt;&lt;/related-urls&gt;&lt;/urls&gt;&lt;/record&gt;&lt;/Cite&gt;&lt;/EndNote&gt;</w:instrText>
      </w:r>
      <w:r>
        <w:rPr>
          <w:rFonts w:ascii="Times New Roman" w:hAnsi="Times New Roman" w:cs="Times New Roman"/>
          <w:lang w:val="en-US"/>
        </w:rPr>
        <w:fldChar w:fldCharType="separate"/>
      </w:r>
      <w:r>
        <w:rPr>
          <w:rFonts w:ascii="Times New Roman" w:hAnsi="Times New Roman" w:cs="Times New Roman"/>
          <w:noProof/>
          <w:lang w:val="en-US"/>
        </w:rPr>
        <w:t>(World Health Organisation 2017)</w:t>
      </w:r>
      <w:r>
        <w:rPr>
          <w:rFonts w:ascii="Times New Roman" w:hAnsi="Times New Roman" w:cs="Times New Roman"/>
          <w:lang w:val="en-US"/>
        </w:rPr>
        <w:fldChar w:fldCharType="end"/>
      </w:r>
      <w:r>
        <w:rPr>
          <w:rFonts w:ascii="Times New Roman" w:hAnsi="Times New Roman" w:cs="Times New Roman"/>
          <w:lang w:val="en-US"/>
        </w:rPr>
        <w:t xml:space="preserve">. </w:t>
      </w:r>
      <w:r w:rsidR="00E35C02">
        <w:rPr>
          <w:rFonts w:ascii="Times New Roman" w:hAnsi="Times New Roman" w:cs="Times New Roman"/>
          <w:lang w:val="en-US"/>
        </w:rPr>
        <w:t xml:space="preserve">The </w:t>
      </w:r>
      <w:r w:rsidR="00883CE9" w:rsidRPr="00883CE9">
        <w:rPr>
          <w:rFonts w:ascii="Times New Roman" w:hAnsi="Times New Roman" w:cs="Times New Roman"/>
          <w:lang w:val="en-US"/>
        </w:rPr>
        <w:t>WHO Global Campaign for Violence Prevention</w:t>
      </w:r>
      <w:r w:rsidR="00E35C02">
        <w:rPr>
          <w:rFonts w:ascii="Times New Roman" w:hAnsi="Times New Roman" w:cs="Times New Roman"/>
          <w:lang w:val="en-US"/>
        </w:rPr>
        <w:t xml:space="preserve"> </w:t>
      </w:r>
      <w:r w:rsidR="00616B3C">
        <w:rPr>
          <w:rFonts w:ascii="Times New Roman" w:hAnsi="Times New Roman" w:cs="Times New Roman"/>
          <w:lang w:val="en-US"/>
        </w:rPr>
        <w:t xml:space="preserve">(GCVP) has adopted such a framework since its inception in 2002 </w:t>
      </w:r>
      <w:r w:rsidR="00947DAF">
        <w:rPr>
          <w:rFonts w:ascii="Times New Roman" w:hAnsi="Times New Roman" w:cs="Times New Roman"/>
          <w:lang w:val="en-US"/>
        </w:rPr>
        <w:t xml:space="preserve">and provides </w:t>
      </w:r>
      <w:r w:rsidR="00E35C02">
        <w:rPr>
          <w:rFonts w:ascii="Times New Roman" w:hAnsi="Times New Roman" w:cs="Times New Roman"/>
          <w:lang w:val="en-US"/>
        </w:rPr>
        <w:t xml:space="preserve">robust data on </w:t>
      </w:r>
      <w:r w:rsidR="00616B3C">
        <w:rPr>
          <w:rFonts w:ascii="Times New Roman" w:hAnsi="Times New Roman" w:cs="Times New Roman"/>
          <w:lang w:val="en-US"/>
        </w:rPr>
        <w:t>governmental activities</w:t>
      </w:r>
      <w:r w:rsidR="00E35C02">
        <w:rPr>
          <w:rFonts w:ascii="Times New Roman" w:hAnsi="Times New Roman" w:cs="Times New Roman"/>
          <w:lang w:val="en-US"/>
        </w:rPr>
        <w:t xml:space="preserve"> in this area</w:t>
      </w:r>
      <w:r w:rsidR="003A27F3">
        <w:rPr>
          <w:rFonts w:ascii="Times New Roman" w:hAnsi="Times New Roman" w:cs="Times New Roman"/>
          <w:lang w:val="en-US"/>
        </w:rPr>
        <w:t xml:space="preserve"> </w:t>
      </w:r>
      <w:r>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&lt;EndNote&gt;&lt;Cite&gt;&lt;Author&gt;Whittington&lt;/Author&gt;&lt;Year&gt;2020&lt;/Year&gt;&lt;RecNum&gt;3310&lt;/RecNum&gt;&lt;DisplayText&gt;(Whittington and McGuire 2020)&lt;/DisplayText&gt;&lt;record&gt;&lt;rec-number&gt;3310&lt;/rec-number&gt;&lt;foreign-keys&gt;&lt;key app="EN" db-id="xeadttdpnf0vfgev2xzv2v9gvp92rp5tstes" timestamp="1649083074"&gt;3310&lt;/key&gt;&lt;/foreign-keys&gt;&lt;ref-type name="Book"&gt;6&lt;/ref-type&gt;&lt;contributors&gt;&lt;authors&gt;&lt;author&gt;Whittington, R&lt;/author&gt;&lt;author&gt;McGuire, J&lt;/author&gt;&lt;/authors&gt;&lt;/contributors&gt;&lt;titles&gt;&lt;title&gt;Violence Rewired: Evidence and Strategies for Public Health Action&lt;/title&gt;&lt;/titles&gt;&lt;dates&gt;&lt;year&gt;2020&lt;/year&gt;&lt;/dates&gt;&lt;pub-location&gt;Cambridge&lt;/pub-location&gt;&lt;publisher&gt;Cambridge University Press&lt;/publisher&gt;&lt;urls&gt;&lt;/urls&gt;&lt;/record&gt;&lt;/Cite&gt;&lt;/EndNote&gt;</w:instrText>
      </w:r>
      <w:r>
        <w:rPr>
          <w:rFonts w:ascii="Times New Roman" w:hAnsi="Times New Roman" w:cs="Times New Roman"/>
          <w:lang w:val="en-US"/>
        </w:rPr>
        <w:fldChar w:fldCharType="separate"/>
      </w:r>
      <w:r>
        <w:rPr>
          <w:rFonts w:ascii="Times New Roman" w:hAnsi="Times New Roman" w:cs="Times New Roman"/>
          <w:noProof/>
          <w:lang w:val="en-US"/>
        </w:rPr>
        <w:t>(Whittington and McGuire 2020)</w:t>
      </w:r>
      <w:r>
        <w:rPr>
          <w:rFonts w:ascii="Times New Roman" w:hAnsi="Times New Roman" w:cs="Times New Roman"/>
          <w:lang w:val="en-US"/>
        </w:rPr>
        <w:fldChar w:fldCharType="end"/>
      </w:r>
      <w:r w:rsidR="00E35C02">
        <w:rPr>
          <w:rFonts w:ascii="Times New Roman" w:hAnsi="Times New Roman" w:cs="Times New Roman"/>
          <w:lang w:val="en-US"/>
        </w:rPr>
        <w:t>.</w:t>
      </w:r>
      <w:r w:rsidR="00883CE9" w:rsidRPr="00883CE9">
        <w:rPr>
          <w:rFonts w:ascii="Times New Roman" w:hAnsi="Times New Roman" w:cs="Times New Roman"/>
          <w:lang w:val="en-US"/>
        </w:rPr>
        <w:t xml:space="preserve"> </w:t>
      </w:r>
      <w:r>
        <w:rPr>
          <w:rFonts w:ascii="Times New Roman" w:hAnsi="Times New Roman" w:cs="Times New Roman"/>
          <w:lang w:val="en-US"/>
        </w:rPr>
        <w:t xml:space="preserve">Data from the </w:t>
      </w:r>
      <w:r w:rsidR="00616B3C">
        <w:rPr>
          <w:rFonts w:ascii="Times New Roman" w:hAnsi="Times New Roman" w:cs="Times New Roman"/>
          <w:lang w:val="en-US"/>
        </w:rPr>
        <w:t xml:space="preserve">GCVP </w:t>
      </w:r>
      <w:r w:rsidR="00E35C02">
        <w:rPr>
          <w:rFonts w:ascii="Times New Roman" w:hAnsi="Times New Roman" w:cs="Times New Roman"/>
          <w:lang w:val="en-US"/>
        </w:rPr>
        <w:t>indicates that o</w:t>
      </w:r>
      <w:r w:rsidR="00883CE9" w:rsidRPr="00883CE9">
        <w:rPr>
          <w:rFonts w:ascii="Times New Roman" w:hAnsi="Times New Roman" w:cs="Times New Roman"/>
          <w:lang w:val="en-US"/>
        </w:rPr>
        <w:t xml:space="preserve">verall </w:t>
      </w:r>
      <w:r w:rsidR="00E35C02">
        <w:rPr>
          <w:rFonts w:ascii="Times New Roman" w:hAnsi="Times New Roman" w:cs="Times New Roman"/>
          <w:lang w:val="en-US"/>
        </w:rPr>
        <w:t xml:space="preserve">the </w:t>
      </w:r>
      <w:r w:rsidR="00883CE9" w:rsidRPr="00883CE9">
        <w:rPr>
          <w:rFonts w:ascii="Times New Roman" w:hAnsi="Times New Roman" w:cs="Times New Roman"/>
          <w:lang w:val="en-US"/>
        </w:rPr>
        <w:t>global homicide rate is falling</w:t>
      </w:r>
      <w:r>
        <w:rPr>
          <w:rFonts w:ascii="Times New Roman" w:hAnsi="Times New Roman" w:cs="Times New Roman"/>
          <w:lang w:val="en-US"/>
        </w:rPr>
        <w:t xml:space="preserve"> </w:t>
      </w:r>
      <w:r w:rsidR="00616B3C">
        <w:rPr>
          <w:rFonts w:ascii="Times New Roman" w:hAnsi="Times New Roman" w:cs="Times New Roman"/>
          <w:lang w:val="en-US"/>
        </w:rPr>
        <w:t xml:space="preserve">but does not provide a breakdown of this trend by gender </w:t>
      </w:r>
      <w:r>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&lt;EndNote&gt;&lt;Cite&gt;&lt;Author&gt;World Health Organisation&lt;/Author&gt;&lt;Year&gt;2014&lt;/Year&gt;&lt;RecNum&gt;3311&lt;/RecNum&gt;&lt;DisplayText&gt;(World Health Organisation 2014)&lt;/DisplayText&gt;&lt;record&gt;&lt;rec-number&gt;3311&lt;/rec-number&gt;&lt;foreign-keys&gt;&lt;key app="EN" db-id="xeadttdpnf0vfgev2xzv2v9gvp92rp5tstes" timestamp="1649083833"&gt;3311&lt;/key&gt;&lt;/foreign-keys&gt;&lt;ref-type name="Report"&gt;27&lt;/ref-type&gt;&lt;contributors&gt;&lt;authors&gt;&lt;author&gt;World Health Organisation,&lt;/author&gt;&lt;/authors&gt;&lt;/contributors&gt;&lt;titles&gt;&lt;title&gt;Global Status Report on Violence Prevention 2014&lt;/title&gt;&lt;/titles&gt;&lt;dates&gt;&lt;year&gt;2014&lt;/year&gt;&lt;/dates&gt;&lt;pub-location&gt;Geneva&lt;/pub-location&gt;&lt;urls&gt;&lt;related-urls&gt;&lt;url&gt;https://www.who.int/publications/i/item/9789241564793?msclkid=69e0a710b42611ec92b3d69c2139604c&lt;/url&gt;&lt;/related-urls&gt;&lt;/urls&gt;&lt;/record&gt;&lt;/Cite&gt;&lt;/EndNote&gt;</w:instrText>
      </w:r>
      <w:r>
        <w:rPr>
          <w:rFonts w:ascii="Times New Roman" w:hAnsi="Times New Roman" w:cs="Times New Roman"/>
          <w:lang w:val="en-US"/>
        </w:rPr>
        <w:fldChar w:fldCharType="separate"/>
      </w:r>
      <w:r>
        <w:rPr>
          <w:rFonts w:ascii="Times New Roman" w:hAnsi="Times New Roman" w:cs="Times New Roman"/>
          <w:noProof/>
          <w:lang w:val="en-US"/>
        </w:rPr>
        <w:t>(World Health Organisation 2014)</w:t>
      </w:r>
      <w:r>
        <w:rPr>
          <w:rFonts w:ascii="Times New Roman" w:hAnsi="Times New Roman" w:cs="Times New Roman"/>
          <w:lang w:val="en-US"/>
        </w:rPr>
        <w:fldChar w:fldCharType="end"/>
      </w:r>
      <w:r w:rsidR="00947DAF">
        <w:rPr>
          <w:rFonts w:ascii="Times New Roman" w:hAnsi="Times New Roman" w:cs="Times New Roman"/>
          <w:lang w:val="en-US"/>
        </w:rPr>
        <w:t xml:space="preserve">. </w:t>
      </w:r>
    </w:p>
    <w:p w14:paraId="588C5DC6" w14:textId="5428F06C" w:rsidR="00617B2C" w:rsidRDefault="00947DAF" w:rsidP="007356C6">
      <w:pPr>
        <w:spacing w:line="360" w:lineRule="auto"/>
        <w:jc w:val="both"/>
        <w:rPr>
          <w:rFonts w:ascii="Times New Roman" w:hAnsi="Times New Roman" w:cs="Times New Roman"/>
          <w:lang w:val="en-US"/>
        </w:rPr>
      </w:pPr>
      <w:r>
        <w:rPr>
          <w:rFonts w:ascii="Times New Roman" w:hAnsi="Times New Roman" w:cs="Times New Roman"/>
          <w:lang w:val="en-US"/>
        </w:rPr>
        <w:t xml:space="preserve">A key element of the </w:t>
      </w:r>
      <w:r w:rsidR="00616B3C">
        <w:rPr>
          <w:rFonts w:ascii="Times New Roman" w:hAnsi="Times New Roman" w:cs="Times New Roman"/>
          <w:lang w:val="en-US"/>
        </w:rPr>
        <w:t xml:space="preserve">WHO </w:t>
      </w:r>
      <w:r w:rsidR="007356C6">
        <w:rPr>
          <w:rFonts w:ascii="Times New Roman" w:hAnsi="Times New Roman" w:cs="Times New Roman"/>
          <w:lang w:val="en-US"/>
        </w:rPr>
        <w:t>approach</w:t>
      </w:r>
      <w:r>
        <w:rPr>
          <w:rFonts w:ascii="Times New Roman" w:hAnsi="Times New Roman" w:cs="Times New Roman"/>
          <w:lang w:val="en-US"/>
        </w:rPr>
        <w:t xml:space="preserve"> is encouraging governments to develop </w:t>
      </w:r>
      <w:r w:rsidR="00883CE9" w:rsidRPr="00883CE9">
        <w:rPr>
          <w:rFonts w:ascii="Times New Roman" w:hAnsi="Times New Roman" w:cs="Times New Roman"/>
          <w:lang w:val="en-US"/>
        </w:rPr>
        <w:t>National Action Plans</w:t>
      </w:r>
      <w:r>
        <w:rPr>
          <w:rFonts w:ascii="Times New Roman" w:hAnsi="Times New Roman" w:cs="Times New Roman"/>
          <w:lang w:val="en-US"/>
        </w:rPr>
        <w:t xml:space="preserve"> (NAPs) designed to reduce specific types of violence. These plans are co-ordinated strategies</w:t>
      </w:r>
      <w:r w:rsidR="00883CE9" w:rsidRPr="00883CE9">
        <w:rPr>
          <w:rFonts w:ascii="Times New Roman" w:hAnsi="Times New Roman" w:cs="Times New Roman"/>
          <w:lang w:val="en-US"/>
        </w:rPr>
        <w:t xml:space="preserve"> </w:t>
      </w:r>
      <w:r>
        <w:rPr>
          <w:rFonts w:ascii="Times New Roman" w:hAnsi="Times New Roman" w:cs="Times New Roman"/>
          <w:lang w:val="en-US"/>
        </w:rPr>
        <w:t xml:space="preserve">based on the public health model and implemented </w:t>
      </w:r>
      <w:r w:rsidR="00883CE9" w:rsidRPr="00883CE9">
        <w:rPr>
          <w:rFonts w:ascii="Times New Roman" w:hAnsi="Times New Roman" w:cs="Times New Roman"/>
          <w:lang w:val="en-US"/>
        </w:rPr>
        <w:t>at the national level</w:t>
      </w:r>
      <w:r>
        <w:rPr>
          <w:rFonts w:ascii="Times New Roman" w:hAnsi="Times New Roman" w:cs="Times New Roman"/>
          <w:lang w:val="en-US"/>
        </w:rPr>
        <w:t xml:space="preserve">. A range of </w:t>
      </w:r>
      <w:r w:rsidR="00616B3C">
        <w:rPr>
          <w:rFonts w:ascii="Times New Roman" w:hAnsi="Times New Roman" w:cs="Times New Roman"/>
          <w:lang w:val="en-US"/>
        </w:rPr>
        <w:t xml:space="preserve">priority </w:t>
      </w:r>
      <w:r>
        <w:rPr>
          <w:rFonts w:ascii="Times New Roman" w:hAnsi="Times New Roman" w:cs="Times New Roman"/>
          <w:lang w:val="en-US"/>
        </w:rPr>
        <w:t xml:space="preserve">violence types </w:t>
      </w:r>
      <w:r w:rsidR="00616B3C">
        <w:rPr>
          <w:rFonts w:ascii="Times New Roman" w:hAnsi="Times New Roman" w:cs="Times New Roman"/>
          <w:lang w:val="en-US"/>
        </w:rPr>
        <w:t>have been</w:t>
      </w:r>
      <w:r>
        <w:rPr>
          <w:rFonts w:ascii="Times New Roman" w:hAnsi="Times New Roman" w:cs="Times New Roman"/>
          <w:lang w:val="en-US"/>
        </w:rPr>
        <w:t xml:space="preserve"> targeted through a NAP approach </w:t>
      </w:r>
      <w:r w:rsidR="00616B3C">
        <w:rPr>
          <w:rFonts w:ascii="Times New Roman" w:hAnsi="Times New Roman" w:cs="Times New Roman"/>
          <w:lang w:val="en-US"/>
        </w:rPr>
        <w:t xml:space="preserve">i.e. </w:t>
      </w:r>
      <w:r>
        <w:rPr>
          <w:rFonts w:ascii="Times New Roman" w:hAnsi="Times New Roman" w:cs="Times New Roman"/>
          <w:lang w:val="en-US"/>
        </w:rPr>
        <w:t>interpersonal violence, youth violence, sexual violence, child maltreatment, intimate pa</w:t>
      </w:r>
      <w:r w:rsidR="00820DCD">
        <w:rPr>
          <w:rFonts w:ascii="Times New Roman" w:hAnsi="Times New Roman" w:cs="Times New Roman"/>
          <w:lang w:val="en-US"/>
        </w:rPr>
        <w:t>rtner violence and elder abuse</w:t>
      </w:r>
      <w:r w:rsidR="00616B3C">
        <w:rPr>
          <w:rFonts w:ascii="Times New Roman" w:hAnsi="Times New Roman" w:cs="Times New Roman"/>
          <w:lang w:val="en-US"/>
        </w:rPr>
        <w:t>;</w:t>
      </w:r>
      <w:r w:rsidR="007356C6">
        <w:rPr>
          <w:rFonts w:ascii="Times New Roman" w:hAnsi="Times New Roman" w:cs="Times New Roman"/>
          <w:lang w:val="en-US"/>
        </w:rPr>
        <w:t xml:space="preserve"> </w:t>
      </w:r>
      <w:r w:rsidR="00616B3C">
        <w:rPr>
          <w:rFonts w:ascii="Times New Roman" w:hAnsi="Times New Roman" w:cs="Times New Roman"/>
          <w:lang w:val="en-US"/>
        </w:rPr>
        <w:t>but</w:t>
      </w:r>
      <w:r>
        <w:rPr>
          <w:rFonts w:ascii="Times New Roman" w:hAnsi="Times New Roman" w:cs="Times New Roman"/>
          <w:lang w:val="en-US"/>
        </w:rPr>
        <w:t xml:space="preserve"> most countries that have developed NAPs have done so under the general </w:t>
      </w:r>
      <w:r w:rsidR="00820DCD">
        <w:rPr>
          <w:rFonts w:ascii="Times New Roman" w:hAnsi="Times New Roman" w:cs="Times New Roman"/>
          <w:lang w:val="en-US"/>
        </w:rPr>
        <w:t>strategy of reducing violence against women</w:t>
      </w:r>
      <w:r w:rsidR="00616B3C">
        <w:rPr>
          <w:rFonts w:ascii="Times New Roman" w:hAnsi="Times New Roman" w:cs="Times New Roman"/>
          <w:lang w:val="en-US"/>
        </w:rPr>
        <w:t xml:space="preserve"> in particular</w:t>
      </w:r>
      <w:r w:rsidR="007356C6">
        <w:rPr>
          <w:rFonts w:ascii="Times New Roman" w:hAnsi="Times New Roman" w:cs="Times New Roman"/>
          <w:lang w:val="en-US"/>
        </w:rPr>
        <w:t xml:space="preserve"> </w:t>
      </w:r>
      <w:r w:rsidR="007356C6">
        <w:rPr>
          <w:rFonts w:ascii="Times New Roman" w:hAnsi="Times New Roman" w:cs="Times New Roman"/>
          <w:lang w:val="en-US"/>
        </w:rPr>
        <w:fldChar w:fldCharType="begin"/>
      </w:r>
      <w:r w:rsidR="00616B3C">
        <w:rPr>
          <w:rFonts w:ascii="Times New Roman" w:hAnsi="Times New Roman" w:cs="Times New Roman"/>
          <w:lang w:val="en-US"/>
        </w:rPr>
        <w:instrText xml:space="preserve"> ADDIN EN.CITE &lt;EndNote&gt;&lt;Cite&gt;&lt;Author&gt;UN&lt;/Author&gt;&lt;Year&gt;2012&lt;/Year&gt;&lt;RecNum&gt;3312&lt;/RecNum&gt;&lt;DisplayText&gt;(UN 2012)&lt;/DisplayText&gt;&lt;record&gt;&lt;rec-number&gt;3312&lt;/rec-number&gt;&lt;foreign-keys&gt;&lt;key app="EN" db-id="xeadttdpnf0vfgev2xzv2v9gvp92rp5tstes" timestamp="1649084109"&gt;3312&lt;/key&gt;&lt;/foreign-keys&gt;&lt;ref-type name="Report"&gt;27&lt;/ref-type&gt;&lt;contributors&gt;&lt;authors&gt;&lt;author&gt;UN&lt;/author&gt;&lt;/authors&gt;&lt;/contributors&gt;&lt;titles&gt;&lt;title&gt;Handbook for National Action Plans on Violence Against Women&lt;/title&gt;&lt;/titles&gt;&lt;dates&gt;&lt;year&gt;2012&lt;/year&gt;&lt;/dates&gt;&lt;pub-location&gt;New York&lt;/pub-location&gt;&lt;publisher&gt;United Nations Entity for Gender Equality and the Empowerment of Women&lt;/publisher&gt;&lt;urls&gt;&lt;related-urls&gt;&lt;url&gt;https://www.un.org/womenwatch/daw/vaw/handbook-for-nap-on-vaw.pdf?msclkid=d9efe55eb42611ecbb5914ed74e8f1a2&lt;/url&gt;&lt;/related-urls&gt;&lt;/urls&gt;&lt;/record&gt;&lt;/Cite&gt;&lt;/EndNote&gt;</w:instrText>
      </w:r>
      <w:r w:rsidR="007356C6">
        <w:rPr>
          <w:rFonts w:ascii="Times New Roman" w:hAnsi="Times New Roman" w:cs="Times New Roman"/>
          <w:lang w:val="en-US"/>
        </w:rPr>
        <w:fldChar w:fldCharType="separate"/>
      </w:r>
      <w:r w:rsidR="00616B3C">
        <w:rPr>
          <w:rFonts w:ascii="Times New Roman" w:hAnsi="Times New Roman" w:cs="Times New Roman"/>
          <w:noProof/>
          <w:lang w:val="en-US"/>
        </w:rPr>
        <w:t>(UN 2012)</w:t>
      </w:r>
      <w:r w:rsidR="007356C6">
        <w:rPr>
          <w:rFonts w:ascii="Times New Roman" w:hAnsi="Times New Roman" w:cs="Times New Roman"/>
          <w:lang w:val="en-US"/>
        </w:rPr>
        <w:fldChar w:fldCharType="end"/>
      </w:r>
      <w:r w:rsidR="00820DCD">
        <w:rPr>
          <w:rFonts w:ascii="Times New Roman" w:hAnsi="Times New Roman" w:cs="Times New Roman"/>
          <w:lang w:val="en-US"/>
        </w:rPr>
        <w:t>.</w:t>
      </w:r>
      <w:r>
        <w:rPr>
          <w:rFonts w:ascii="Times New Roman" w:hAnsi="Times New Roman" w:cs="Times New Roman"/>
          <w:lang w:val="en-US"/>
        </w:rPr>
        <w:t xml:space="preserve"> </w:t>
      </w:r>
      <w:r w:rsidR="00820DCD">
        <w:rPr>
          <w:rFonts w:ascii="Times New Roman" w:hAnsi="Times New Roman" w:cs="Times New Roman"/>
          <w:lang w:val="en-US"/>
        </w:rPr>
        <w:t xml:space="preserve">This </w:t>
      </w:r>
      <w:r w:rsidR="00617B2C">
        <w:rPr>
          <w:rFonts w:ascii="Times New Roman" w:hAnsi="Times New Roman" w:cs="Times New Roman"/>
          <w:lang w:val="en-US"/>
        </w:rPr>
        <w:t xml:space="preserve">gender-based approach prioritises </w:t>
      </w:r>
      <w:r w:rsidR="00820DCD">
        <w:rPr>
          <w:rFonts w:ascii="Times New Roman" w:hAnsi="Times New Roman" w:cs="Times New Roman"/>
          <w:lang w:val="en-US"/>
        </w:rPr>
        <w:t xml:space="preserve"> sexual violence and intimate partner violence which are particularly relevant to women but do not exclude other types of violence to which women are exposed as often or more so than men. </w:t>
      </w:r>
      <w:r>
        <w:rPr>
          <w:rFonts w:ascii="Times New Roman" w:hAnsi="Times New Roman" w:cs="Times New Roman"/>
          <w:lang w:val="en-US"/>
        </w:rPr>
        <w:t>A</w:t>
      </w:r>
      <w:r w:rsidR="00820DCD">
        <w:rPr>
          <w:rFonts w:ascii="Times New Roman" w:hAnsi="Times New Roman" w:cs="Times New Roman"/>
          <w:lang w:val="en-US"/>
        </w:rPr>
        <w:t>n overview</w:t>
      </w:r>
      <w:r>
        <w:rPr>
          <w:rFonts w:ascii="Times New Roman" w:hAnsi="Times New Roman" w:cs="Times New Roman"/>
          <w:lang w:val="en-US"/>
        </w:rPr>
        <w:t xml:space="preserve"> in 2012 indicated that at least </w:t>
      </w:r>
      <w:r w:rsidR="00883CE9" w:rsidRPr="00883CE9">
        <w:rPr>
          <w:rFonts w:ascii="Times New Roman" w:hAnsi="Times New Roman" w:cs="Times New Roman"/>
          <w:lang w:val="en-US"/>
        </w:rPr>
        <w:t xml:space="preserve">35 countries worldwide </w:t>
      </w:r>
      <w:r>
        <w:rPr>
          <w:rFonts w:ascii="Times New Roman" w:hAnsi="Times New Roman" w:cs="Times New Roman"/>
          <w:lang w:val="en-US"/>
        </w:rPr>
        <w:t xml:space="preserve">had adopted </w:t>
      </w:r>
      <w:r w:rsidR="00820DCD">
        <w:rPr>
          <w:rFonts w:ascii="Times New Roman" w:hAnsi="Times New Roman" w:cs="Times New Roman"/>
          <w:lang w:val="en-US"/>
        </w:rPr>
        <w:t>a NAP targeting violence against women in the decade 1</w:t>
      </w:r>
      <w:r w:rsidR="00883CE9" w:rsidRPr="00883CE9">
        <w:rPr>
          <w:rFonts w:ascii="Times New Roman" w:hAnsi="Times New Roman" w:cs="Times New Roman"/>
          <w:lang w:val="en-US"/>
        </w:rPr>
        <w:t>999-2010</w:t>
      </w:r>
      <w:r w:rsidR="001E4AA1">
        <w:rPr>
          <w:rFonts w:ascii="Times New Roman" w:hAnsi="Times New Roman" w:cs="Times New Roman"/>
          <w:lang w:val="en-US"/>
        </w:rPr>
        <w:t xml:space="preserve"> </w:t>
      </w:r>
      <w:r w:rsidR="001E4AA1">
        <w:rPr>
          <w:rFonts w:ascii="Times New Roman" w:hAnsi="Times New Roman" w:cs="Times New Roman"/>
          <w:lang w:val="en-US"/>
        </w:rPr>
        <w:fldChar w:fldCharType="begin"/>
      </w:r>
      <w:r w:rsidR="001E4AA1">
        <w:rPr>
          <w:rFonts w:ascii="Times New Roman" w:hAnsi="Times New Roman" w:cs="Times New Roman"/>
          <w:lang w:val="en-US"/>
        </w:rPr>
        <w:instrText xml:space="preserve"> ADDIN EN.CITE &lt;EndNote&gt;&lt;Cite&gt;&lt;Author&gt;UN&lt;/Author&gt;&lt;Year&gt;2012&lt;/Year&gt;&lt;RecNum&gt;3312&lt;/RecNum&gt;&lt;DisplayText&gt;(UN 2012)&lt;/DisplayText&gt;&lt;record&gt;&lt;rec-number&gt;3312&lt;/rec-number&gt;&lt;foreign-keys&gt;&lt;key app="EN" db-id="xeadttdpnf0vfgev2xzv2v9gvp92rp5tstes" timestamp="1649084109"&gt;3312&lt;/key&gt;&lt;/foreign-keys&gt;&lt;ref-type name="Report"&gt;27&lt;/ref-type&gt;&lt;contributors&gt;&lt;authors&gt;&lt;author&gt;UN&lt;/author&gt;&lt;/authors&gt;&lt;/contributors&gt;&lt;titles&gt;&lt;title&gt;Handbook for National Action Plans on Violence Against Women&lt;/title&gt;&lt;/titles&gt;&lt;dates&gt;&lt;year&gt;2012&lt;/year&gt;&lt;/dates&gt;&lt;pub-location&gt;New York&lt;/pub-location&gt;&lt;publisher&gt;United Nations Entity for Gender Equality and the Empowerment of Women&lt;/publisher&gt;&lt;urls&gt;&lt;related-urls&gt;&lt;url&gt;https://www.un.org/womenwatch/daw/vaw/handbook-for-nap-on-vaw.pdf?msclkid=d9efe55eb42611ecbb5914ed74e8f1a2&lt;/url&gt;&lt;/related-urls&gt;&lt;/urls&gt;&lt;/record&gt;&lt;/Cite&gt;&lt;/EndNote&gt;</w:instrText>
      </w:r>
      <w:r w:rsidR="001E4AA1">
        <w:rPr>
          <w:rFonts w:ascii="Times New Roman" w:hAnsi="Times New Roman" w:cs="Times New Roman"/>
          <w:lang w:val="en-US"/>
        </w:rPr>
        <w:fldChar w:fldCharType="separate"/>
      </w:r>
      <w:r w:rsidR="001E4AA1">
        <w:rPr>
          <w:rFonts w:ascii="Times New Roman" w:hAnsi="Times New Roman" w:cs="Times New Roman"/>
          <w:noProof/>
          <w:lang w:val="en-US"/>
        </w:rPr>
        <w:t>(UN 2012)</w:t>
      </w:r>
      <w:r w:rsidR="001E4AA1">
        <w:rPr>
          <w:rFonts w:ascii="Times New Roman" w:hAnsi="Times New Roman" w:cs="Times New Roman"/>
          <w:lang w:val="en-US"/>
        </w:rPr>
        <w:fldChar w:fldCharType="end"/>
      </w:r>
      <w:r w:rsidR="00820DCD">
        <w:rPr>
          <w:rFonts w:ascii="Times New Roman" w:hAnsi="Times New Roman" w:cs="Times New Roman"/>
          <w:lang w:val="en-US"/>
        </w:rPr>
        <w:t xml:space="preserve">. The majority of </w:t>
      </w:r>
      <w:r w:rsidR="00820DCD">
        <w:rPr>
          <w:rFonts w:ascii="Times New Roman" w:hAnsi="Times New Roman" w:cs="Times New Roman"/>
          <w:lang w:val="en-US"/>
        </w:rPr>
        <w:lastRenderedPageBreak/>
        <w:t xml:space="preserve">these NAPs were developed in </w:t>
      </w:r>
      <w:r w:rsidR="001E4AA1">
        <w:rPr>
          <w:rFonts w:ascii="Times New Roman" w:hAnsi="Times New Roman" w:cs="Times New Roman"/>
          <w:lang w:val="en-US"/>
        </w:rPr>
        <w:t xml:space="preserve">low- or </w:t>
      </w:r>
      <w:r w:rsidR="00A2445C">
        <w:rPr>
          <w:rFonts w:ascii="Times New Roman" w:hAnsi="Times New Roman" w:cs="Times New Roman"/>
          <w:lang w:val="en-US"/>
        </w:rPr>
        <w:t>middle-income</w:t>
      </w:r>
      <w:r w:rsidR="00820DCD">
        <w:rPr>
          <w:rFonts w:ascii="Times New Roman" w:hAnsi="Times New Roman" w:cs="Times New Roman"/>
          <w:lang w:val="en-US"/>
        </w:rPr>
        <w:t xml:space="preserve"> countries </w:t>
      </w:r>
      <w:r w:rsidR="001E4AA1">
        <w:rPr>
          <w:rFonts w:ascii="Times New Roman" w:hAnsi="Times New Roman" w:cs="Times New Roman"/>
          <w:lang w:val="en-US"/>
        </w:rPr>
        <w:t xml:space="preserve">(LMICs) </w:t>
      </w:r>
      <w:r w:rsidR="00820DCD">
        <w:rPr>
          <w:rFonts w:ascii="Times New Roman" w:hAnsi="Times New Roman" w:cs="Times New Roman"/>
          <w:lang w:val="en-US"/>
        </w:rPr>
        <w:t>such as C</w:t>
      </w:r>
      <w:r w:rsidR="00883CE9" w:rsidRPr="00883CE9">
        <w:rPr>
          <w:rFonts w:ascii="Times New Roman" w:hAnsi="Times New Roman" w:cs="Times New Roman"/>
          <w:lang w:val="en-US"/>
        </w:rPr>
        <w:t>ambodia, Liberia,</w:t>
      </w:r>
      <w:r w:rsidR="00820DCD">
        <w:rPr>
          <w:rFonts w:ascii="Times New Roman" w:hAnsi="Times New Roman" w:cs="Times New Roman"/>
          <w:lang w:val="en-US"/>
        </w:rPr>
        <w:t xml:space="preserve"> and </w:t>
      </w:r>
      <w:r w:rsidR="00883CE9" w:rsidRPr="00883CE9">
        <w:rPr>
          <w:rFonts w:ascii="Times New Roman" w:hAnsi="Times New Roman" w:cs="Times New Roman"/>
          <w:lang w:val="en-US"/>
        </w:rPr>
        <w:t>Mozambique</w:t>
      </w:r>
      <w:r w:rsidR="00820DCD">
        <w:rPr>
          <w:rFonts w:ascii="Times New Roman" w:hAnsi="Times New Roman" w:cs="Times New Roman"/>
          <w:lang w:val="en-US"/>
        </w:rPr>
        <w:t xml:space="preserve">. </w:t>
      </w:r>
    </w:p>
    <w:p w14:paraId="3C542BEC" w14:textId="5AE10A2F" w:rsidR="001B3345" w:rsidRDefault="00820DCD" w:rsidP="007356C6">
      <w:pPr>
        <w:spacing w:line="360" w:lineRule="auto"/>
        <w:jc w:val="both"/>
        <w:rPr>
          <w:rFonts w:ascii="Times New Roman" w:hAnsi="Times New Roman" w:cs="Times New Roman"/>
          <w:lang w:val="en-US"/>
        </w:rPr>
      </w:pPr>
      <w:r>
        <w:rPr>
          <w:rFonts w:ascii="Times New Roman" w:hAnsi="Times New Roman" w:cs="Times New Roman"/>
          <w:lang w:val="en-US"/>
        </w:rPr>
        <w:t xml:space="preserve">Beyond NAPs, the WHO </w:t>
      </w:r>
      <w:r w:rsidR="001E4AA1">
        <w:rPr>
          <w:rFonts w:ascii="Times New Roman" w:hAnsi="Times New Roman" w:cs="Times New Roman"/>
          <w:lang w:val="en-US"/>
        </w:rPr>
        <w:t>GCVP</w:t>
      </w:r>
      <w:r>
        <w:rPr>
          <w:rFonts w:ascii="Times New Roman" w:hAnsi="Times New Roman" w:cs="Times New Roman"/>
          <w:lang w:val="en-US"/>
        </w:rPr>
        <w:t xml:space="preserve"> </w:t>
      </w:r>
      <w:r w:rsidR="00883CE9" w:rsidRPr="00883CE9">
        <w:rPr>
          <w:rFonts w:ascii="Times New Roman" w:hAnsi="Times New Roman" w:cs="Times New Roman"/>
          <w:lang w:val="en-US"/>
        </w:rPr>
        <w:t>Global Status Report</w:t>
      </w:r>
      <w:r>
        <w:rPr>
          <w:rFonts w:ascii="Times New Roman" w:hAnsi="Times New Roman" w:cs="Times New Roman"/>
          <w:lang w:val="en-US"/>
        </w:rPr>
        <w:t xml:space="preserve"> </w:t>
      </w:r>
      <w:r w:rsidR="007356C6">
        <w:rPr>
          <w:rFonts w:ascii="Times New Roman" w:hAnsi="Times New Roman" w:cs="Times New Roman"/>
          <w:lang w:val="en-US"/>
        </w:rPr>
        <w:fldChar w:fldCharType="begin"/>
      </w:r>
      <w:r w:rsidR="007356C6">
        <w:rPr>
          <w:rFonts w:ascii="Times New Roman" w:hAnsi="Times New Roman" w:cs="Times New Roman"/>
          <w:lang w:val="en-US"/>
        </w:rPr>
        <w:instrText xml:space="preserve"> ADDIN EN.CITE &lt;EndNote&gt;&lt;Cite&gt;&lt;Author&gt;World Health Organisation&lt;/Author&gt;&lt;Year&gt;2014&lt;/Year&gt;&lt;RecNum&gt;3311&lt;/RecNum&gt;&lt;DisplayText&gt;(World Health Organisation 2014)&lt;/DisplayText&gt;&lt;record&gt;&lt;rec-number&gt;3311&lt;/rec-number&gt;&lt;foreign-keys&gt;&lt;key app="EN" db-id="xeadttdpnf0vfgev2xzv2v9gvp92rp5tstes" timestamp="1649083833"&gt;3311&lt;/key&gt;&lt;/foreign-keys&gt;&lt;ref-type name="Report"&gt;27&lt;/ref-type&gt;&lt;contributors&gt;&lt;authors&gt;&lt;author&gt;World Health Organisation,&lt;/author&gt;&lt;/authors&gt;&lt;/contributors&gt;&lt;titles&gt;&lt;title&gt;Global Status Report on Violence Prevention 2014&lt;/title&gt;&lt;/titles&gt;&lt;dates&gt;&lt;year&gt;2014&lt;/year&gt;&lt;/dates&gt;&lt;pub-location&gt;Geneva&lt;/pub-location&gt;&lt;urls&gt;&lt;related-urls&gt;&lt;url&gt;https://www.who.int/publications/i/item/9789241564793?msclkid=69e0a710b42611ec92b3d69c2139604c&lt;/url&gt;&lt;/related-urls&gt;&lt;/urls&gt;&lt;/record&gt;&lt;/Cite&gt;&lt;/EndNote&gt;</w:instrText>
      </w:r>
      <w:r w:rsidR="007356C6">
        <w:rPr>
          <w:rFonts w:ascii="Times New Roman" w:hAnsi="Times New Roman" w:cs="Times New Roman"/>
          <w:lang w:val="en-US"/>
        </w:rPr>
        <w:fldChar w:fldCharType="separate"/>
      </w:r>
      <w:r w:rsidR="007356C6">
        <w:rPr>
          <w:rFonts w:ascii="Times New Roman" w:hAnsi="Times New Roman" w:cs="Times New Roman"/>
          <w:noProof/>
          <w:lang w:val="en-US"/>
        </w:rPr>
        <w:t>(World Health Organisation 2014)</w:t>
      </w:r>
      <w:r w:rsidR="007356C6">
        <w:rPr>
          <w:rFonts w:ascii="Times New Roman" w:hAnsi="Times New Roman" w:cs="Times New Roman"/>
          <w:lang w:val="en-US"/>
        </w:rPr>
        <w:fldChar w:fldCharType="end"/>
      </w:r>
      <w:r>
        <w:rPr>
          <w:rFonts w:ascii="Times New Roman" w:hAnsi="Times New Roman" w:cs="Times New Roman"/>
          <w:lang w:val="en-US"/>
        </w:rPr>
        <w:t xml:space="preserve"> s</w:t>
      </w:r>
      <w:r w:rsidR="00883CE9" w:rsidRPr="00883CE9">
        <w:rPr>
          <w:rFonts w:ascii="Times New Roman" w:hAnsi="Times New Roman" w:cs="Times New Roman"/>
          <w:lang w:val="en-US"/>
        </w:rPr>
        <w:t>urvey</w:t>
      </w:r>
      <w:r>
        <w:rPr>
          <w:rFonts w:ascii="Times New Roman" w:hAnsi="Times New Roman" w:cs="Times New Roman"/>
          <w:lang w:val="en-US"/>
        </w:rPr>
        <w:t xml:space="preserve">ed specific anti-violence </w:t>
      </w:r>
      <w:r w:rsidR="00883CE9" w:rsidRPr="00883CE9">
        <w:rPr>
          <w:rFonts w:ascii="Times New Roman" w:hAnsi="Times New Roman" w:cs="Times New Roman"/>
          <w:lang w:val="en-US"/>
        </w:rPr>
        <w:t>public health interventions adopted by member states</w:t>
      </w:r>
      <w:r>
        <w:rPr>
          <w:rFonts w:ascii="Times New Roman" w:hAnsi="Times New Roman" w:cs="Times New Roman"/>
          <w:lang w:val="en-US"/>
        </w:rPr>
        <w:t xml:space="preserve"> in terms of l</w:t>
      </w:r>
      <w:r w:rsidR="00883CE9" w:rsidRPr="00883CE9">
        <w:rPr>
          <w:rFonts w:ascii="Times New Roman" w:hAnsi="Times New Roman" w:cs="Times New Roman"/>
          <w:lang w:val="en-US"/>
        </w:rPr>
        <w:t>eg</w:t>
      </w:r>
      <w:r>
        <w:rPr>
          <w:rFonts w:ascii="Times New Roman" w:hAnsi="Times New Roman" w:cs="Times New Roman"/>
          <w:lang w:val="en-US"/>
        </w:rPr>
        <w:t>islation, policy, interventions and</w:t>
      </w:r>
      <w:r w:rsidR="00883CE9" w:rsidRPr="00883CE9">
        <w:rPr>
          <w:rFonts w:ascii="Times New Roman" w:hAnsi="Times New Roman" w:cs="Times New Roman"/>
          <w:lang w:val="en-US"/>
        </w:rPr>
        <w:t xml:space="preserve"> data</w:t>
      </w:r>
      <w:r w:rsidR="001E4AA1">
        <w:rPr>
          <w:rFonts w:ascii="Times New Roman" w:hAnsi="Times New Roman" w:cs="Times New Roman"/>
          <w:lang w:val="en-US"/>
        </w:rPr>
        <w:t>-</w:t>
      </w:r>
      <w:r w:rsidR="00883CE9" w:rsidRPr="00883CE9">
        <w:rPr>
          <w:rFonts w:ascii="Times New Roman" w:hAnsi="Times New Roman" w:cs="Times New Roman"/>
          <w:lang w:val="en-US"/>
        </w:rPr>
        <w:t>gathering</w:t>
      </w:r>
      <w:r>
        <w:rPr>
          <w:rFonts w:ascii="Times New Roman" w:hAnsi="Times New Roman" w:cs="Times New Roman"/>
          <w:lang w:val="en-US"/>
        </w:rPr>
        <w:t>. Some of these actions can be characterized as specifically targeting femicide and non-fatal violence directed against women</w:t>
      </w:r>
      <w:r w:rsidR="001E4AA1">
        <w:rPr>
          <w:rFonts w:ascii="Times New Roman" w:hAnsi="Times New Roman" w:cs="Times New Roman"/>
          <w:lang w:val="en-US"/>
        </w:rPr>
        <w:t xml:space="preserve"> in particular</w:t>
      </w:r>
      <w:r>
        <w:rPr>
          <w:rFonts w:ascii="Times New Roman" w:hAnsi="Times New Roman" w:cs="Times New Roman"/>
          <w:lang w:val="en-US"/>
        </w:rPr>
        <w:t xml:space="preserve">. </w:t>
      </w:r>
      <w:r w:rsidR="00617B2C">
        <w:rPr>
          <w:rFonts w:ascii="Times New Roman" w:hAnsi="Times New Roman" w:cs="Times New Roman"/>
          <w:lang w:val="en-US"/>
        </w:rPr>
        <w:t>For example,</w:t>
      </w:r>
      <w:r w:rsidR="008837EA" w:rsidRPr="008837EA">
        <w:rPr>
          <w:rFonts w:ascii="Times New Roman" w:hAnsi="Times New Roman" w:cs="Times New Roman"/>
          <w:lang w:val="en-US"/>
        </w:rPr>
        <w:t xml:space="preserve"> </w:t>
      </w:r>
      <w:r w:rsidR="00617B2C">
        <w:rPr>
          <w:rFonts w:ascii="Times New Roman" w:hAnsi="Times New Roman" w:cs="Times New Roman"/>
          <w:lang w:val="en-US"/>
        </w:rPr>
        <w:t xml:space="preserve">the approach adopted in </w:t>
      </w:r>
      <w:r w:rsidR="008837EA" w:rsidRPr="008837EA">
        <w:rPr>
          <w:rFonts w:ascii="Times New Roman" w:hAnsi="Times New Roman" w:cs="Times New Roman"/>
          <w:lang w:val="en-US"/>
        </w:rPr>
        <w:t xml:space="preserve">Peru </w:t>
      </w:r>
      <w:r w:rsidR="00617B2C">
        <w:rPr>
          <w:rFonts w:ascii="Times New Roman" w:hAnsi="Times New Roman" w:cs="Times New Roman"/>
          <w:lang w:val="en-US"/>
        </w:rPr>
        <w:t>is</w:t>
      </w:r>
      <w:r w:rsidR="008837EA" w:rsidRPr="008837EA">
        <w:rPr>
          <w:rFonts w:ascii="Times New Roman" w:hAnsi="Times New Roman" w:cs="Times New Roman"/>
          <w:lang w:val="en-US"/>
        </w:rPr>
        <w:t xml:space="preserve"> often cited as best practice</w:t>
      </w:r>
      <w:r w:rsidR="00617B2C">
        <w:rPr>
          <w:rFonts w:ascii="Times New Roman" w:hAnsi="Times New Roman" w:cs="Times New Roman"/>
          <w:lang w:val="en-US"/>
        </w:rPr>
        <w:t xml:space="preserve"> with an </w:t>
      </w:r>
      <w:r w:rsidR="008837EA" w:rsidRPr="008837EA">
        <w:rPr>
          <w:rFonts w:ascii="Times New Roman" w:hAnsi="Times New Roman" w:cs="Times New Roman"/>
          <w:lang w:val="en-US"/>
        </w:rPr>
        <w:t xml:space="preserve">action plan  </w:t>
      </w:r>
      <w:r w:rsidR="00617B2C">
        <w:rPr>
          <w:rFonts w:ascii="Times New Roman" w:hAnsi="Times New Roman" w:cs="Times New Roman"/>
          <w:lang w:val="en-US"/>
        </w:rPr>
        <w:t xml:space="preserve">which </w:t>
      </w:r>
      <w:r w:rsidR="008837EA" w:rsidRPr="008837EA">
        <w:rPr>
          <w:rFonts w:ascii="Times New Roman" w:hAnsi="Times New Roman" w:cs="Times New Roman"/>
          <w:lang w:val="en-US"/>
        </w:rPr>
        <w:t xml:space="preserve">includes </w:t>
      </w:r>
      <w:bookmarkStart w:id="1" w:name="_Hlk112424271"/>
      <w:r w:rsidR="008837EA" w:rsidRPr="008837EA">
        <w:rPr>
          <w:rFonts w:ascii="Times New Roman" w:hAnsi="Times New Roman" w:cs="Times New Roman"/>
          <w:lang w:val="en-US"/>
        </w:rPr>
        <w:t>"several agencies with specialized task forces [working] toward femicide reduction and prosecuting the abusers, including emergency centers for women, a hotline for victims of violence against women, and the Specialized Police Squad for Prevention Against Domestic Violence.</w:t>
      </w:r>
      <w:bookmarkEnd w:id="1"/>
      <w:r w:rsidR="008837EA" w:rsidRPr="008837EA">
        <w:rPr>
          <w:rFonts w:ascii="Times New Roman" w:hAnsi="Times New Roman" w:cs="Times New Roman"/>
          <w:lang w:val="en-US"/>
        </w:rPr>
        <w:t>"</w:t>
      </w:r>
      <w:r w:rsidR="008837EA">
        <w:rPr>
          <w:rFonts w:ascii="Times New Roman" w:hAnsi="Times New Roman" w:cs="Times New Roman"/>
          <w:lang w:val="en-US"/>
        </w:rPr>
        <w:t xml:space="preserve"> </w:t>
      </w:r>
      <w:r>
        <w:rPr>
          <w:rFonts w:ascii="Times New Roman" w:hAnsi="Times New Roman" w:cs="Times New Roman"/>
          <w:lang w:val="en-US"/>
        </w:rPr>
        <w:t>T</w:t>
      </w:r>
      <w:r w:rsidR="001E4AA1">
        <w:rPr>
          <w:rFonts w:ascii="Times New Roman" w:hAnsi="Times New Roman" w:cs="Times New Roman"/>
          <w:lang w:val="en-US"/>
        </w:rPr>
        <w:t xml:space="preserve">he Report </w:t>
      </w:r>
      <w:r>
        <w:rPr>
          <w:rFonts w:ascii="Times New Roman" w:hAnsi="Times New Roman" w:cs="Times New Roman"/>
          <w:lang w:val="en-US"/>
        </w:rPr>
        <w:t>provide</w:t>
      </w:r>
      <w:r w:rsidR="001E4AA1">
        <w:rPr>
          <w:rFonts w:ascii="Times New Roman" w:hAnsi="Times New Roman" w:cs="Times New Roman"/>
          <w:lang w:val="en-US"/>
        </w:rPr>
        <w:t>s</w:t>
      </w:r>
      <w:r>
        <w:rPr>
          <w:rFonts w:ascii="Times New Roman" w:hAnsi="Times New Roman" w:cs="Times New Roman"/>
          <w:lang w:val="en-US"/>
        </w:rPr>
        <w:t xml:space="preserve"> </w:t>
      </w:r>
      <w:r w:rsidR="007356C6">
        <w:rPr>
          <w:rFonts w:ascii="Times New Roman" w:hAnsi="Times New Roman" w:cs="Times New Roman"/>
          <w:lang w:val="en-US"/>
        </w:rPr>
        <w:t xml:space="preserve">a unique perspective </w:t>
      </w:r>
      <w:r>
        <w:rPr>
          <w:rFonts w:ascii="Times New Roman" w:hAnsi="Times New Roman" w:cs="Times New Roman"/>
          <w:lang w:val="en-US"/>
        </w:rPr>
        <w:t xml:space="preserve">on what actions have been taken around the world since the start of the millennium to </w:t>
      </w:r>
      <w:r w:rsidR="00AC2DB9">
        <w:rPr>
          <w:rFonts w:ascii="Times New Roman" w:hAnsi="Times New Roman" w:cs="Times New Roman"/>
          <w:lang w:val="en-US"/>
        </w:rPr>
        <w:t>reduce violence against women and, when combined with violence rates over the same period</w:t>
      </w:r>
      <w:r w:rsidR="004F1D6D">
        <w:rPr>
          <w:rFonts w:ascii="Times New Roman" w:hAnsi="Times New Roman" w:cs="Times New Roman"/>
          <w:lang w:val="en-US"/>
        </w:rPr>
        <w:t>,</w:t>
      </w:r>
      <w:r w:rsidR="00AC2DB9">
        <w:rPr>
          <w:rFonts w:ascii="Times New Roman" w:hAnsi="Times New Roman" w:cs="Times New Roman"/>
          <w:lang w:val="en-US"/>
        </w:rPr>
        <w:t xml:space="preserve"> can enable preliminary conclusions </w:t>
      </w:r>
      <w:r w:rsidR="001E4AA1">
        <w:rPr>
          <w:rFonts w:ascii="Times New Roman" w:hAnsi="Times New Roman" w:cs="Times New Roman"/>
          <w:lang w:val="en-US"/>
        </w:rPr>
        <w:t xml:space="preserve">to be drawn about </w:t>
      </w:r>
      <w:r w:rsidR="00AC2DB9">
        <w:rPr>
          <w:rFonts w:ascii="Times New Roman" w:hAnsi="Times New Roman" w:cs="Times New Roman"/>
          <w:lang w:val="en-US"/>
        </w:rPr>
        <w:t xml:space="preserve">the association between actions and improvements. </w:t>
      </w:r>
    </w:p>
    <w:p w14:paraId="76A242E1" w14:textId="0A24AED7" w:rsidR="00CE4AC8" w:rsidRDefault="00CE4AC8" w:rsidP="007356C6">
      <w:pPr>
        <w:spacing w:line="360" w:lineRule="auto"/>
        <w:jc w:val="both"/>
        <w:rPr>
          <w:rFonts w:ascii="Times New Roman" w:hAnsi="Times New Roman" w:cs="Times New Roman"/>
          <w:lang w:val="en-US"/>
        </w:rPr>
      </w:pPr>
      <w:r w:rsidRPr="00425A73">
        <w:rPr>
          <w:rFonts w:ascii="Times New Roman" w:hAnsi="Times New Roman" w:cs="Times New Roman"/>
          <w:lang w:val="en-US"/>
        </w:rPr>
        <w:t xml:space="preserve">The aims of this study </w:t>
      </w:r>
      <w:r w:rsidR="007356C6">
        <w:rPr>
          <w:rFonts w:ascii="Times New Roman" w:hAnsi="Times New Roman" w:cs="Times New Roman"/>
          <w:lang w:val="en-US"/>
        </w:rPr>
        <w:t xml:space="preserve">therefore </w:t>
      </w:r>
      <w:r w:rsidRPr="00425A73">
        <w:rPr>
          <w:rFonts w:ascii="Times New Roman" w:hAnsi="Times New Roman" w:cs="Times New Roman"/>
          <w:lang w:val="en-US"/>
        </w:rPr>
        <w:t>were to examine (1) global trends in femicide in the period 2003-2014</w:t>
      </w:r>
      <w:r w:rsidR="003A27F3">
        <w:rPr>
          <w:rFonts w:ascii="Times New Roman" w:hAnsi="Times New Roman" w:cs="Times New Roman"/>
          <w:lang w:val="en-US"/>
        </w:rPr>
        <w:t xml:space="preserve"> in the context of national wealth and inequality</w:t>
      </w:r>
      <w:r w:rsidRPr="00425A73">
        <w:rPr>
          <w:rFonts w:ascii="Times New Roman" w:hAnsi="Times New Roman" w:cs="Times New Roman"/>
          <w:lang w:val="en-US"/>
        </w:rPr>
        <w:t xml:space="preserve">; </w:t>
      </w:r>
      <w:r w:rsidR="007356C6">
        <w:rPr>
          <w:rFonts w:ascii="Times New Roman" w:hAnsi="Times New Roman" w:cs="Times New Roman"/>
          <w:lang w:val="en-US"/>
        </w:rPr>
        <w:t xml:space="preserve">and </w:t>
      </w:r>
      <w:r w:rsidRPr="00425A73">
        <w:rPr>
          <w:rFonts w:ascii="Times New Roman" w:hAnsi="Times New Roman" w:cs="Times New Roman"/>
          <w:lang w:val="en-US"/>
        </w:rPr>
        <w:t>(2) key</w:t>
      </w:r>
      <w:r w:rsidR="00706620" w:rsidRPr="00706620">
        <w:rPr>
          <w:lang w:val="en-US"/>
        </w:rPr>
        <w:t xml:space="preserve"> </w:t>
      </w:r>
      <w:r w:rsidR="00706620" w:rsidRPr="00706620">
        <w:rPr>
          <w:rFonts w:ascii="Times New Roman" w:hAnsi="Times New Roman" w:cs="Times New Roman"/>
          <w:lang w:val="en-US"/>
        </w:rPr>
        <w:t>national policy and legislative</w:t>
      </w:r>
      <w:r w:rsidRPr="00425A73">
        <w:rPr>
          <w:rFonts w:ascii="Times New Roman" w:hAnsi="Times New Roman" w:cs="Times New Roman"/>
          <w:lang w:val="en-US"/>
        </w:rPr>
        <w:t xml:space="preserve"> actions taken by UN member states with regard to violence against women over the same time period.</w:t>
      </w:r>
    </w:p>
    <w:p w14:paraId="49ECB370" w14:textId="77777777" w:rsidR="00425A73" w:rsidRPr="00706620" w:rsidRDefault="00425A73" w:rsidP="007356C6">
      <w:pPr>
        <w:pStyle w:val="Heading1"/>
        <w:spacing w:line="360" w:lineRule="auto"/>
        <w:jc w:val="both"/>
        <w:rPr>
          <w:lang w:val="en-US"/>
        </w:rPr>
      </w:pPr>
      <w:r>
        <w:rPr>
          <w:lang w:val="en-US"/>
        </w:rPr>
        <w:t>Method</w:t>
      </w:r>
      <w:r w:rsidRPr="00425A73">
        <w:rPr>
          <w:lang w:val="en-US"/>
        </w:rPr>
        <w:t xml:space="preserve"> </w:t>
      </w:r>
    </w:p>
    <w:p w14:paraId="18ACB9B7" w14:textId="74392DE5" w:rsidR="00425A73" w:rsidRDefault="00425A73" w:rsidP="007356C6">
      <w:pPr>
        <w:pStyle w:val="Heading2"/>
        <w:spacing w:line="360" w:lineRule="auto"/>
        <w:jc w:val="both"/>
        <w:rPr>
          <w:lang w:val="en-US"/>
        </w:rPr>
      </w:pPr>
      <w:r>
        <w:rPr>
          <w:lang w:val="en-US"/>
        </w:rPr>
        <w:t>Data sources</w:t>
      </w:r>
    </w:p>
    <w:p w14:paraId="355D55C8" w14:textId="065087AB" w:rsidR="00CE4AC8" w:rsidRPr="00425A73" w:rsidRDefault="001B3345" w:rsidP="007356C6">
      <w:pPr>
        <w:spacing w:line="360" w:lineRule="auto"/>
        <w:jc w:val="both"/>
        <w:rPr>
          <w:rFonts w:ascii="Times New Roman" w:hAnsi="Times New Roman" w:cs="Times New Roman"/>
          <w:lang w:val="en-US"/>
        </w:rPr>
      </w:pPr>
      <w:r w:rsidRPr="001B3345">
        <w:rPr>
          <w:rFonts w:ascii="Times New Roman" w:hAnsi="Times New Roman" w:cs="Times New Roman"/>
          <w:lang w:val="en-US"/>
        </w:rPr>
        <w:t xml:space="preserve">A secondary data survey research design was adopted. </w:t>
      </w:r>
      <w:r w:rsidR="00CE4AC8" w:rsidRPr="00425A73">
        <w:rPr>
          <w:rFonts w:ascii="Times New Roman" w:hAnsi="Times New Roman" w:cs="Times New Roman"/>
          <w:lang w:val="en-US"/>
        </w:rPr>
        <w:t>An integrated dataset was constructed</w:t>
      </w:r>
      <w:r w:rsidR="002F4F38">
        <w:rPr>
          <w:rFonts w:ascii="Times New Roman" w:hAnsi="Times New Roman" w:cs="Times New Roman"/>
          <w:lang w:val="en-US"/>
        </w:rPr>
        <w:t xml:space="preserve"> by</w:t>
      </w:r>
      <w:r w:rsidR="00CE4AC8" w:rsidRPr="00425A73">
        <w:rPr>
          <w:rFonts w:ascii="Times New Roman" w:hAnsi="Times New Roman" w:cs="Times New Roman"/>
          <w:lang w:val="en-US"/>
        </w:rPr>
        <w:t xml:space="preserve"> combining data from t</w:t>
      </w:r>
      <w:r w:rsidR="001E4AA1">
        <w:rPr>
          <w:rFonts w:ascii="Times New Roman" w:hAnsi="Times New Roman" w:cs="Times New Roman"/>
          <w:lang w:val="en-US"/>
        </w:rPr>
        <w:t xml:space="preserve">wo </w:t>
      </w:r>
      <w:r w:rsidR="008837EA">
        <w:rPr>
          <w:rFonts w:ascii="Times New Roman" w:hAnsi="Times New Roman" w:cs="Times New Roman"/>
          <w:lang w:val="en-US"/>
        </w:rPr>
        <w:t xml:space="preserve">main </w:t>
      </w:r>
      <w:r w:rsidR="001E4AA1">
        <w:rPr>
          <w:rFonts w:ascii="Times New Roman" w:hAnsi="Times New Roman" w:cs="Times New Roman"/>
          <w:lang w:val="en-US"/>
        </w:rPr>
        <w:t xml:space="preserve"> </w:t>
      </w:r>
      <w:r w:rsidR="00806B24" w:rsidRPr="00425A73">
        <w:rPr>
          <w:rFonts w:ascii="Times New Roman" w:hAnsi="Times New Roman" w:cs="Times New Roman"/>
          <w:lang w:val="en-US"/>
        </w:rPr>
        <w:t>sources:</w:t>
      </w:r>
    </w:p>
    <w:p w14:paraId="275680F4" w14:textId="77777777" w:rsidR="001B3345" w:rsidRDefault="002F4F38" w:rsidP="00A73477">
      <w:pPr>
        <w:pStyle w:val="ListParagraph"/>
        <w:numPr>
          <w:ilvl w:val="0"/>
          <w:numId w:val="1"/>
        </w:numPr>
        <w:spacing w:line="360" w:lineRule="auto"/>
        <w:jc w:val="both"/>
        <w:rPr>
          <w:rFonts w:ascii="Times New Roman" w:hAnsi="Times New Roman" w:cs="Times New Roman"/>
          <w:lang w:val="en-US"/>
        </w:rPr>
      </w:pPr>
      <w:r w:rsidRPr="00103FBC">
        <w:rPr>
          <w:rFonts w:ascii="Times New Roman" w:hAnsi="Times New Roman" w:cs="Times New Roman"/>
          <w:b/>
          <w:bCs/>
          <w:lang w:val="en-US"/>
        </w:rPr>
        <w:t>Femicide prevention actions:</w:t>
      </w:r>
      <w:r w:rsidRPr="00103FBC">
        <w:rPr>
          <w:rFonts w:ascii="Times New Roman" w:hAnsi="Times New Roman" w:cs="Times New Roman"/>
          <w:lang w:val="en-US"/>
        </w:rPr>
        <w:t xml:space="preserve"> the WHO country profiles (n=133) published in the Global Status Report on Violence Prevention</w:t>
      </w:r>
      <w:r w:rsidR="003A50BA" w:rsidRPr="00103FBC">
        <w:rPr>
          <w:rFonts w:ascii="Times New Roman" w:hAnsi="Times New Roman" w:cs="Times New Roman"/>
          <w:lang w:val="en-US"/>
        </w:rPr>
        <w:t xml:space="preserve"> </w:t>
      </w:r>
      <w:r w:rsidR="003A50BA" w:rsidRPr="00103FBC">
        <w:rPr>
          <w:rFonts w:ascii="Times New Roman" w:hAnsi="Times New Roman" w:cs="Times New Roman"/>
          <w:lang w:val="en-US"/>
        </w:rPr>
        <w:fldChar w:fldCharType="begin"/>
      </w:r>
      <w:r w:rsidR="001E4AA1">
        <w:rPr>
          <w:rFonts w:ascii="Times New Roman" w:hAnsi="Times New Roman" w:cs="Times New Roman"/>
          <w:lang w:val="en-US"/>
        </w:rPr>
        <w:instrText xml:space="preserve"> ADDIN EN.CITE &lt;EndNote&gt;&lt;Cite&gt;&lt;Author&gt;World Health Organisation&lt;/Author&gt;&lt;Year&gt;2014&lt;/Year&gt;&lt;RecNum&gt;3311&lt;/RecNum&gt;&lt;DisplayText&gt;(World Health Organisation 2014, World Health Organisation 2022)&lt;/DisplayText&gt;&lt;record&gt;&lt;rec-number&gt;3311&lt;/rec-number&gt;&lt;foreign-keys&gt;&lt;key app="EN" db-id="xeadttdpnf0vfgev2xzv2v9gvp92rp5tstes" timestamp="1649083833"&gt;3311&lt;/key&gt;&lt;/foreign-keys&gt;&lt;ref-type name="Report"&gt;27&lt;/ref-type&gt;&lt;contributors&gt;&lt;authors&gt;&lt;author&gt;World Health Organisation,&lt;/author&gt;&lt;/authors&gt;&lt;/contributors&gt;&lt;titles&gt;&lt;title&gt;Global Status Report on Violence Prevention 2014&lt;/title&gt;&lt;/titles&gt;&lt;dates&gt;&lt;year&gt;2014&lt;/year&gt;&lt;/dates&gt;&lt;pub-location&gt;Geneva&lt;/pub-location&gt;&lt;urls&gt;&lt;related-urls&gt;&lt;url&gt;https://www.who.int/publications/i/item/9789241564793?msclkid=69e0a710b42611ec92b3d69c2139604c&lt;/url&gt;&lt;/related-urls&gt;&lt;/urls&gt;&lt;/record&gt;&lt;/Cite&gt;&lt;Cite&gt;&lt;Author&gt;World Health Organisation&lt;/Author&gt;&lt;Year&gt;2022&lt;/Year&gt;&lt;RecNum&gt;3314&lt;/RecNum&gt;&lt;record&gt;&lt;rec-number&gt;3314&lt;/rec-number&gt;&lt;foreign-keys&gt;&lt;key app="EN" db-id="xeadttdpnf0vfgev2xzv2v9gvp92rp5tstes" timestamp="1649237255"&gt;3314&lt;/key&gt;&lt;/foreign-keys&gt;&lt;ref-type name="Dataset"&gt;59&lt;/ref-type&gt;&lt;contributors&gt;&lt;authors&gt;&lt;author&gt;World Health Organisation,&lt;/author&gt;&lt;/authors&gt;&lt;secondary-authors&gt;&lt;author&gt;WHO&lt;/author&gt;&lt;/secondary-authors&gt;&lt;/contributors&gt;&lt;titles&gt;&lt;title&gt;Violence Prevention Information System (Violence Info)&lt;/title&gt;&lt;/titles&gt;&lt;dates&gt;&lt;year&gt;2022&lt;/year&gt;&lt;/dates&gt;&lt;urls&gt;&lt;related-urls&gt;&lt;url&gt;https://apps.who.int/violence-info/countries&lt;/url&gt;&lt;/related-urls&gt;&lt;/urls&gt;&lt;/record&gt;&lt;/Cite&gt;&lt;/EndNote&gt;</w:instrText>
      </w:r>
      <w:r w:rsidR="003A50BA" w:rsidRPr="00103FBC">
        <w:rPr>
          <w:rFonts w:ascii="Times New Roman" w:hAnsi="Times New Roman" w:cs="Times New Roman"/>
          <w:lang w:val="en-US"/>
        </w:rPr>
        <w:fldChar w:fldCharType="separate"/>
      </w:r>
      <w:r w:rsidR="001E4AA1">
        <w:rPr>
          <w:rFonts w:ascii="Times New Roman" w:hAnsi="Times New Roman" w:cs="Times New Roman"/>
          <w:noProof/>
          <w:lang w:val="en-US"/>
        </w:rPr>
        <w:t>(World Health Organisation 2014, World Health Organisation 2022)</w:t>
      </w:r>
      <w:r w:rsidR="003A50BA" w:rsidRPr="00103FBC">
        <w:rPr>
          <w:rFonts w:ascii="Times New Roman" w:hAnsi="Times New Roman" w:cs="Times New Roman"/>
          <w:lang w:val="en-US"/>
        </w:rPr>
        <w:fldChar w:fldCharType="end"/>
      </w:r>
      <w:r w:rsidRPr="00103FBC">
        <w:rPr>
          <w:rFonts w:ascii="Times New Roman" w:hAnsi="Times New Roman" w:cs="Times New Roman"/>
          <w:lang w:val="en-US"/>
        </w:rPr>
        <w:t xml:space="preserve"> were accessed. </w:t>
      </w:r>
      <w:r w:rsidR="00103FBC" w:rsidRPr="00103FBC">
        <w:rPr>
          <w:rFonts w:ascii="Times New Roman" w:hAnsi="Times New Roman" w:cs="Times New Roman"/>
          <w:lang w:val="en-US"/>
        </w:rPr>
        <w:t>This is a national-level dataset specifying public health acti</w:t>
      </w:r>
      <w:r w:rsidR="001E4AA1">
        <w:rPr>
          <w:rFonts w:ascii="Times New Roman" w:hAnsi="Times New Roman" w:cs="Times New Roman"/>
          <w:lang w:val="en-US"/>
        </w:rPr>
        <w:t>o</w:t>
      </w:r>
      <w:r w:rsidR="00103FBC" w:rsidRPr="00103FBC">
        <w:rPr>
          <w:rFonts w:ascii="Times New Roman" w:hAnsi="Times New Roman" w:cs="Times New Roman"/>
          <w:lang w:val="en-US"/>
        </w:rPr>
        <w:t xml:space="preserve">ns </w:t>
      </w:r>
      <w:r w:rsidR="00A73477">
        <w:rPr>
          <w:rFonts w:ascii="Times New Roman" w:hAnsi="Times New Roman" w:cs="Times New Roman"/>
          <w:lang w:val="en-US"/>
        </w:rPr>
        <w:t>implemented</w:t>
      </w:r>
      <w:r w:rsidR="00103FBC" w:rsidRPr="00103FBC">
        <w:rPr>
          <w:rFonts w:ascii="Times New Roman" w:hAnsi="Times New Roman" w:cs="Times New Roman"/>
          <w:lang w:val="en-US"/>
        </w:rPr>
        <w:t xml:space="preserve"> to address violence in each country</w:t>
      </w:r>
      <w:r w:rsidR="00A73477">
        <w:rPr>
          <w:rFonts w:ascii="Times New Roman" w:hAnsi="Times New Roman" w:cs="Times New Roman"/>
          <w:lang w:val="en-US"/>
        </w:rPr>
        <w:t xml:space="preserve"> up to and including the survey year (2012)</w:t>
      </w:r>
      <w:r w:rsidR="00103FBC" w:rsidRPr="00103FBC">
        <w:rPr>
          <w:rFonts w:ascii="Times New Roman" w:hAnsi="Times New Roman" w:cs="Times New Roman"/>
          <w:lang w:val="en-US"/>
        </w:rPr>
        <w:t xml:space="preserve">. </w:t>
      </w:r>
      <w:r w:rsidRPr="00103FBC">
        <w:rPr>
          <w:rFonts w:ascii="Times New Roman" w:hAnsi="Times New Roman" w:cs="Times New Roman"/>
          <w:lang w:val="en-US"/>
        </w:rPr>
        <w:t xml:space="preserve">To construct these profiles, a questionnaire covering 10 domains was developed and piloted by </w:t>
      </w:r>
      <w:r w:rsidR="003A50BA" w:rsidRPr="00103FBC">
        <w:rPr>
          <w:rFonts w:ascii="Times New Roman" w:hAnsi="Times New Roman" w:cs="Times New Roman"/>
          <w:lang w:val="en-US"/>
        </w:rPr>
        <w:t xml:space="preserve">the </w:t>
      </w:r>
      <w:r w:rsidRPr="00103FBC">
        <w:rPr>
          <w:rFonts w:ascii="Times New Roman" w:hAnsi="Times New Roman" w:cs="Times New Roman"/>
          <w:lang w:val="en-US"/>
        </w:rPr>
        <w:t xml:space="preserve">WHO based on actions recommended in previous guidance </w:t>
      </w:r>
      <w:r w:rsidR="003A50BA" w:rsidRPr="00103FBC">
        <w:rPr>
          <w:rFonts w:ascii="Times New Roman" w:hAnsi="Times New Roman" w:cs="Times New Roman"/>
          <w:lang w:val="en-US"/>
        </w:rPr>
        <w:fldChar w:fldCharType="begin"/>
      </w:r>
      <w:r w:rsidR="001E4AA1">
        <w:rPr>
          <w:rFonts w:ascii="Times New Roman" w:hAnsi="Times New Roman" w:cs="Times New Roman"/>
          <w:lang w:val="en-US"/>
        </w:rPr>
        <w:instrText xml:space="preserve"> ADDIN EN.CITE &lt;EndNote&gt;&lt;Cite&gt;&lt;Author&gt;World Health Organisation&lt;/Author&gt;&lt;Year&gt;2002&lt;/Year&gt;&lt;RecNum&gt;822&lt;/RecNum&gt;&lt;DisplayText&gt;(World Health Organisation 2002)&lt;/DisplayText&gt;&lt;record&gt;&lt;rec-number&gt;822&lt;/rec-number&gt;&lt;foreign-keys&gt;&lt;key app="EN" db-id="xeadttdpnf0vfgev2xzv2v9gvp92rp5tstes" timestamp="0"&gt;822&lt;/key&gt;&lt;/foreign-keys&gt;&lt;ref-type name="Report"&gt;27&lt;/ref-type&gt;&lt;contributors&gt;&lt;authors&gt;&lt;author&gt;World Health Organisation,&lt;/author&gt;&lt;/authors&gt;&lt;/contributors&gt;&lt;titles&gt;&lt;title&gt;World Report on Violence and Health&lt;/title&gt;&lt;/titles&gt;&lt;dates&gt;&lt;year&gt;2002&lt;/year&gt;&lt;/dates&gt;&lt;pub-location&gt;Geneva&lt;/pub-location&gt;&lt;publisher&gt;WHO&lt;/publisher&gt;&lt;urls&gt;&lt;/urls&gt;&lt;/record&gt;&lt;/Cite&gt;&lt;/EndNote&gt;</w:instrText>
      </w:r>
      <w:r w:rsidR="003A50BA" w:rsidRPr="00103FBC">
        <w:rPr>
          <w:rFonts w:ascii="Times New Roman" w:hAnsi="Times New Roman" w:cs="Times New Roman"/>
          <w:lang w:val="en-US"/>
        </w:rPr>
        <w:fldChar w:fldCharType="separate"/>
      </w:r>
      <w:r w:rsidR="001E4AA1">
        <w:rPr>
          <w:rFonts w:ascii="Times New Roman" w:hAnsi="Times New Roman" w:cs="Times New Roman"/>
          <w:noProof/>
          <w:lang w:val="en-US"/>
        </w:rPr>
        <w:t>(World Health Organisation 2002)</w:t>
      </w:r>
      <w:r w:rsidR="003A50BA" w:rsidRPr="00103FBC">
        <w:rPr>
          <w:rFonts w:ascii="Times New Roman" w:hAnsi="Times New Roman" w:cs="Times New Roman"/>
          <w:lang w:val="en-US"/>
        </w:rPr>
        <w:fldChar w:fldCharType="end"/>
      </w:r>
      <w:r w:rsidR="003A50BA" w:rsidRPr="00103FBC">
        <w:rPr>
          <w:rFonts w:ascii="Times New Roman" w:hAnsi="Times New Roman" w:cs="Times New Roman"/>
          <w:lang w:val="en-US"/>
        </w:rPr>
        <w:t xml:space="preserve"> </w:t>
      </w:r>
      <w:r w:rsidRPr="00103FBC">
        <w:rPr>
          <w:rFonts w:ascii="Times New Roman" w:hAnsi="Times New Roman" w:cs="Times New Roman"/>
          <w:lang w:val="en-US"/>
        </w:rPr>
        <w:t xml:space="preserve">as guided by an international expert committee. The 5 core domains were: data availability and rates; action plans and agency involvement in violence prevention; prevention policies and laws in 5 areas (child maltreatment, youth violence, intimate partner violence, sexual violence and elder abuse), health services for victims of violence and legal services. A National Data Coordinator in each country was identified by </w:t>
      </w:r>
      <w:r w:rsidR="00A73477">
        <w:rPr>
          <w:rFonts w:ascii="Times New Roman" w:hAnsi="Times New Roman" w:cs="Times New Roman"/>
          <w:lang w:val="en-US"/>
        </w:rPr>
        <w:t xml:space="preserve">the </w:t>
      </w:r>
      <w:r w:rsidRPr="00103FBC">
        <w:rPr>
          <w:rFonts w:ascii="Times New Roman" w:hAnsi="Times New Roman" w:cs="Times New Roman"/>
          <w:lang w:val="en-US"/>
        </w:rPr>
        <w:t xml:space="preserve">WHO and was responsible for gathering information within their jurisdiction from relevant stakeholders in government, police forces, education services and non-governmental organisations. The questionnaire was available in 8 languages and administration was supported through webinar </w:t>
      </w:r>
      <w:r w:rsidRPr="00103FBC">
        <w:rPr>
          <w:rFonts w:ascii="Times New Roman" w:hAnsi="Times New Roman" w:cs="Times New Roman"/>
          <w:lang w:val="en-US"/>
        </w:rPr>
        <w:lastRenderedPageBreak/>
        <w:t>training and completion protocols including a glossary. Multisectoral responses were co-ordinated at a national consensus meeting in each country to produce a single national data set. Submitted responses were validated where possible by WHO through comparison to independent databases. The survey was implemented</w:t>
      </w:r>
      <w:r w:rsidR="00103FBC" w:rsidRPr="00103FBC">
        <w:rPr>
          <w:rFonts w:ascii="Times New Roman" w:hAnsi="Times New Roman" w:cs="Times New Roman"/>
          <w:lang w:val="en-US"/>
        </w:rPr>
        <w:t xml:space="preserve"> by WHO</w:t>
      </w:r>
      <w:r w:rsidRPr="00103FBC">
        <w:rPr>
          <w:rFonts w:ascii="Times New Roman" w:hAnsi="Times New Roman" w:cs="Times New Roman"/>
          <w:lang w:val="en-US"/>
        </w:rPr>
        <w:t xml:space="preserve"> over 24 months from mid-2012 to mid-2014. </w:t>
      </w:r>
    </w:p>
    <w:p w14:paraId="0F2BE898" w14:textId="72399D5A" w:rsidR="00103FBC" w:rsidRPr="003126F4" w:rsidRDefault="002F4F38" w:rsidP="003126F4">
      <w:pPr>
        <w:spacing w:line="360" w:lineRule="auto"/>
        <w:ind w:left="708"/>
        <w:jc w:val="both"/>
        <w:rPr>
          <w:rFonts w:ascii="Times New Roman" w:hAnsi="Times New Roman" w:cs="Times New Roman"/>
          <w:lang w:val="en-US"/>
        </w:rPr>
      </w:pPr>
      <w:r w:rsidRPr="003126F4">
        <w:rPr>
          <w:rFonts w:ascii="Times New Roman" w:hAnsi="Times New Roman" w:cs="Times New Roman"/>
          <w:lang w:val="en-US"/>
        </w:rPr>
        <w:t xml:space="preserve">The published questionnaire responses </w:t>
      </w:r>
      <w:r w:rsidR="00A73477" w:rsidRPr="003126F4">
        <w:rPr>
          <w:rFonts w:ascii="Times New Roman" w:hAnsi="Times New Roman" w:cs="Times New Roman"/>
          <w:lang w:val="en-US"/>
        </w:rPr>
        <w:fldChar w:fldCharType="begin"/>
      </w:r>
      <w:r w:rsidR="00A73477" w:rsidRPr="003126F4">
        <w:rPr>
          <w:rFonts w:ascii="Times New Roman" w:hAnsi="Times New Roman" w:cs="Times New Roman"/>
          <w:lang w:val="en-US"/>
        </w:rPr>
        <w:instrText xml:space="preserve"> ADDIN EN.CITE &lt;EndNote&gt;&lt;Cite&gt;&lt;Author&gt;World Health Organisation&lt;/Author&gt;&lt;Year&gt;2014&lt;/Year&gt;&lt;RecNum&gt;1743&lt;/RecNum&gt;&lt;DisplayText&gt;(World Health Organisation 2014)&lt;/DisplayText&gt;&lt;record&gt;&lt;rec-number&gt;1743&lt;/rec-number&gt;&lt;foreign-keys&gt;&lt;key app="EN" db-id="xeadttdpnf0vfgev2xzv2v9gvp92rp5tstes" timestamp="0"&gt;1743&lt;/key&gt;&lt;/foreign-keys&gt;&lt;ref-type name="Report"&gt;27&lt;/ref-type&gt;&lt;contributors&gt;&lt;authors&gt;&lt;author&gt;World Health Organisation,&lt;/author&gt;&lt;/authors&gt;&lt;/contributors&gt;&lt;titles&gt;&lt;title&gt;Global Status Report On Violence Prevention&lt;/title&gt;&lt;short-title&gt;Global Status Report On Violence Prevention&lt;/short-title&gt;&lt;/titles&gt;&lt;dates&gt;&lt;year&gt;2014&lt;/year&gt;&lt;/dates&gt;&lt;pub-location&gt;Geneva, Switzerland&lt;/pub-location&gt;&lt;urls&gt;&lt;related-urls&gt;&lt;url&gt;http://www.who.int/violence_injury_prevention/violence/status_report/2014/report/report/en/&lt;/url&gt;&lt;/related-urls&gt;&lt;/urls&gt;&lt;/record&gt;&lt;/Cite&gt;&lt;/EndNote&gt;</w:instrText>
      </w:r>
      <w:r w:rsidR="00A73477" w:rsidRPr="003126F4">
        <w:rPr>
          <w:rFonts w:ascii="Times New Roman" w:hAnsi="Times New Roman" w:cs="Times New Roman"/>
          <w:lang w:val="en-US"/>
        </w:rPr>
        <w:fldChar w:fldCharType="separate"/>
      </w:r>
      <w:r w:rsidR="00A73477" w:rsidRPr="003126F4">
        <w:rPr>
          <w:rFonts w:ascii="Times New Roman" w:hAnsi="Times New Roman" w:cs="Times New Roman"/>
          <w:noProof/>
          <w:lang w:val="en-US"/>
        </w:rPr>
        <w:t>(World Health Organisation 2014)</w:t>
      </w:r>
      <w:r w:rsidR="00A73477" w:rsidRPr="003126F4">
        <w:rPr>
          <w:rFonts w:ascii="Times New Roman" w:hAnsi="Times New Roman" w:cs="Times New Roman"/>
          <w:lang w:val="en-US"/>
        </w:rPr>
        <w:fldChar w:fldCharType="end"/>
      </w:r>
      <w:r w:rsidR="00A73477" w:rsidRPr="003126F4">
        <w:rPr>
          <w:rFonts w:ascii="Times New Roman" w:hAnsi="Times New Roman" w:cs="Times New Roman"/>
          <w:lang w:val="en-US"/>
        </w:rPr>
        <w:t xml:space="preserve"> </w:t>
      </w:r>
      <w:r w:rsidRPr="003126F4">
        <w:rPr>
          <w:rFonts w:ascii="Times New Roman" w:hAnsi="Times New Roman" w:cs="Times New Roman"/>
          <w:lang w:val="en-US"/>
        </w:rPr>
        <w:t xml:space="preserve">were loaded </w:t>
      </w:r>
      <w:r w:rsidR="003A50BA" w:rsidRPr="003126F4">
        <w:rPr>
          <w:rFonts w:ascii="Times New Roman" w:hAnsi="Times New Roman" w:cs="Times New Roman"/>
          <w:lang w:val="en-US"/>
        </w:rPr>
        <w:t xml:space="preserve">by the research team </w:t>
      </w:r>
      <w:r w:rsidRPr="003126F4">
        <w:rPr>
          <w:rFonts w:ascii="Times New Roman" w:hAnsi="Times New Roman" w:cs="Times New Roman"/>
          <w:lang w:val="en-US"/>
        </w:rPr>
        <w:t xml:space="preserve">into an SPSS v 23 file for analysis. </w:t>
      </w:r>
      <w:r w:rsidR="00103FBC" w:rsidRPr="003126F4">
        <w:rPr>
          <w:rFonts w:ascii="Times New Roman" w:hAnsi="Times New Roman" w:cs="Times New Roman"/>
          <w:lang w:val="en-US"/>
        </w:rPr>
        <w:t xml:space="preserve">To identify gender-specific </w:t>
      </w:r>
      <w:r w:rsidR="00A73477" w:rsidRPr="003126F4">
        <w:rPr>
          <w:rFonts w:ascii="Times New Roman" w:hAnsi="Times New Roman" w:cs="Times New Roman"/>
          <w:lang w:val="en-US"/>
        </w:rPr>
        <w:t>initiatives in each country</w:t>
      </w:r>
      <w:r w:rsidR="00103FBC" w:rsidRPr="003126F4">
        <w:rPr>
          <w:rFonts w:ascii="Times New Roman" w:hAnsi="Times New Roman" w:cs="Times New Roman"/>
          <w:lang w:val="en-US"/>
        </w:rPr>
        <w:t xml:space="preserve">, </w:t>
      </w:r>
      <w:r w:rsidR="00A73477" w:rsidRPr="003126F4">
        <w:rPr>
          <w:rFonts w:ascii="Times New Roman" w:hAnsi="Times New Roman" w:cs="Times New Roman"/>
          <w:lang w:val="en-US"/>
        </w:rPr>
        <w:t xml:space="preserve">a </w:t>
      </w:r>
      <w:r w:rsidRPr="003126F4">
        <w:rPr>
          <w:rFonts w:ascii="Times New Roman" w:hAnsi="Times New Roman" w:cs="Times New Roman"/>
          <w:lang w:val="en-US"/>
        </w:rPr>
        <w:t xml:space="preserve">17 item </w:t>
      </w:r>
      <w:r w:rsidR="00175224" w:rsidRPr="003126F4">
        <w:rPr>
          <w:rFonts w:ascii="Times New Roman" w:hAnsi="Times New Roman" w:cs="Times New Roman"/>
          <w:lang w:val="en-US"/>
        </w:rPr>
        <w:t>Anti-</w:t>
      </w:r>
      <w:r w:rsidRPr="003126F4">
        <w:rPr>
          <w:rFonts w:ascii="Times New Roman" w:hAnsi="Times New Roman" w:cs="Times New Roman"/>
          <w:lang w:val="en-US"/>
        </w:rPr>
        <w:t xml:space="preserve">Femicide Action Index </w:t>
      </w:r>
      <w:r w:rsidR="00175224" w:rsidRPr="003126F4">
        <w:rPr>
          <w:rFonts w:ascii="Times New Roman" w:hAnsi="Times New Roman" w:cs="Times New Roman"/>
          <w:lang w:val="en-US"/>
        </w:rPr>
        <w:t xml:space="preserve">(AFAX) </w:t>
      </w:r>
      <w:r w:rsidRPr="003126F4">
        <w:rPr>
          <w:rFonts w:ascii="Times New Roman" w:hAnsi="Times New Roman" w:cs="Times New Roman"/>
          <w:lang w:val="en-US"/>
        </w:rPr>
        <w:t xml:space="preserve">was constructed by </w:t>
      </w:r>
      <w:r w:rsidR="00103FBC" w:rsidRPr="003126F4">
        <w:rPr>
          <w:rFonts w:ascii="Times New Roman" w:hAnsi="Times New Roman" w:cs="Times New Roman"/>
          <w:lang w:val="en-US"/>
        </w:rPr>
        <w:t xml:space="preserve">selecting </w:t>
      </w:r>
      <w:r w:rsidRPr="003126F4">
        <w:rPr>
          <w:rFonts w:ascii="Times New Roman" w:hAnsi="Times New Roman" w:cs="Times New Roman"/>
          <w:lang w:val="en-US"/>
        </w:rPr>
        <w:t xml:space="preserve">actions listed in the questionnaire which were deemed by two members of the research team coding independently to be particularly relevant to femicide prevention. </w:t>
      </w:r>
      <w:r w:rsidR="00A73477" w:rsidRPr="003126F4">
        <w:rPr>
          <w:rFonts w:ascii="Times New Roman" w:hAnsi="Times New Roman" w:cs="Times New Roman"/>
          <w:lang w:val="en-US"/>
        </w:rPr>
        <w:t>The following</w:t>
      </w:r>
      <w:r w:rsidR="00103FBC" w:rsidRPr="003126F4">
        <w:rPr>
          <w:rFonts w:ascii="Times New Roman" w:hAnsi="Times New Roman" w:cs="Times New Roman"/>
          <w:lang w:val="en-US"/>
        </w:rPr>
        <w:t xml:space="preserve"> items in this index were scored yes/no for implementation by 2014.</w:t>
      </w:r>
    </w:p>
    <w:p w14:paraId="28100B04"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National Action Plans (2 items)</w:t>
      </w:r>
    </w:p>
    <w:p w14:paraId="0A836F60"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1.</w:t>
      </w:r>
      <w:r w:rsidRPr="00103FBC">
        <w:rPr>
          <w:rFonts w:ascii="Times New Roman" w:hAnsi="Times New Roman" w:cs="Times New Roman"/>
          <w:lang w:val="en-US"/>
        </w:rPr>
        <w:tab/>
        <w:t>National action plan for sexual violence</w:t>
      </w:r>
    </w:p>
    <w:p w14:paraId="6F545DF6"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2.</w:t>
      </w:r>
      <w:r w:rsidRPr="00103FBC">
        <w:rPr>
          <w:rFonts w:ascii="Times New Roman" w:hAnsi="Times New Roman" w:cs="Times New Roman"/>
          <w:lang w:val="en-US"/>
        </w:rPr>
        <w:tab/>
        <w:t>National action plan for intimate partner violence (IPV)</w:t>
      </w:r>
    </w:p>
    <w:p w14:paraId="7339D74E" w14:textId="7C552E28"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National prevention initiatives (7 items)</w:t>
      </w:r>
    </w:p>
    <w:p w14:paraId="0D05BB48"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3.</w:t>
      </w:r>
      <w:r w:rsidRPr="00103FBC">
        <w:rPr>
          <w:rFonts w:ascii="Times New Roman" w:hAnsi="Times New Roman" w:cs="Times New Roman"/>
          <w:lang w:val="en-US"/>
        </w:rPr>
        <w:tab/>
        <w:t>Medico-legal services for victims of sexual violence</w:t>
      </w:r>
    </w:p>
    <w:p w14:paraId="2FEE7B05"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4.</w:t>
      </w:r>
      <w:r w:rsidRPr="00103FBC">
        <w:rPr>
          <w:rFonts w:ascii="Times New Roman" w:hAnsi="Times New Roman" w:cs="Times New Roman"/>
          <w:lang w:val="en-US"/>
        </w:rPr>
        <w:tab/>
        <w:t>Dating violence prevention in schools</w:t>
      </w:r>
    </w:p>
    <w:p w14:paraId="6AF23BB1"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5.</w:t>
      </w:r>
      <w:r w:rsidRPr="00103FBC">
        <w:rPr>
          <w:rFonts w:ascii="Times New Roman" w:hAnsi="Times New Roman" w:cs="Times New Roman"/>
          <w:lang w:val="en-US"/>
        </w:rPr>
        <w:tab/>
        <w:t>Microfinance and gender equality training</w:t>
      </w:r>
    </w:p>
    <w:p w14:paraId="69E8DD13"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6.</w:t>
      </w:r>
      <w:r w:rsidRPr="00103FBC">
        <w:rPr>
          <w:rFonts w:ascii="Times New Roman" w:hAnsi="Times New Roman" w:cs="Times New Roman"/>
          <w:lang w:val="en-US"/>
        </w:rPr>
        <w:tab/>
        <w:t>Social and cultural norms change (IPV)</w:t>
      </w:r>
    </w:p>
    <w:p w14:paraId="257611C6"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7.</w:t>
      </w:r>
      <w:r w:rsidRPr="00103FBC">
        <w:rPr>
          <w:rFonts w:ascii="Times New Roman" w:hAnsi="Times New Roman" w:cs="Times New Roman"/>
          <w:lang w:val="en-US"/>
        </w:rPr>
        <w:tab/>
        <w:t>School and college programmes for sexual violence prevention</w:t>
      </w:r>
    </w:p>
    <w:p w14:paraId="3D9493AD" w14:textId="77777777" w:rsidR="00103FBC" w:rsidRPr="000413AB" w:rsidRDefault="00103FBC" w:rsidP="00103FBC">
      <w:pPr>
        <w:pStyle w:val="ListParagraph"/>
        <w:spacing w:line="360" w:lineRule="auto"/>
        <w:ind w:left="1416"/>
        <w:jc w:val="both"/>
        <w:rPr>
          <w:rFonts w:ascii="Times New Roman" w:hAnsi="Times New Roman" w:cs="Times New Roman"/>
          <w:lang w:val="fr-FR"/>
        </w:rPr>
      </w:pPr>
      <w:r w:rsidRPr="000413AB">
        <w:rPr>
          <w:rFonts w:ascii="Times New Roman" w:hAnsi="Times New Roman" w:cs="Times New Roman"/>
          <w:lang w:val="fr-FR"/>
        </w:rPr>
        <w:t>8.</w:t>
      </w:r>
      <w:r w:rsidRPr="000413AB">
        <w:rPr>
          <w:rFonts w:ascii="Times New Roman" w:hAnsi="Times New Roman" w:cs="Times New Roman"/>
          <w:lang w:val="fr-FR"/>
        </w:rPr>
        <w:tab/>
        <w:t>Physical environment changes for sexual violence prevention</w:t>
      </w:r>
    </w:p>
    <w:p w14:paraId="07F216EA"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9.</w:t>
      </w:r>
      <w:r w:rsidRPr="00103FBC">
        <w:rPr>
          <w:rFonts w:ascii="Times New Roman" w:hAnsi="Times New Roman" w:cs="Times New Roman"/>
          <w:lang w:val="en-US"/>
        </w:rPr>
        <w:tab/>
        <w:t>Social and cultural norms change (sexual violence)</w:t>
      </w:r>
    </w:p>
    <w:p w14:paraId="71679D4C"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National legislation (8 items)</w:t>
      </w:r>
    </w:p>
    <w:p w14:paraId="2F0A6279"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10.</w:t>
      </w:r>
      <w:r w:rsidRPr="00103FBC">
        <w:rPr>
          <w:rFonts w:ascii="Times New Roman" w:hAnsi="Times New Roman" w:cs="Times New Roman"/>
          <w:lang w:val="en-US"/>
        </w:rPr>
        <w:tab/>
        <w:t>Against child marriage</w:t>
      </w:r>
    </w:p>
    <w:p w14:paraId="3C708B28"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11.</w:t>
      </w:r>
      <w:r w:rsidRPr="00103FBC">
        <w:rPr>
          <w:rFonts w:ascii="Times New Roman" w:hAnsi="Times New Roman" w:cs="Times New Roman"/>
          <w:lang w:val="en-US"/>
        </w:rPr>
        <w:tab/>
        <w:t>Against statutory rape</w:t>
      </w:r>
    </w:p>
    <w:p w14:paraId="44975725"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12.</w:t>
      </w:r>
      <w:r w:rsidRPr="00103FBC">
        <w:rPr>
          <w:rFonts w:ascii="Times New Roman" w:hAnsi="Times New Roman" w:cs="Times New Roman"/>
          <w:lang w:val="en-US"/>
        </w:rPr>
        <w:tab/>
        <w:t>Against female genital mutation</w:t>
      </w:r>
    </w:p>
    <w:p w14:paraId="7CF70991"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13.</w:t>
      </w:r>
      <w:r w:rsidRPr="00103FBC">
        <w:rPr>
          <w:rFonts w:ascii="Times New Roman" w:hAnsi="Times New Roman" w:cs="Times New Roman"/>
          <w:lang w:val="en-US"/>
        </w:rPr>
        <w:tab/>
        <w:t>Against rape in marriage</w:t>
      </w:r>
    </w:p>
    <w:p w14:paraId="2C370BCB"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14.</w:t>
      </w:r>
      <w:r w:rsidRPr="00103FBC">
        <w:rPr>
          <w:rFonts w:ascii="Times New Roman" w:hAnsi="Times New Roman" w:cs="Times New Roman"/>
          <w:lang w:val="en-US"/>
        </w:rPr>
        <w:tab/>
        <w:t>Allowing removal of violent spouse from home</w:t>
      </w:r>
    </w:p>
    <w:p w14:paraId="56CC37FF"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15.</w:t>
      </w:r>
      <w:r w:rsidRPr="00103FBC">
        <w:rPr>
          <w:rFonts w:ascii="Times New Roman" w:hAnsi="Times New Roman" w:cs="Times New Roman"/>
          <w:lang w:val="en-US"/>
        </w:rPr>
        <w:tab/>
        <w:t>Against rape</w:t>
      </w:r>
    </w:p>
    <w:p w14:paraId="738D15E3" w14:textId="77777777" w:rsidR="00103FBC" w:rsidRP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16.</w:t>
      </w:r>
      <w:r w:rsidRPr="00103FBC">
        <w:rPr>
          <w:rFonts w:ascii="Times New Roman" w:hAnsi="Times New Roman" w:cs="Times New Roman"/>
          <w:lang w:val="en-US"/>
        </w:rPr>
        <w:tab/>
        <w:t>Against contact sexual violence without rape</w:t>
      </w:r>
    </w:p>
    <w:p w14:paraId="78CEF06C" w14:textId="169D41D8" w:rsidR="00103FBC" w:rsidRDefault="00103FBC" w:rsidP="00103FBC">
      <w:pPr>
        <w:pStyle w:val="ListParagraph"/>
        <w:spacing w:line="360" w:lineRule="auto"/>
        <w:ind w:left="1416"/>
        <w:jc w:val="both"/>
        <w:rPr>
          <w:rFonts w:ascii="Times New Roman" w:hAnsi="Times New Roman" w:cs="Times New Roman"/>
          <w:lang w:val="en-US"/>
        </w:rPr>
      </w:pPr>
      <w:r w:rsidRPr="00103FBC">
        <w:rPr>
          <w:rFonts w:ascii="Times New Roman" w:hAnsi="Times New Roman" w:cs="Times New Roman"/>
          <w:lang w:val="en-US"/>
        </w:rPr>
        <w:t>17.</w:t>
      </w:r>
      <w:r w:rsidRPr="00103FBC">
        <w:rPr>
          <w:rFonts w:ascii="Times New Roman" w:hAnsi="Times New Roman" w:cs="Times New Roman"/>
          <w:lang w:val="en-US"/>
        </w:rPr>
        <w:tab/>
        <w:t>Against non</w:t>
      </w:r>
      <w:r w:rsidR="00A73477">
        <w:rPr>
          <w:rFonts w:ascii="Times New Roman" w:hAnsi="Times New Roman" w:cs="Times New Roman"/>
          <w:lang w:val="en-US"/>
        </w:rPr>
        <w:t>-</w:t>
      </w:r>
      <w:r w:rsidRPr="00103FBC">
        <w:rPr>
          <w:rFonts w:ascii="Times New Roman" w:hAnsi="Times New Roman" w:cs="Times New Roman"/>
          <w:lang w:val="en-US"/>
        </w:rPr>
        <w:t>contact sexual violence</w:t>
      </w:r>
    </w:p>
    <w:p w14:paraId="58B0AB41" w14:textId="6C1F3114" w:rsidR="00806B24" w:rsidRPr="00425A73" w:rsidRDefault="0094308C" w:rsidP="007356C6">
      <w:pPr>
        <w:pStyle w:val="ListParagraph"/>
        <w:numPr>
          <w:ilvl w:val="0"/>
          <w:numId w:val="1"/>
        </w:numPr>
        <w:spacing w:line="360" w:lineRule="auto"/>
        <w:jc w:val="both"/>
        <w:rPr>
          <w:rFonts w:ascii="Times New Roman" w:hAnsi="Times New Roman" w:cs="Times New Roman"/>
          <w:lang w:val="en-US"/>
        </w:rPr>
      </w:pPr>
      <w:r w:rsidRPr="00425A73">
        <w:rPr>
          <w:rFonts w:ascii="Times New Roman" w:hAnsi="Times New Roman" w:cs="Times New Roman"/>
          <w:b/>
          <w:lang w:val="en-US"/>
        </w:rPr>
        <w:t>Femicide rates</w:t>
      </w:r>
      <w:r w:rsidR="003D775F">
        <w:rPr>
          <w:rFonts w:ascii="Times New Roman" w:hAnsi="Times New Roman" w:cs="Times New Roman"/>
          <w:b/>
          <w:lang w:val="en-US"/>
        </w:rPr>
        <w:t xml:space="preserve"> and proportions</w:t>
      </w:r>
      <w:r w:rsidRPr="00425A73">
        <w:rPr>
          <w:rFonts w:ascii="Times New Roman" w:hAnsi="Times New Roman" w:cs="Times New Roman"/>
          <w:b/>
          <w:lang w:val="en-US"/>
        </w:rPr>
        <w:t>:</w:t>
      </w:r>
      <w:r w:rsidRPr="00425A73">
        <w:rPr>
          <w:rFonts w:ascii="Times New Roman" w:hAnsi="Times New Roman" w:cs="Times New Roman"/>
          <w:lang w:val="en-US"/>
        </w:rPr>
        <w:t xml:space="preserve"> </w:t>
      </w:r>
      <w:r w:rsidR="003D775F">
        <w:rPr>
          <w:rFonts w:ascii="Times New Roman" w:hAnsi="Times New Roman" w:cs="Times New Roman"/>
          <w:lang w:val="en-US"/>
        </w:rPr>
        <w:t xml:space="preserve">femicide rate per 100,000 of female population and femicides as a proportion of all homicides per country </w:t>
      </w:r>
      <w:r w:rsidR="007420EF">
        <w:rPr>
          <w:rFonts w:ascii="Times New Roman" w:hAnsi="Times New Roman" w:cs="Times New Roman"/>
          <w:lang w:val="en-US"/>
        </w:rPr>
        <w:t xml:space="preserve">per year 2003-2014 </w:t>
      </w:r>
      <w:r w:rsidR="003D775F">
        <w:rPr>
          <w:rFonts w:ascii="Times New Roman" w:hAnsi="Times New Roman" w:cs="Times New Roman"/>
          <w:lang w:val="en-US"/>
        </w:rPr>
        <w:t>were calculated from t</w:t>
      </w:r>
      <w:r w:rsidR="00806B24" w:rsidRPr="00425A73">
        <w:rPr>
          <w:rFonts w:ascii="Times New Roman" w:hAnsi="Times New Roman" w:cs="Times New Roman"/>
          <w:lang w:val="en-US"/>
        </w:rPr>
        <w:t xml:space="preserve">he United Nations Office for Drugs and Crime </w:t>
      </w:r>
      <w:r w:rsidR="002D71BC" w:rsidRPr="00425A73">
        <w:rPr>
          <w:rFonts w:ascii="Times New Roman" w:hAnsi="Times New Roman" w:cs="Times New Roman"/>
          <w:lang w:val="en-US"/>
        </w:rPr>
        <w:t xml:space="preserve">(UNODC) </w:t>
      </w:r>
      <w:r w:rsidR="00806B24" w:rsidRPr="00425A73">
        <w:rPr>
          <w:rFonts w:ascii="Times New Roman" w:hAnsi="Times New Roman" w:cs="Times New Roman"/>
          <w:lang w:val="en-US"/>
        </w:rPr>
        <w:t xml:space="preserve">statistical series </w:t>
      </w:r>
      <w:r w:rsidR="003D775F">
        <w:rPr>
          <w:rFonts w:ascii="Times New Roman" w:hAnsi="Times New Roman" w:cs="Times New Roman"/>
          <w:lang w:val="en-US"/>
        </w:rPr>
        <w:t>on recorded homicide</w:t>
      </w:r>
      <w:r w:rsidR="002F4F38">
        <w:rPr>
          <w:rFonts w:ascii="Times New Roman" w:hAnsi="Times New Roman" w:cs="Times New Roman"/>
          <w:lang w:val="en-US"/>
        </w:rPr>
        <w:t xml:space="preserve"> </w:t>
      </w:r>
      <w:r w:rsidR="002F4F38">
        <w:rPr>
          <w:rFonts w:ascii="Times New Roman" w:hAnsi="Times New Roman" w:cs="Times New Roman"/>
          <w:lang w:val="en-US"/>
        </w:rPr>
        <w:fldChar w:fldCharType="begin"/>
      </w:r>
      <w:r w:rsidR="001E5F32">
        <w:rPr>
          <w:rFonts w:ascii="Times New Roman" w:hAnsi="Times New Roman" w:cs="Times New Roman"/>
          <w:lang w:val="en-US"/>
        </w:rPr>
        <w:instrText xml:space="preserve"> ADDIN EN.CITE &lt;EndNote&gt;&lt;Cite&gt;&lt;Author&gt;UNODC&lt;/Author&gt;&lt;Year&gt;2022&lt;/Year&gt;&lt;RecNum&gt;3313&lt;/RecNum&gt;&lt;DisplayText&gt;(UNODC 2022)&lt;/DisplayText&gt;&lt;record&gt;&lt;rec-number&gt;3313&lt;/rec-number&gt;&lt;foreign-keys&gt;&lt;key app="EN" db-id="xeadttdpnf0vfgev2xzv2v9gvp92rp5tstes" timestamp="1649236265"&gt;3313&lt;/key&gt;&lt;/foreign-keys&gt;&lt;ref-type name="Web Page"&gt;12&lt;/ref-type&gt;&lt;contributors&gt;&lt;authors&gt;&lt;author&gt;UNODC&lt;/author&gt;&lt;/authors&gt;&lt;/contributors&gt;&lt;titles&gt;&lt;title&gt;The 2018 United Nations Survey of Crime Trends and Operations of Criminal Justice Systems (2018 UN-CTS)&lt;/title&gt;&lt;/titles&gt;&lt;volume&gt;2022&lt;/volume&gt;&lt;number&gt;06/04/22&lt;/number&gt;&lt;dates&gt;&lt;year&gt;2022&lt;/year&gt;&lt;/dates&gt;&lt;urls&gt;&lt;related-urls&gt;&lt;url&gt;https://www.unodc.org/unodc/en/data-and-analysis/statistics/crime/cts-data-collection.html&lt;/url&gt;&lt;/related-urls&gt;&lt;/urls&gt;&lt;/record&gt;&lt;/Cite&gt;&lt;/EndNote&gt;</w:instrText>
      </w:r>
      <w:r w:rsidR="002F4F38">
        <w:rPr>
          <w:rFonts w:ascii="Times New Roman" w:hAnsi="Times New Roman" w:cs="Times New Roman"/>
          <w:lang w:val="en-US"/>
        </w:rPr>
        <w:fldChar w:fldCharType="separate"/>
      </w:r>
      <w:r w:rsidR="001E5F32">
        <w:rPr>
          <w:rFonts w:ascii="Times New Roman" w:hAnsi="Times New Roman" w:cs="Times New Roman"/>
          <w:noProof/>
          <w:lang w:val="en-US"/>
        </w:rPr>
        <w:t>(UNODC 2022)</w:t>
      </w:r>
      <w:r w:rsidR="002F4F38">
        <w:rPr>
          <w:rFonts w:ascii="Times New Roman" w:hAnsi="Times New Roman" w:cs="Times New Roman"/>
          <w:lang w:val="en-US"/>
        </w:rPr>
        <w:fldChar w:fldCharType="end"/>
      </w:r>
      <w:r w:rsidR="007420EF">
        <w:rPr>
          <w:rFonts w:ascii="Times New Roman" w:hAnsi="Times New Roman" w:cs="Times New Roman"/>
          <w:lang w:val="en-US"/>
        </w:rPr>
        <w:t xml:space="preserve"> for those countries with at least one observation during the period (n=66 countries: see Figure 1)</w:t>
      </w:r>
      <w:r w:rsidR="00425A73">
        <w:rPr>
          <w:rFonts w:ascii="Times New Roman" w:hAnsi="Times New Roman" w:cs="Times New Roman"/>
          <w:lang w:val="en-US"/>
        </w:rPr>
        <w:t xml:space="preserve">. </w:t>
      </w:r>
      <w:r w:rsidR="002D71BC" w:rsidRPr="00425A73">
        <w:rPr>
          <w:rFonts w:ascii="Times New Roman" w:hAnsi="Times New Roman" w:cs="Times New Roman"/>
          <w:lang w:val="en-US"/>
        </w:rPr>
        <w:t xml:space="preserve">UNODC requests data from member states on intentional homicide </w:t>
      </w:r>
      <w:r w:rsidR="0098024A" w:rsidRPr="00425A73">
        <w:rPr>
          <w:rFonts w:ascii="Times New Roman" w:hAnsi="Times New Roman" w:cs="Times New Roman"/>
          <w:lang w:val="en-US"/>
        </w:rPr>
        <w:t xml:space="preserve">offences by sex </w:t>
      </w:r>
      <w:r w:rsidR="0098024A" w:rsidRPr="00425A73">
        <w:rPr>
          <w:rFonts w:ascii="Times New Roman" w:hAnsi="Times New Roman" w:cs="Times New Roman"/>
          <w:lang w:val="en-US"/>
        </w:rPr>
        <w:lastRenderedPageBreak/>
        <w:t xml:space="preserve">on </w:t>
      </w:r>
      <w:r w:rsidR="002D71BC" w:rsidRPr="00425A73">
        <w:rPr>
          <w:rFonts w:ascii="Times New Roman" w:hAnsi="Times New Roman" w:cs="Times New Roman"/>
          <w:lang w:val="en-US"/>
        </w:rPr>
        <w:t>an annual</w:t>
      </w:r>
      <w:r w:rsidR="0098024A" w:rsidRPr="00425A73">
        <w:rPr>
          <w:rFonts w:ascii="Times New Roman" w:hAnsi="Times New Roman" w:cs="Times New Roman"/>
          <w:lang w:val="en-US"/>
        </w:rPr>
        <w:t xml:space="preserve"> basis using the United Nations Survey of Crime Trends and Operations of Criminal Justice Systems (UN-CTS) instrument. Intentional homicide is defined </w:t>
      </w:r>
      <w:r w:rsidR="003D775F">
        <w:rPr>
          <w:rFonts w:ascii="Times New Roman" w:hAnsi="Times New Roman" w:cs="Times New Roman"/>
          <w:lang w:val="en-US"/>
        </w:rPr>
        <w:t xml:space="preserve">in this dataset </w:t>
      </w:r>
      <w:r w:rsidR="0098024A" w:rsidRPr="00425A73">
        <w:rPr>
          <w:rFonts w:ascii="Times New Roman" w:hAnsi="Times New Roman" w:cs="Times New Roman"/>
          <w:lang w:val="en-US"/>
        </w:rPr>
        <w:t>as “unlawful death inflicted upon a person with the intent to cause death or serious injury" and includes murder, honour killing, serious assault leading to death, death as a result of terrorist activities, dowry-related killings, femicide, infanticide, voluntary manslaughter, extrajudicial killings (and) killings caused by excessive use of force by law enforcement/state officials”.</w:t>
      </w:r>
      <w:r w:rsidR="00DA5869" w:rsidRPr="00425A73">
        <w:rPr>
          <w:rFonts w:ascii="Times New Roman" w:hAnsi="Times New Roman" w:cs="Times New Roman"/>
          <w:lang w:val="en-US"/>
        </w:rPr>
        <w:t xml:space="preserve"> A focal point contact in each country complete</w:t>
      </w:r>
      <w:r w:rsidR="00A73477">
        <w:rPr>
          <w:rFonts w:ascii="Times New Roman" w:hAnsi="Times New Roman" w:cs="Times New Roman"/>
          <w:lang w:val="en-US"/>
        </w:rPr>
        <w:t>d</w:t>
      </w:r>
      <w:r w:rsidR="00DA5869" w:rsidRPr="00425A73">
        <w:rPr>
          <w:rFonts w:ascii="Times New Roman" w:hAnsi="Times New Roman" w:cs="Times New Roman"/>
          <w:lang w:val="en-US"/>
        </w:rPr>
        <w:t xml:space="preserve"> the instrumen</w:t>
      </w:r>
      <w:r w:rsidR="003D775F">
        <w:rPr>
          <w:rFonts w:ascii="Times New Roman" w:hAnsi="Times New Roman" w:cs="Times New Roman"/>
          <w:lang w:val="en-US"/>
        </w:rPr>
        <w:t>t in consultation with police or</w:t>
      </w:r>
      <w:r w:rsidR="00DA5869" w:rsidRPr="00425A73">
        <w:rPr>
          <w:rFonts w:ascii="Times New Roman" w:hAnsi="Times New Roman" w:cs="Times New Roman"/>
          <w:lang w:val="en-US"/>
        </w:rPr>
        <w:t xml:space="preserve"> other law enforcement agencies. </w:t>
      </w:r>
    </w:p>
    <w:p w14:paraId="36327398" w14:textId="77777777" w:rsidR="00425A73" w:rsidRDefault="00425A73" w:rsidP="007356C6">
      <w:pPr>
        <w:pStyle w:val="Heading2"/>
        <w:spacing w:line="360" w:lineRule="auto"/>
        <w:rPr>
          <w:lang w:val="en-US"/>
        </w:rPr>
      </w:pPr>
      <w:r w:rsidRPr="00425A73">
        <w:rPr>
          <w:lang w:val="en-US"/>
        </w:rPr>
        <w:t>Statistical analysis</w:t>
      </w:r>
    </w:p>
    <w:p w14:paraId="0C74FF66" w14:textId="6A26108E" w:rsidR="003F718D" w:rsidRDefault="003F718D" w:rsidP="007356C6">
      <w:pPr>
        <w:spacing w:line="360" w:lineRule="auto"/>
        <w:rPr>
          <w:rFonts w:ascii="Times New Roman" w:hAnsi="Times New Roman" w:cs="Times New Roman"/>
          <w:lang w:val="en-US"/>
        </w:rPr>
      </w:pPr>
      <w:r>
        <w:rPr>
          <w:rFonts w:ascii="Times New Roman" w:hAnsi="Times New Roman" w:cs="Times New Roman"/>
          <w:lang w:val="en-US"/>
        </w:rPr>
        <w:t xml:space="preserve">Femicide rate per 100,000 population for each country was calculated </w:t>
      </w:r>
      <w:r w:rsidR="007420EF">
        <w:rPr>
          <w:rFonts w:ascii="Times New Roman" w:hAnsi="Times New Roman" w:cs="Times New Roman"/>
          <w:lang w:val="en-US"/>
        </w:rPr>
        <w:t>using SPSS (</w:t>
      </w:r>
      <w:r w:rsidR="001B3345" w:rsidRPr="001B3345">
        <w:rPr>
          <w:rFonts w:ascii="Times New Roman" w:hAnsi="Times New Roman" w:cs="Times New Roman"/>
          <w:lang w:val="en-US"/>
        </w:rPr>
        <w:t>IBM Corp. Released 2016. IBM SPSS Statistics for Windows, Version 24.0. Armonk, NY: IBM Corp.</w:t>
      </w:r>
      <w:r w:rsidR="007420EF">
        <w:rPr>
          <w:rFonts w:ascii="Times New Roman" w:hAnsi="Times New Roman" w:cs="Times New Roman"/>
          <w:lang w:val="en-US"/>
        </w:rPr>
        <w:t xml:space="preserve">) </w:t>
      </w:r>
      <w:r>
        <w:rPr>
          <w:rFonts w:ascii="Times New Roman" w:hAnsi="Times New Roman" w:cs="Times New Roman"/>
          <w:lang w:val="en-US"/>
        </w:rPr>
        <w:t>as follows:</w:t>
      </w:r>
    </w:p>
    <w:p w14:paraId="1491AF55" w14:textId="746A1A85" w:rsidR="006F71B0" w:rsidRDefault="006F71B0" w:rsidP="007356C6">
      <w:pPr>
        <w:spacing w:line="360" w:lineRule="auto"/>
        <w:rPr>
          <w:rFonts w:ascii="Times New Roman" w:hAnsi="Times New Roman" w:cs="Times New Roman"/>
          <w:lang w:val="en-US"/>
        </w:rPr>
      </w:pPr>
      <w:r w:rsidRPr="006F71B0">
        <w:rPr>
          <w:rFonts w:ascii="Times New Roman" w:hAnsi="Times New Roman" w:cs="Times New Roman"/>
          <w:lang w:val="en-US"/>
        </w:rPr>
        <w:t xml:space="preserve">Number of femicides </w:t>
      </w:r>
      <w:r>
        <w:rPr>
          <w:rFonts w:ascii="Times New Roman" w:hAnsi="Times New Roman" w:cs="Times New Roman"/>
          <w:lang w:val="en-US"/>
        </w:rPr>
        <w:t xml:space="preserve">per year </w:t>
      </w:r>
      <w:r w:rsidRPr="006F71B0">
        <w:rPr>
          <w:rFonts w:ascii="Times New Roman" w:hAnsi="Times New Roman" w:cs="Times New Roman"/>
          <w:lang w:val="en-US"/>
        </w:rPr>
        <w:t xml:space="preserve">= Number of homicides (females and males combined) * Proportion of homicides with a female victim </w:t>
      </w:r>
      <w:r w:rsidR="001E5F32">
        <w:rPr>
          <w:rFonts w:ascii="Times New Roman" w:hAnsi="Times New Roman" w:cs="Times New Roman"/>
          <w:lang w:val="en-US"/>
        </w:rPr>
        <w:fldChar w:fldCharType="begin"/>
      </w:r>
      <w:r w:rsidR="001E5F32">
        <w:rPr>
          <w:rFonts w:ascii="Times New Roman" w:hAnsi="Times New Roman" w:cs="Times New Roman"/>
          <w:lang w:val="en-US"/>
        </w:rPr>
        <w:instrText xml:space="preserve"> ADDIN EN.CITE &lt;EndNote&gt;&lt;Cite&gt;&lt;Author&gt;UNODC&lt;/Author&gt;&lt;Year&gt;2022&lt;/Year&gt;&lt;RecNum&gt;3313&lt;/RecNum&gt;&lt;Prefix&gt;source: &lt;/Prefix&gt;&lt;DisplayText&gt;(source: UNODC 2022)&lt;/DisplayText&gt;&lt;record&gt;&lt;rec-number&gt;3313&lt;/rec-number&gt;&lt;foreign-keys&gt;&lt;key app="EN" db-id="xeadttdpnf0vfgev2xzv2v9gvp92rp5tstes" timestamp="1649236265"&gt;3313&lt;/key&gt;&lt;/foreign-keys&gt;&lt;ref-type name="Web Page"&gt;12&lt;/ref-type&gt;&lt;contributors&gt;&lt;authors&gt;&lt;author&gt;UNODC&lt;/author&gt;&lt;/authors&gt;&lt;/contributors&gt;&lt;titles&gt;&lt;title&gt;The 2018 United Nations Survey of Crime Trends and Operations of Criminal Justice Systems (2018 UN-CTS)&lt;/title&gt;&lt;/titles&gt;&lt;volume&gt;2022&lt;/volume&gt;&lt;number&gt;06/04/22&lt;/number&gt;&lt;dates&gt;&lt;year&gt;2022&lt;/year&gt;&lt;/dates&gt;&lt;urls&gt;&lt;related-urls&gt;&lt;url&gt;https://www.unodc.org/unodc/en/data-and-analysis/statistics/crime/cts-data-collection.html&lt;/url&gt;&lt;/related-urls&gt;&lt;/urls&gt;&lt;/record&gt;&lt;/Cite&gt;&lt;/EndNote&gt;</w:instrText>
      </w:r>
      <w:r w:rsidR="001E5F32">
        <w:rPr>
          <w:rFonts w:ascii="Times New Roman" w:hAnsi="Times New Roman" w:cs="Times New Roman"/>
          <w:lang w:val="en-US"/>
        </w:rPr>
        <w:fldChar w:fldCharType="separate"/>
      </w:r>
      <w:r w:rsidR="001E5F32">
        <w:rPr>
          <w:rFonts w:ascii="Times New Roman" w:hAnsi="Times New Roman" w:cs="Times New Roman"/>
          <w:noProof/>
          <w:lang w:val="en-US"/>
        </w:rPr>
        <w:t>(source: UNODC 2022)</w:t>
      </w:r>
      <w:r w:rsidR="001E5F32">
        <w:rPr>
          <w:rFonts w:ascii="Times New Roman" w:hAnsi="Times New Roman" w:cs="Times New Roman"/>
          <w:lang w:val="en-US"/>
        </w:rPr>
        <w:fldChar w:fldCharType="end"/>
      </w:r>
    </w:p>
    <w:p w14:paraId="49246F14" w14:textId="0EAB7103" w:rsidR="003F718D" w:rsidRDefault="003F718D" w:rsidP="007356C6">
      <w:pPr>
        <w:spacing w:line="360" w:lineRule="auto"/>
        <w:rPr>
          <w:rFonts w:ascii="Times New Roman" w:hAnsi="Times New Roman" w:cs="Times New Roman"/>
          <w:lang w:val="en-US"/>
        </w:rPr>
      </w:pPr>
      <w:r>
        <w:rPr>
          <w:rFonts w:ascii="Times New Roman" w:hAnsi="Times New Roman" w:cs="Times New Roman"/>
          <w:lang w:val="en-US"/>
        </w:rPr>
        <w:t xml:space="preserve">Femicide rate per 100,000 population </w:t>
      </w:r>
      <w:r w:rsidR="006F71B0">
        <w:rPr>
          <w:rFonts w:ascii="Times New Roman" w:hAnsi="Times New Roman" w:cs="Times New Roman"/>
          <w:lang w:val="en-US"/>
        </w:rPr>
        <w:t xml:space="preserve">per year </w:t>
      </w:r>
      <w:r>
        <w:rPr>
          <w:rFonts w:ascii="Times New Roman" w:hAnsi="Times New Roman" w:cs="Times New Roman"/>
          <w:lang w:val="en-US"/>
        </w:rPr>
        <w:t xml:space="preserve">= Number of femicides / Female population </w:t>
      </w:r>
      <w:r w:rsidR="001E5F32">
        <w:rPr>
          <w:rFonts w:ascii="Times New Roman" w:hAnsi="Times New Roman" w:cs="Times New Roman"/>
          <w:lang w:val="en-US"/>
        </w:rPr>
        <w:fldChar w:fldCharType="begin"/>
      </w:r>
      <w:r w:rsidR="001E5F32">
        <w:rPr>
          <w:rFonts w:ascii="Times New Roman" w:hAnsi="Times New Roman" w:cs="Times New Roman"/>
          <w:lang w:val="en-US"/>
        </w:rPr>
        <w:instrText xml:space="preserve"> ADDIN EN.CITE &lt;EndNote&gt;&lt;Cite&gt;&lt;Author&gt;World Bank&lt;/Author&gt;&lt;Year&gt;2022&lt;/Year&gt;&lt;RecNum&gt;3315&lt;/RecNum&gt;&lt;Prefix&gt;source:&lt;/Prefix&gt;&lt;DisplayText&gt;(source:World Bank 2022)&lt;/DisplayText&gt;&lt;record&gt;&lt;rec-number&gt;3315&lt;/rec-number&gt;&lt;foreign-keys&gt;&lt;key app="EN" db-id="xeadttdpnf0vfgev2xzv2v9gvp92rp5tstes" timestamp="1649237885"&gt;3315&lt;/key&gt;&lt;/foreign-keys&gt;&lt;ref-type name="Dataset"&gt;59&lt;/ref-type&gt;&lt;contributors&gt;&lt;authors&gt;&lt;author&gt;World Bank,&lt;/author&gt;&lt;/authors&gt;&lt;/contributors&gt;&lt;titles&gt;&lt;title&gt;Databank&lt;/title&gt;&lt;/titles&gt;&lt;dates&gt;&lt;year&gt;2022&lt;/year&gt;&lt;/dates&gt;&lt;urls&gt;&lt;related-urls&gt;&lt;url&gt;https://databank.worldbank.org/home.aspx&lt;/url&gt;&lt;/related-urls&gt;&lt;/urls&gt;&lt;/record&gt;&lt;/Cite&gt;&lt;/EndNote&gt;</w:instrText>
      </w:r>
      <w:r w:rsidR="001E5F32">
        <w:rPr>
          <w:rFonts w:ascii="Times New Roman" w:hAnsi="Times New Roman" w:cs="Times New Roman"/>
          <w:lang w:val="en-US"/>
        </w:rPr>
        <w:fldChar w:fldCharType="separate"/>
      </w:r>
      <w:r w:rsidR="001E5F32">
        <w:rPr>
          <w:rFonts w:ascii="Times New Roman" w:hAnsi="Times New Roman" w:cs="Times New Roman"/>
          <w:noProof/>
          <w:lang w:val="en-US"/>
        </w:rPr>
        <w:t>(source:World Bank 2022)</w:t>
      </w:r>
      <w:r w:rsidR="001E5F32">
        <w:rPr>
          <w:rFonts w:ascii="Times New Roman" w:hAnsi="Times New Roman" w:cs="Times New Roman"/>
          <w:lang w:val="en-US"/>
        </w:rPr>
        <w:fldChar w:fldCharType="end"/>
      </w:r>
    </w:p>
    <w:p w14:paraId="48895C12" w14:textId="7EA90F0E" w:rsidR="0098005A" w:rsidRDefault="003F718D" w:rsidP="003126F4">
      <w:pPr>
        <w:spacing w:line="360" w:lineRule="auto"/>
        <w:jc w:val="both"/>
        <w:rPr>
          <w:rFonts w:ascii="Times New Roman" w:hAnsi="Times New Roman" w:cs="Times New Roman"/>
          <w:lang w:val="en-US"/>
        </w:rPr>
      </w:pPr>
      <w:r>
        <w:rPr>
          <w:rFonts w:ascii="Times New Roman" w:hAnsi="Times New Roman" w:cs="Times New Roman"/>
          <w:lang w:val="en-US"/>
        </w:rPr>
        <w:t xml:space="preserve">These </w:t>
      </w:r>
      <w:r w:rsidR="0098005A" w:rsidRPr="0098005A">
        <w:rPr>
          <w:rFonts w:ascii="Times New Roman" w:hAnsi="Times New Roman" w:cs="Times New Roman"/>
          <w:lang w:val="en-US"/>
        </w:rPr>
        <w:t xml:space="preserve">rates </w:t>
      </w:r>
      <w:r w:rsidR="0098005A">
        <w:rPr>
          <w:rFonts w:ascii="Times New Roman" w:hAnsi="Times New Roman" w:cs="Times New Roman"/>
          <w:lang w:val="en-US"/>
        </w:rPr>
        <w:t xml:space="preserve">were examined according to national income </w:t>
      </w:r>
      <w:r w:rsidR="00570448" w:rsidRPr="00570448">
        <w:rPr>
          <w:rFonts w:ascii="Times New Roman" w:hAnsi="Times New Roman" w:cs="Times New Roman"/>
          <w:lang w:val="en-US"/>
        </w:rPr>
        <w:t>listed in the Global Status Report on Violence Prevention</w:t>
      </w:r>
      <w:r w:rsidR="00883D8B">
        <w:rPr>
          <w:rFonts w:ascii="Times New Roman" w:hAnsi="Times New Roman" w:cs="Times New Roman"/>
          <w:lang w:val="en-US"/>
        </w:rPr>
        <w:t xml:space="preserve"> </w:t>
      </w:r>
      <w:r w:rsidR="00883D8B">
        <w:rPr>
          <w:rFonts w:ascii="Times New Roman" w:hAnsi="Times New Roman" w:cs="Times New Roman"/>
          <w:lang w:val="en-US"/>
        </w:rPr>
        <w:fldChar w:fldCharType="begin"/>
      </w:r>
      <w:r w:rsidR="00883D8B">
        <w:rPr>
          <w:rFonts w:ascii="Times New Roman" w:hAnsi="Times New Roman" w:cs="Times New Roman"/>
          <w:lang w:val="en-US"/>
        </w:rPr>
        <w:instrText xml:space="preserve"> ADDIN EN.CITE &lt;EndNote&gt;&lt;Cite&gt;&lt;Author&gt;World Health Organisation&lt;/Author&gt;&lt;Year&gt;2014&lt;/Year&gt;&lt;RecNum&gt;3311&lt;/RecNum&gt;&lt;DisplayText&gt;(World Health Organisation 2014)&lt;/DisplayText&gt;&lt;record&gt;&lt;rec-number&gt;3311&lt;/rec-number&gt;&lt;foreign-keys&gt;&lt;key app="EN" db-id="xeadttdpnf0vfgev2xzv2v9gvp92rp5tstes" timestamp="1649083833"&gt;3311&lt;/key&gt;&lt;/foreign-keys&gt;&lt;ref-type name="Report"&gt;27&lt;/ref-type&gt;&lt;contributors&gt;&lt;authors&gt;&lt;author&gt;World Health Organisation,&lt;/author&gt;&lt;/authors&gt;&lt;/contributors&gt;&lt;titles&gt;&lt;title&gt;Global Status Report on Violence Prevention 2014&lt;/title&gt;&lt;/titles&gt;&lt;dates&gt;&lt;year&gt;2014&lt;/year&gt;&lt;/dates&gt;&lt;pub-location&gt;Geneva&lt;/pub-location&gt;&lt;urls&gt;&lt;related-urls&gt;&lt;url&gt;https://www.who.int/publications/i/item/9789241564793?msclkid=69e0a710b42611ec92b3d69c2139604c&lt;/url&gt;&lt;/related-urls&gt;&lt;/urls&gt;&lt;/record&gt;&lt;/Cite&gt;&lt;/EndNote&gt;</w:instrText>
      </w:r>
      <w:r w:rsidR="00883D8B">
        <w:rPr>
          <w:rFonts w:ascii="Times New Roman" w:hAnsi="Times New Roman" w:cs="Times New Roman"/>
          <w:lang w:val="en-US"/>
        </w:rPr>
        <w:fldChar w:fldCharType="separate"/>
      </w:r>
      <w:r w:rsidR="00883D8B">
        <w:rPr>
          <w:rFonts w:ascii="Times New Roman" w:hAnsi="Times New Roman" w:cs="Times New Roman"/>
          <w:noProof/>
          <w:lang w:val="en-US"/>
        </w:rPr>
        <w:t>(World Health Organisation 2014)</w:t>
      </w:r>
      <w:r w:rsidR="00883D8B">
        <w:rPr>
          <w:rFonts w:ascii="Times New Roman" w:hAnsi="Times New Roman" w:cs="Times New Roman"/>
          <w:lang w:val="en-US"/>
        </w:rPr>
        <w:fldChar w:fldCharType="end"/>
      </w:r>
      <w:r w:rsidR="001E5F32">
        <w:rPr>
          <w:rFonts w:ascii="Times New Roman" w:hAnsi="Times New Roman" w:cs="Times New Roman"/>
          <w:lang w:val="en-US"/>
        </w:rPr>
        <w:t xml:space="preserve"> which was</w:t>
      </w:r>
      <w:r w:rsidR="00570448">
        <w:rPr>
          <w:rFonts w:ascii="Times New Roman" w:hAnsi="Times New Roman" w:cs="Times New Roman"/>
          <w:lang w:val="en-US"/>
        </w:rPr>
        <w:t xml:space="preserve"> </w:t>
      </w:r>
      <w:r w:rsidR="002B15E3">
        <w:rPr>
          <w:rFonts w:ascii="Times New Roman" w:hAnsi="Times New Roman" w:cs="Times New Roman"/>
          <w:lang w:val="en-US"/>
        </w:rPr>
        <w:t xml:space="preserve">dichotomized into </w:t>
      </w:r>
      <w:r w:rsidR="0098005A">
        <w:rPr>
          <w:rFonts w:ascii="Times New Roman" w:hAnsi="Times New Roman" w:cs="Times New Roman"/>
          <w:lang w:val="en-US"/>
        </w:rPr>
        <w:t xml:space="preserve">high </w:t>
      </w:r>
      <w:r w:rsidR="00195CB0">
        <w:rPr>
          <w:rFonts w:ascii="Times New Roman" w:hAnsi="Times New Roman" w:cs="Times New Roman"/>
          <w:lang w:val="en-US"/>
        </w:rPr>
        <w:t xml:space="preserve">income </w:t>
      </w:r>
      <w:r w:rsidR="008837EA">
        <w:rPr>
          <w:rFonts w:ascii="Times New Roman" w:hAnsi="Times New Roman" w:cs="Times New Roman"/>
          <w:lang w:val="en-US"/>
        </w:rPr>
        <w:t>(</w:t>
      </w:r>
      <w:r w:rsidR="002B15E3">
        <w:rPr>
          <w:rFonts w:ascii="Times New Roman" w:hAnsi="Times New Roman" w:cs="Times New Roman"/>
          <w:lang w:val="en-US"/>
        </w:rPr>
        <w:t>HIC n=41</w:t>
      </w:r>
      <w:r w:rsidR="001E5F32">
        <w:rPr>
          <w:rFonts w:ascii="Times New Roman" w:hAnsi="Times New Roman" w:cs="Times New Roman"/>
          <w:lang w:val="en-US"/>
        </w:rPr>
        <w:t xml:space="preserve"> countries</w:t>
      </w:r>
      <w:r w:rsidR="008837EA">
        <w:rPr>
          <w:rFonts w:ascii="Times New Roman" w:hAnsi="Times New Roman" w:cs="Times New Roman"/>
          <w:lang w:val="en-US"/>
        </w:rPr>
        <w:t>)</w:t>
      </w:r>
      <w:r w:rsidR="002B15E3">
        <w:rPr>
          <w:rFonts w:ascii="Times New Roman" w:hAnsi="Times New Roman" w:cs="Times New Roman"/>
          <w:lang w:val="en-US"/>
        </w:rPr>
        <w:t xml:space="preserve"> and</w:t>
      </w:r>
      <w:r w:rsidR="0098005A">
        <w:rPr>
          <w:rFonts w:ascii="Times New Roman" w:hAnsi="Times New Roman" w:cs="Times New Roman"/>
          <w:lang w:val="en-US"/>
        </w:rPr>
        <w:t xml:space="preserve"> low</w:t>
      </w:r>
      <w:r w:rsidR="001E5F32">
        <w:rPr>
          <w:rFonts w:ascii="Times New Roman" w:hAnsi="Times New Roman" w:cs="Times New Roman"/>
          <w:lang w:val="en-US"/>
        </w:rPr>
        <w:t>/middle</w:t>
      </w:r>
      <w:r w:rsidR="00570448">
        <w:rPr>
          <w:rFonts w:ascii="Times New Roman" w:hAnsi="Times New Roman" w:cs="Times New Roman"/>
          <w:lang w:val="en-US"/>
        </w:rPr>
        <w:t xml:space="preserve"> </w:t>
      </w:r>
      <w:r w:rsidR="00195CB0">
        <w:rPr>
          <w:rFonts w:ascii="Times New Roman" w:hAnsi="Times New Roman" w:cs="Times New Roman"/>
          <w:lang w:val="en-US"/>
        </w:rPr>
        <w:t xml:space="preserve">income </w:t>
      </w:r>
      <w:r w:rsidR="008837EA">
        <w:rPr>
          <w:rFonts w:ascii="Times New Roman" w:hAnsi="Times New Roman" w:cs="Times New Roman"/>
          <w:lang w:val="en-US"/>
        </w:rPr>
        <w:t>(</w:t>
      </w:r>
      <w:r w:rsidR="002B15E3">
        <w:rPr>
          <w:rFonts w:ascii="Times New Roman" w:hAnsi="Times New Roman" w:cs="Times New Roman"/>
          <w:lang w:val="en-US"/>
        </w:rPr>
        <w:t>LMIC n=92</w:t>
      </w:r>
      <w:r w:rsidR="008837EA">
        <w:rPr>
          <w:rFonts w:ascii="Times New Roman" w:hAnsi="Times New Roman" w:cs="Times New Roman"/>
          <w:lang w:val="en-US"/>
        </w:rPr>
        <w:t>)</w:t>
      </w:r>
      <w:r w:rsidR="001E5F32">
        <w:rPr>
          <w:rFonts w:ascii="Times New Roman" w:hAnsi="Times New Roman" w:cs="Times New Roman"/>
          <w:lang w:val="en-US"/>
        </w:rPr>
        <w:t xml:space="preserve"> countries</w:t>
      </w:r>
      <w:r w:rsidR="002B15E3">
        <w:rPr>
          <w:rFonts w:ascii="Times New Roman" w:hAnsi="Times New Roman" w:cs="Times New Roman"/>
          <w:lang w:val="en-US"/>
        </w:rPr>
        <w:t xml:space="preserve"> and </w:t>
      </w:r>
      <w:r w:rsidR="0098005A">
        <w:rPr>
          <w:rFonts w:ascii="Times New Roman" w:hAnsi="Times New Roman" w:cs="Times New Roman"/>
          <w:lang w:val="en-US"/>
        </w:rPr>
        <w:t>national inequality</w:t>
      </w:r>
      <w:r w:rsidR="001E5F32">
        <w:rPr>
          <w:rFonts w:ascii="Times New Roman" w:hAnsi="Times New Roman" w:cs="Times New Roman"/>
          <w:lang w:val="en-US"/>
        </w:rPr>
        <w:t xml:space="preserve">. The latter was </w:t>
      </w:r>
      <w:r w:rsidR="00195CB0">
        <w:rPr>
          <w:rFonts w:ascii="Times New Roman" w:hAnsi="Times New Roman" w:cs="Times New Roman"/>
          <w:lang w:val="en-US"/>
        </w:rPr>
        <w:t xml:space="preserve">listed in the Global Status Report according to </w:t>
      </w:r>
      <w:r w:rsidR="001E5F32">
        <w:rPr>
          <w:rFonts w:ascii="Times New Roman" w:hAnsi="Times New Roman" w:cs="Times New Roman"/>
          <w:lang w:val="en-US"/>
        </w:rPr>
        <w:t xml:space="preserve">the </w:t>
      </w:r>
      <w:r w:rsidR="00195CB0">
        <w:rPr>
          <w:rFonts w:ascii="Times New Roman" w:hAnsi="Times New Roman" w:cs="Times New Roman"/>
          <w:lang w:val="en-US"/>
        </w:rPr>
        <w:t>Gini coefficient</w:t>
      </w:r>
      <w:r w:rsidR="001E5F32">
        <w:rPr>
          <w:rFonts w:ascii="Times New Roman" w:hAnsi="Times New Roman" w:cs="Times New Roman"/>
          <w:lang w:val="en-US"/>
        </w:rPr>
        <w:t xml:space="preserve"> and</w:t>
      </w:r>
      <w:r w:rsidR="00570448">
        <w:rPr>
          <w:rFonts w:ascii="Times New Roman" w:hAnsi="Times New Roman" w:cs="Times New Roman"/>
          <w:lang w:val="en-US"/>
        </w:rPr>
        <w:t xml:space="preserve"> </w:t>
      </w:r>
      <w:r w:rsidR="00D52E3C">
        <w:rPr>
          <w:rFonts w:ascii="Times New Roman" w:hAnsi="Times New Roman" w:cs="Times New Roman"/>
          <w:lang w:val="en-US"/>
        </w:rPr>
        <w:t>dichotomized</w:t>
      </w:r>
      <w:r w:rsidR="00195CB0">
        <w:rPr>
          <w:rFonts w:ascii="Times New Roman" w:hAnsi="Times New Roman" w:cs="Times New Roman"/>
          <w:lang w:val="en-US"/>
        </w:rPr>
        <w:t xml:space="preserve"> </w:t>
      </w:r>
      <w:r w:rsidR="001E5F32">
        <w:rPr>
          <w:rFonts w:ascii="Times New Roman" w:hAnsi="Times New Roman" w:cs="Times New Roman"/>
          <w:lang w:val="en-US"/>
        </w:rPr>
        <w:t xml:space="preserve">for analysis </w:t>
      </w:r>
      <w:r w:rsidR="00195CB0">
        <w:rPr>
          <w:rFonts w:ascii="Times New Roman" w:hAnsi="Times New Roman" w:cs="Times New Roman"/>
          <w:lang w:val="en-US"/>
        </w:rPr>
        <w:t>into l</w:t>
      </w:r>
      <w:r w:rsidR="0098005A" w:rsidRPr="0098005A">
        <w:rPr>
          <w:rFonts w:ascii="Times New Roman" w:hAnsi="Times New Roman" w:cs="Times New Roman"/>
          <w:lang w:val="en-US"/>
        </w:rPr>
        <w:t>ow</w:t>
      </w:r>
      <w:r w:rsidR="00195CB0">
        <w:rPr>
          <w:rFonts w:ascii="Times New Roman" w:hAnsi="Times New Roman" w:cs="Times New Roman"/>
          <w:lang w:val="en-US"/>
        </w:rPr>
        <w:t xml:space="preserve"> inequality </w:t>
      </w:r>
      <w:r w:rsidR="008837EA">
        <w:rPr>
          <w:rFonts w:ascii="Times New Roman" w:hAnsi="Times New Roman" w:cs="Times New Roman"/>
          <w:lang w:val="en-US"/>
        </w:rPr>
        <w:t>(</w:t>
      </w:r>
      <w:r w:rsidR="00195CB0">
        <w:rPr>
          <w:rFonts w:ascii="Times New Roman" w:hAnsi="Times New Roman" w:cs="Times New Roman"/>
          <w:lang w:val="en-US"/>
        </w:rPr>
        <w:t xml:space="preserve">Gini </w:t>
      </w:r>
      <w:r w:rsidR="0098005A" w:rsidRPr="0098005A">
        <w:rPr>
          <w:rFonts w:ascii="Times New Roman" w:hAnsi="Times New Roman" w:cs="Times New Roman"/>
          <w:lang w:val="en-US"/>
        </w:rPr>
        <w:t>25.00-35.30</w:t>
      </w:r>
      <w:r w:rsidR="00195CB0">
        <w:rPr>
          <w:rFonts w:ascii="Times New Roman" w:hAnsi="Times New Roman" w:cs="Times New Roman"/>
          <w:lang w:val="en-US"/>
        </w:rPr>
        <w:t>, n=37</w:t>
      </w:r>
      <w:r w:rsidR="001E5F32">
        <w:rPr>
          <w:rFonts w:ascii="Times New Roman" w:hAnsi="Times New Roman" w:cs="Times New Roman"/>
          <w:lang w:val="en-US"/>
        </w:rPr>
        <w:t xml:space="preserve"> countries</w:t>
      </w:r>
      <w:r w:rsidR="008837EA">
        <w:rPr>
          <w:rFonts w:ascii="Times New Roman" w:hAnsi="Times New Roman" w:cs="Times New Roman"/>
          <w:lang w:val="en-US"/>
        </w:rPr>
        <w:t>)</w:t>
      </w:r>
      <w:r w:rsidR="00195CB0">
        <w:rPr>
          <w:rFonts w:ascii="Times New Roman" w:hAnsi="Times New Roman" w:cs="Times New Roman"/>
          <w:lang w:val="en-US"/>
        </w:rPr>
        <w:t xml:space="preserve"> and m</w:t>
      </w:r>
      <w:r w:rsidR="0098005A" w:rsidRPr="0098005A">
        <w:rPr>
          <w:rFonts w:ascii="Times New Roman" w:hAnsi="Times New Roman" w:cs="Times New Roman"/>
          <w:lang w:val="en-US"/>
        </w:rPr>
        <w:t>oderate</w:t>
      </w:r>
      <w:r w:rsidR="00195CB0">
        <w:rPr>
          <w:rFonts w:ascii="Times New Roman" w:hAnsi="Times New Roman" w:cs="Times New Roman"/>
          <w:lang w:val="en-US"/>
        </w:rPr>
        <w:t xml:space="preserve">/high inequality </w:t>
      </w:r>
      <w:r w:rsidR="008837EA">
        <w:rPr>
          <w:rFonts w:ascii="Times New Roman" w:hAnsi="Times New Roman" w:cs="Times New Roman"/>
          <w:lang w:val="en-US"/>
        </w:rPr>
        <w:t>(</w:t>
      </w:r>
      <w:r w:rsidR="00195CB0">
        <w:rPr>
          <w:rFonts w:ascii="Times New Roman" w:hAnsi="Times New Roman" w:cs="Times New Roman"/>
          <w:lang w:val="en-US"/>
        </w:rPr>
        <w:t xml:space="preserve">Gini </w:t>
      </w:r>
      <w:r w:rsidR="0098005A" w:rsidRPr="0098005A">
        <w:rPr>
          <w:rFonts w:ascii="Times New Roman" w:hAnsi="Times New Roman" w:cs="Times New Roman"/>
          <w:lang w:val="en-US"/>
        </w:rPr>
        <w:t>35.31-65.77</w:t>
      </w:r>
      <w:r w:rsidR="008837EA">
        <w:rPr>
          <w:rFonts w:ascii="Times New Roman" w:hAnsi="Times New Roman" w:cs="Times New Roman"/>
          <w:lang w:val="en-US"/>
        </w:rPr>
        <w:t>,</w:t>
      </w:r>
      <w:r w:rsidR="00195CB0">
        <w:rPr>
          <w:rFonts w:ascii="Times New Roman" w:hAnsi="Times New Roman" w:cs="Times New Roman"/>
          <w:lang w:val="en-US"/>
        </w:rPr>
        <w:t xml:space="preserve"> n=74</w:t>
      </w:r>
      <w:r w:rsidR="001E5F32">
        <w:rPr>
          <w:rFonts w:ascii="Times New Roman" w:hAnsi="Times New Roman" w:cs="Times New Roman"/>
          <w:lang w:val="en-US"/>
        </w:rPr>
        <w:t xml:space="preserve"> countries</w:t>
      </w:r>
      <w:r w:rsidR="0098005A" w:rsidRPr="0098005A">
        <w:rPr>
          <w:rFonts w:ascii="Times New Roman" w:hAnsi="Times New Roman" w:cs="Times New Roman"/>
          <w:lang w:val="en-US"/>
        </w:rPr>
        <w:t>)</w:t>
      </w:r>
      <w:r w:rsidR="00195CB0">
        <w:rPr>
          <w:rFonts w:ascii="Times New Roman" w:hAnsi="Times New Roman" w:cs="Times New Roman"/>
          <w:lang w:val="en-US"/>
        </w:rPr>
        <w:t>.</w:t>
      </w:r>
    </w:p>
    <w:p w14:paraId="2CB2DFF6" w14:textId="2699FE40" w:rsidR="00C842E9" w:rsidRDefault="00C842E9" w:rsidP="006660F3">
      <w:pPr>
        <w:spacing w:line="360" w:lineRule="auto"/>
        <w:jc w:val="both"/>
        <w:rPr>
          <w:rFonts w:ascii="Times New Roman" w:hAnsi="Times New Roman" w:cs="Times New Roman"/>
          <w:lang w:val="en-US"/>
        </w:rPr>
      </w:pPr>
      <w:r w:rsidRPr="00A14D1E">
        <w:rPr>
          <w:rFonts w:ascii="Times New Roman" w:hAnsi="Times New Roman" w:cs="Times New Roman"/>
          <w:lang w:val="en-US"/>
        </w:rPr>
        <w:t xml:space="preserve">The sample size of countries with available data varied across the </w:t>
      </w:r>
      <w:r>
        <w:rPr>
          <w:rFonts w:ascii="Times New Roman" w:hAnsi="Times New Roman" w:cs="Times New Roman"/>
          <w:lang w:val="en-US"/>
        </w:rPr>
        <w:t xml:space="preserve">datasets and </w:t>
      </w:r>
      <w:r w:rsidRPr="00A14D1E">
        <w:rPr>
          <w:rFonts w:ascii="Times New Roman" w:hAnsi="Times New Roman" w:cs="Times New Roman"/>
          <w:lang w:val="en-US"/>
        </w:rPr>
        <w:t xml:space="preserve">study period. </w:t>
      </w:r>
      <w:r>
        <w:rPr>
          <w:rFonts w:ascii="Times New Roman" w:hAnsi="Times New Roman" w:cs="Times New Roman"/>
          <w:lang w:val="en-US"/>
        </w:rPr>
        <w:t xml:space="preserve">Whilst there was very little missing data in the </w:t>
      </w:r>
      <w:r w:rsidR="001E5F32">
        <w:rPr>
          <w:rFonts w:ascii="Times New Roman" w:hAnsi="Times New Roman" w:cs="Times New Roman"/>
          <w:lang w:val="en-US"/>
        </w:rPr>
        <w:t>Global Status Report</w:t>
      </w:r>
      <w:r w:rsidR="00883D8B">
        <w:rPr>
          <w:rFonts w:ascii="Times New Roman" w:hAnsi="Times New Roman" w:cs="Times New Roman"/>
          <w:lang w:val="en-US"/>
        </w:rPr>
        <w:t xml:space="preserve"> </w:t>
      </w:r>
      <w:r w:rsidR="00883D8B">
        <w:rPr>
          <w:rFonts w:ascii="Times New Roman" w:hAnsi="Times New Roman" w:cs="Times New Roman"/>
          <w:lang w:val="en-US"/>
        </w:rPr>
        <w:fldChar w:fldCharType="begin"/>
      </w:r>
      <w:r w:rsidR="00883D8B">
        <w:rPr>
          <w:rFonts w:ascii="Times New Roman" w:hAnsi="Times New Roman" w:cs="Times New Roman"/>
          <w:lang w:val="en-US"/>
        </w:rPr>
        <w:instrText xml:space="preserve"> ADDIN EN.CITE &lt;EndNote&gt;&lt;Cite&gt;&lt;Author&gt;World Health Organisation&lt;/Author&gt;&lt;Year&gt;2014&lt;/Year&gt;&lt;RecNum&gt;1743&lt;/RecNum&gt;&lt;DisplayText&gt;(World Health Organisation 2014)&lt;/DisplayText&gt;&lt;record&gt;&lt;rec-number&gt;1743&lt;/rec-number&gt;&lt;foreign-keys&gt;&lt;key app="EN" db-id="xeadttdpnf0vfgev2xzv2v9gvp92rp5tstes" timestamp="0"&gt;1743&lt;/key&gt;&lt;/foreign-keys&gt;&lt;ref-type name="Report"&gt;27&lt;/ref-type&gt;&lt;contributors&gt;&lt;authors&gt;&lt;author&gt;World Health Organisation,&lt;/author&gt;&lt;/authors&gt;&lt;/contributors&gt;&lt;titles&gt;&lt;title&gt;Global Status Report On Violence Prevention&lt;/title&gt;&lt;short-title&gt;Global Status Report On Violence Prevention&lt;/short-title&gt;&lt;/titles&gt;&lt;dates&gt;&lt;year&gt;2014&lt;/year&gt;&lt;/dates&gt;&lt;pub-location&gt;Geneva, Switzerland&lt;/pub-location&gt;&lt;urls&gt;&lt;related-urls&gt;&lt;url&gt;http://www.who.int/violence_injury_prevention/violence/status_report/2014/report/report/en/&lt;/url&gt;&lt;/related-urls&gt;&lt;/urls&gt;&lt;/record&gt;&lt;/Cite&gt;&lt;/EndNote&gt;</w:instrText>
      </w:r>
      <w:r w:rsidR="00883D8B">
        <w:rPr>
          <w:rFonts w:ascii="Times New Roman" w:hAnsi="Times New Roman" w:cs="Times New Roman"/>
          <w:lang w:val="en-US"/>
        </w:rPr>
        <w:fldChar w:fldCharType="separate"/>
      </w:r>
      <w:r w:rsidR="00883D8B">
        <w:rPr>
          <w:rFonts w:ascii="Times New Roman" w:hAnsi="Times New Roman" w:cs="Times New Roman"/>
          <w:noProof/>
          <w:lang w:val="en-US"/>
        </w:rPr>
        <w:t>(World Health Organisation 2014)</w:t>
      </w:r>
      <w:r w:rsidR="00883D8B">
        <w:rPr>
          <w:rFonts w:ascii="Times New Roman" w:hAnsi="Times New Roman" w:cs="Times New Roman"/>
          <w:lang w:val="en-US"/>
        </w:rPr>
        <w:fldChar w:fldCharType="end"/>
      </w:r>
      <w:r>
        <w:rPr>
          <w:rFonts w:ascii="Times New Roman" w:hAnsi="Times New Roman" w:cs="Times New Roman"/>
          <w:lang w:val="en-US"/>
        </w:rPr>
        <w:t xml:space="preserve">, recording and reporting of data necessary for calculating rates from </w:t>
      </w:r>
      <w:r w:rsidR="001E5F32">
        <w:rPr>
          <w:rFonts w:ascii="Times New Roman" w:hAnsi="Times New Roman" w:cs="Times New Roman"/>
          <w:lang w:val="en-US"/>
        </w:rPr>
        <w:t xml:space="preserve">the </w:t>
      </w:r>
      <w:r>
        <w:rPr>
          <w:rFonts w:ascii="Times New Roman" w:hAnsi="Times New Roman" w:cs="Times New Roman"/>
          <w:lang w:val="en-US"/>
        </w:rPr>
        <w:t xml:space="preserve">UNODC was patchy. </w:t>
      </w:r>
      <w:r w:rsidR="001E5F32">
        <w:rPr>
          <w:rFonts w:ascii="Times New Roman" w:hAnsi="Times New Roman" w:cs="Times New Roman"/>
          <w:lang w:val="en-US"/>
        </w:rPr>
        <w:t>Data availability</w:t>
      </w:r>
      <w:r w:rsidRPr="00A14D1E">
        <w:rPr>
          <w:rFonts w:ascii="Times New Roman" w:hAnsi="Times New Roman" w:cs="Times New Roman"/>
          <w:lang w:val="en-US"/>
        </w:rPr>
        <w:t xml:space="preserve"> was very low in 2003 (n=10</w:t>
      </w:r>
      <w:r w:rsidR="001E5F32">
        <w:rPr>
          <w:rFonts w:ascii="Times New Roman" w:hAnsi="Times New Roman" w:cs="Times New Roman"/>
          <w:lang w:val="en-US"/>
        </w:rPr>
        <w:t xml:space="preserve"> countries</w:t>
      </w:r>
      <w:r w:rsidRPr="00A14D1E">
        <w:rPr>
          <w:rFonts w:ascii="Times New Roman" w:hAnsi="Times New Roman" w:cs="Times New Roman"/>
          <w:lang w:val="en-US"/>
        </w:rPr>
        <w:t xml:space="preserve">) but exceeded 25 for every other year, exceeded 40 from 2007 onwards and exceeded 50 from 2010 onwards. </w:t>
      </w:r>
      <w:r w:rsidRPr="00BA0D05">
        <w:rPr>
          <w:rFonts w:ascii="Times New Roman" w:hAnsi="Times New Roman" w:cs="Times New Roman"/>
          <w:lang w:val="en-US"/>
        </w:rPr>
        <w:t xml:space="preserve">Ideally each country would have 12 </w:t>
      </w:r>
      <w:r w:rsidR="001E5F32">
        <w:rPr>
          <w:rFonts w:ascii="Times New Roman" w:hAnsi="Times New Roman" w:cs="Times New Roman"/>
          <w:lang w:val="en-US"/>
        </w:rPr>
        <w:t xml:space="preserve">annual </w:t>
      </w:r>
      <w:r>
        <w:rPr>
          <w:rFonts w:ascii="Times New Roman" w:hAnsi="Times New Roman" w:cs="Times New Roman"/>
          <w:lang w:val="en-US"/>
        </w:rPr>
        <w:t xml:space="preserve">homicide </w:t>
      </w:r>
      <w:r w:rsidRPr="00BA0D05">
        <w:rPr>
          <w:rFonts w:ascii="Times New Roman" w:hAnsi="Times New Roman" w:cs="Times New Roman"/>
          <w:lang w:val="en-US"/>
        </w:rPr>
        <w:t>datapoints (one each for the years 2003-2014) but 65/133 countries ha</w:t>
      </w:r>
      <w:r>
        <w:rPr>
          <w:rFonts w:ascii="Times New Roman" w:hAnsi="Times New Roman" w:cs="Times New Roman"/>
          <w:lang w:val="en-US"/>
        </w:rPr>
        <w:t>d</w:t>
      </w:r>
      <w:r w:rsidRPr="00BA0D05">
        <w:rPr>
          <w:rFonts w:ascii="Times New Roman" w:hAnsi="Times New Roman" w:cs="Times New Roman"/>
          <w:lang w:val="en-US"/>
        </w:rPr>
        <w:t xml:space="preserve"> no data at all and only 8/133 ha</w:t>
      </w:r>
      <w:r>
        <w:rPr>
          <w:rFonts w:ascii="Times New Roman" w:hAnsi="Times New Roman" w:cs="Times New Roman"/>
          <w:lang w:val="en-US"/>
        </w:rPr>
        <w:t>d</w:t>
      </w:r>
      <w:r w:rsidRPr="00BA0D05">
        <w:rPr>
          <w:rFonts w:ascii="Times New Roman" w:hAnsi="Times New Roman" w:cs="Times New Roman"/>
          <w:lang w:val="en-US"/>
        </w:rPr>
        <w:t xml:space="preserve"> a complete series.</w:t>
      </w:r>
      <w:r>
        <w:rPr>
          <w:rFonts w:ascii="Times New Roman" w:hAnsi="Times New Roman" w:cs="Times New Roman"/>
          <w:lang w:val="en-US"/>
        </w:rPr>
        <w:t xml:space="preserve"> D</w:t>
      </w:r>
      <w:r w:rsidRPr="00BA0D05">
        <w:rPr>
          <w:rFonts w:ascii="Times New Roman" w:hAnsi="Times New Roman" w:cs="Times New Roman"/>
          <w:lang w:val="en-US"/>
        </w:rPr>
        <w:t xml:space="preserve">ata </w:t>
      </w:r>
      <w:r>
        <w:rPr>
          <w:rFonts w:ascii="Times New Roman" w:hAnsi="Times New Roman" w:cs="Times New Roman"/>
          <w:lang w:val="en-US"/>
        </w:rPr>
        <w:t xml:space="preserve">was more complete </w:t>
      </w:r>
      <w:r w:rsidRPr="00BA0D05">
        <w:rPr>
          <w:rFonts w:ascii="Times New Roman" w:hAnsi="Times New Roman" w:cs="Times New Roman"/>
          <w:lang w:val="en-US"/>
        </w:rPr>
        <w:t xml:space="preserve">from high income countries </w:t>
      </w:r>
      <w:r>
        <w:rPr>
          <w:rFonts w:ascii="Times New Roman" w:hAnsi="Times New Roman" w:cs="Times New Roman"/>
          <w:lang w:val="en-US"/>
        </w:rPr>
        <w:t>(HIC</w:t>
      </w:r>
      <w:r w:rsidR="00222DE6">
        <w:rPr>
          <w:rFonts w:ascii="Times New Roman" w:hAnsi="Times New Roman" w:cs="Times New Roman"/>
          <w:lang w:val="en-US"/>
        </w:rPr>
        <w:t>s</w:t>
      </w:r>
      <w:r>
        <w:rPr>
          <w:rFonts w:ascii="Times New Roman" w:hAnsi="Times New Roman" w:cs="Times New Roman"/>
          <w:lang w:val="en-US"/>
        </w:rPr>
        <w:t>) compared to low</w:t>
      </w:r>
      <w:r w:rsidR="00222DE6">
        <w:rPr>
          <w:rFonts w:ascii="Times New Roman" w:hAnsi="Times New Roman" w:cs="Times New Roman"/>
          <w:lang w:val="en-US"/>
        </w:rPr>
        <w:t>-</w:t>
      </w:r>
      <w:r>
        <w:rPr>
          <w:rFonts w:ascii="Times New Roman" w:hAnsi="Times New Roman" w:cs="Times New Roman"/>
          <w:lang w:val="en-US"/>
        </w:rPr>
        <w:t xml:space="preserve"> and middle</w:t>
      </w:r>
      <w:r w:rsidR="00222DE6">
        <w:rPr>
          <w:rFonts w:ascii="Times New Roman" w:hAnsi="Times New Roman" w:cs="Times New Roman"/>
          <w:lang w:val="en-US"/>
        </w:rPr>
        <w:t>-</w:t>
      </w:r>
      <w:r>
        <w:rPr>
          <w:rFonts w:ascii="Times New Roman" w:hAnsi="Times New Roman" w:cs="Times New Roman"/>
          <w:lang w:val="en-US"/>
        </w:rPr>
        <w:t>income countries (LMIC</w:t>
      </w:r>
      <w:r w:rsidR="00222DE6">
        <w:rPr>
          <w:rFonts w:ascii="Times New Roman" w:hAnsi="Times New Roman" w:cs="Times New Roman"/>
          <w:lang w:val="en-US"/>
        </w:rPr>
        <w:t>s</w:t>
      </w:r>
      <w:r>
        <w:rPr>
          <w:rFonts w:ascii="Times New Roman" w:hAnsi="Times New Roman" w:cs="Times New Roman"/>
          <w:lang w:val="en-US"/>
        </w:rPr>
        <w:t xml:space="preserve">) </w:t>
      </w:r>
      <w:r w:rsidRPr="00BA0D05">
        <w:rPr>
          <w:rFonts w:ascii="Times New Roman" w:hAnsi="Times New Roman" w:cs="Times New Roman"/>
          <w:lang w:val="en-US"/>
        </w:rPr>
        <w:t xml:space="preserve">(complete data: HIC 17%, LMIC 1%; no data 24% HIC, 60% LMIC, chi-sq=&lt;.001) and low inequality countries </w:t>
      </w:r>
      <w:r>
        <w:rPr>
          <w:rFonts w:ascii="Times New Roman" w:hAnsi="Times New Roman" w:cs="Times New Roman"/>
          <w:lang w:val="en-US"/>
        </w:rPr>
        <w:t xml:space="preserve">(LIqC) compared to high inequality countries (HIqC) </w:t>
      </w:r>
      <w:r w:rsidRPr="00BA0D05">
        <w:rPr>
          <w:rFonts w:ascii="Times New Roman" w:hAnsi="Times New Roman" w:cs="Times New Roman"/>
          <w:lang w:val="en-US"/>
        </w:rPr>
        <w:t xml:space="preserve">(complete data: LIqC=13.5%, HIqC=0%; no data LIqC=30%, HIqC=49%, chi-sq=0.52). </w:t>
      </w:r>
    </w:p>
    <w:p w14:paraId="49679571" w14:textId="33DD9A03" w:rsidR="007420EF" w:rsidRDefault="007420EF" w:rsidP="003126F4">
      <w:pPr>
        <w:spacing w:line="360" w:lineRule="auto"/>
        <w:jc w:val="both"/>
        <w:rPr>
          <w:rFonts w:ascii="Times New Roman" w:hAnsi="Times New Roman" w:cs="Times New Roman"/>
          <w:lang w:val="en-US"/>
        </w:rPr>
      </w:pPr>
      <w:r>
        <w:rPr>
          <w:rFonts w:ascii="Times New Roman" w:hAnsi="Times New Roman" w:cs="Times New Roman"/>
          <w:lang w:val="en-US"/>
        </w:rPr>
        <w:lastRenderedPageBreak/>
        <w:t>Poisson regression was used to estimate incidence rate ratios (IRR) and measured precision with 95% confidence intervals (CIs) using Stata. For countries with data for several years, a within-country IRR was estimated over the period using a within-country p</w:t>
      </w:r>
      <w:r w:rsidR="001B3345">
        <w:rPr>
          <w:rFonts w:ascii="Times New Roman" w:hAnsi="Times New Roman" w:cs="Times New Roman"/>
          <w:lang w:val="en-US"/>
        </w:rPr>
        <w:t>oi</w:t>
      </w:r>
      <w:r>
        <w:rPr>
          <w:rFonts w:ascii="Times New Roman" w:hAnsi="Times New Roman" w:cs="Times New Roman"/>
          <w:lang w:val="en-US"/>
        </w:rPr>
        <w:t xml:space="preserve">sson estimator (xtpoisson, Stata) </w:t>
      </w:r>
    </w:p>
    <w:p w14:paraId="589DEDD0" w14:textId="77777777" w:rsidR="00425A73" w:rsidRDefault="00425A73" w:rsidP="007356C6">
      <w:pPr>
        <w:pStyle w:val="Heading1"/>
        <w:spacing w:line="360" w:lineRule="auto"/>
        <w:rPr>
          <w:lang w:val="en-US"/>
        </w:rPr>
      </w:pPr>
      <w:r>
        <w:rPr>
          <w:lang w:val="en-US"/>
        </w:rPr>
        <w:t>Results</w:t>
      </w:r>
    </w:p>
    <w:p w14:paraId="3DB92525" w14:textId="77777777" w:rsidR="0037418A" w:rsidRPr="00FE3BAC" w:rsidRDefault="0098005A" w:rsidP="007356C6">
      <w:pPr>
        <w:pStyle w:val="Heading2"/>
        <w:spacing w:line="360" w:lineRule="auto"/>
        <w:rPr>
          <w:b/>
          <w:lang w:val="en-US"/>
        </w:rPr>
      </w:pPr>
      <w:r w:rsidRPr="00FE3BAC">
        <w:rPr>
          <w:b/>
          <w:lang w:val="en-US"/>
        </w:rPr>
        <w:t>F</w:t>
      </w:r>
      <w:r w:rsidR="003A27F3" w:rsidRPr="00FE3BAC">
        <w:rPr>
          <w:b/>
          <w:lang w:val="en-US"/>
        </w:rPr>
        <w:t xml:space="preserve">emicide </w:t>
      </w:r>
      <w:r w:rsidRPr="00FE3BAC">
        <w:rPr>
          <w:b/>
          <w:lang w:val="en-US"/>
        </w:rPr>
        <w:t xml:space="preserve">rates </w:t>
      </w:r>
      <w:r w:rsidR="003A27F3" w:rsidRPr="00FE3BAC">
        <w:rPr>
          <w:b/>
          <w:lang w:val="en-US"/>
        </w:rPr>
        <w:t xml:space="preserve">2003-2014 </w:t>
      </w:r>
    </w:p>
    <w:p w14:paraId="53BA70E3" w14:textId="36B38B2A" w:rsidR="003F718D" w:rsidRDefault="00C75FB3" w:rsidP="00C842E9">
      <w:pPr>
        <w:spacing w:line="360" w:lineRule="auto"/>
        <w:jc w:val="both"/>
        <w:rPr>
          <w:rFonts w:ascii="Times New Roman" w:hAnsi="Times New Roman" w:cs="Times New Roman"/>
          <w:lang w:val="en-US"/>
        </w:rPr>
      </w:pPr>
      <w:r>
        <w:rPr>
          <w:rFonts w:ascii="Times New Roman" w:hAnsi="Times New Roman" w:cs="Times New Roman"/>
          <w:lang w:val="en-US"/>
        </w:rPr>
        <w:t>In total, there were 278</w:t>
      </w:r>
      <w:r w:rsidR="00581BF9">
        <w:rPr>
          <w:rFonts w:ascii="Times New Roman" w:hAnsi="Times New Roman" w:cs="Times New Roman"/>
          <w:lang w:val="en-US"/>
        </w:rPr>
        <w:t>,</w:t>
      </w:r>
      <w:r>
        <w:rPr>
          <w:rFonts w:ascii="Times New Roman" w:hAnsi="Times New Roman" w:cs="Times New Roman"/>
          <w:lang w:val="en-US"/>
        </w:rPr>
        <w:t xml:space="preserve">638 femicides </w:t>
      </w:r>
      <w:r w:rsidR="002C3974">
        <w:rPr>
          <w:rFonts w:ascii="Times New Roman" w:hAnsi="Times New Roman" w:cs="Times New Roman"/>
          <w:lang w:val="en-US"/>
        </w:rPr>
        <w:t>estimated to have occurred</w:t>
      </w:r>
      <w:r w:rsidR="00581BF9">
        <w:rPr>
          <w:rFonts w:ascii="Times New Roman" w:hAnsi="Times New Roman" w:cs="Times New Roman"/>
          <w:lang w:val="en-US"/>
        </w:rPr>
        <w:t xml:space="preserve"> across the whole period 2003-2014 but</w:t>
      </w:r>
      <w:r w:rsidR="00FC7670">
        <w:rPr>
          <w:rFonts w:ascii="Times New Roman" w:hAnsi="Times New Roman" w:cs="Times New Roman"/>
          <w:lang w:val="en-US"/>
        </w:rPr>
        <w:t>,</w:t>
      </w:r>
      <w:r w:rsidR="00581BF9">
        <w:rPr>
          <w:rFonts w:ascii="Times New Roman" w:hAnsi="Times New Roman" w:cs="Times New Roman"/>
          <w:lang w:val="en-US"/>
        </w:rPr>
        <w:t xml:space="preserve"> as noted above</w:t>
      </w:r>
      <w:r w:rsidR="00FC7670">
        <w:rPr>
          <w:rFonts w:ascii="Times New Roman" w:hAnsi="Times New Roman" w:cs="Times New Roman"/>
          <w:lang w:val="en-US"/>
        </w:rPr>
        <w:t>,</w:t>
      </w:r>
      <w:r w:rsidR="00581BF9">
        <w:rPr>
          <w:rFonts w:ascii="Times New Roman" w:hAnsi="Times New Roman" w:cs="Times New Roman"/>
          <w:lang w:val="en-US"/>
        </w:rPr>
        <w:t xml:space="preserve"> this is a significant underestimate as many countries did not </w:t>
      </w:r>
      <w:r w:rsidR="003F718D">
        <w:rPr>
          <w:rFonts w:ascii="Times New Roman" w:hAnsi="Times New Roman" w:cs="Times New Roman"/>
          <w:lang w:val="en-US"/>
        </w:rPr>
        <w:t xml:space="preserve">report </w:t>
      </w:r>
      <w:r w:rsidR="002C3974">
        <w:rPr>
          <w:rFonts w:ascii="Times New Roman" w:hAnsi="Times New Roman" w:cs="Times New Roman"/>
          <w:lang w:val="en-US"/>
        </w:rPr>
        <w:t>rates and/or proportions for every year</w:t>
      </w:r>
      <w:r w:rsidR="00581BF9">
        <w:rPr>
          <w:rFonts w:ascii="Times New Roman" w:hAnsi="Times New Roman" w:cs="Times New Roman"/>
          <w:lang w:val="en-US"/>
        </w:rPr>
        <w:t>.</w:t>
      </w:r>
      <w:r>
        <w:rPr>
          <w:rFonts w:ascii="Times New Roman" w:hAnsi="Times New Roman" w:cs="Times New Roman"/>
          <w:lang w:val="en-US"/>
        </w:rPr>
        <w:t xml:space="preserve"> </w:t>
      </w:r>
      <w:r w:rsidR="004B0688">
        <w:rPr>
          <w:rFonts w:ascii="Times New Roman" w:hAnsi="Times New Roman" w:cs="Times New Roman"/>
          <w:lang w:val="en-US"/>
        </w:rPr>
        <w:t>Figure 1 reports the mean femicide rate per 100,000 population over the 12 year period for each country with at least one available datapoint. The number of annual datapoints per country is noted in brackets next to each country</w:t>
      </w:r>
      <w:r w:rsidR="00222DE6">
        <w:rPr>
          <w:rFonts w:ascii="Times New Roman" w:hAnsi="Times New Roman" w:cs="Times New Roman"/>
          <w:lang w:val="en-US"/>
        </w:rPr>
        <w:t xml:space="preserve"> in </w:t>
      </w:r>
      <w:r w:rsidR="00F7710D">
        <w:rPr>
          <w:rFonts w:ascii="Times New Roman" w:hAnsi="Times New Roman" w:cs="Times New Roman"/>
          <w:lang w:val="en-US"/>
        </w:rPr>
        <w:t>Figure 1</w:t>
      </w:r>
      <w:r w:rsidR="004B0688">
        <w:rPr>
          <w:rFonts w:ascii="Times New Roman" w:hAnsi="Times New Roman" w:cs="Times New Roman"/>
          <w:lang w:val="en-US"/>
        </w:rPr>
        <w:t>.</w:t>
      </w:r>
    </w:p>
    <w:p w14:paraId="4B1A2971" w14:textId="4B20DC06" w:rsidR="00C25C1C" w:rsidRDefault="00C25C1C" w:rsidP="00C842E9">
      <w:pPr>
        <w:spacing w:line="360" w:lineRule="auto"/>
        <w:jc w:val="center"/>
        <w:rPr>
          <w:rFonts w:ascii="Times New Roman" w:hAnsi="Times New Roman" w:cs="Times New Roman"/>
          <w:lang w:val="en-US"/>
        </w:rPr>
      </w:pPr>
      <w:r>
        <w:rPr>
          <w:rFonts w:ascii="Times New Roman" w:hAnsi="Times New Roman" w:cs="Times New Roman"/>
          <w:lang w:val="en-US"/>
        </w:rPr>
        <w:t>Insert Figure 1 about here</w:t>
      </w:r>
    </w:p>
    <w:p w14:paraId="4321EFA9" w14:textId="4AC013C7" w:rsidR="003C190B" w:rsidRDefault="003C190B" w:rsidP="00C842E9">
      <w:pPr>
        <w:spacing w:line="360" w:lineRule="auto"/>
        <w:jc w:val="both"/>
        <w:rPr>
          <w:rFonts w:ascii="Times New Roman" w:hAnsi="Times New Roman" w:cs="Times New Roman"/>
          <w:lang w:val="en-US"/>
        </w:rPr>
      </w:pPr>
      <w:r w:rsidRPr="003C190B">
        <w:rPr>
          <w:rFonts w:ascii="Times New Roman" w:hAnsi="Times New Roman" w:cs="Times New Roman"/>
          <w:lang w:val="en-US"/>
        </w:rPr>
        <w:t>Table 1 shows the femicide rate per 100,000 of population over the study period</w:t>
      </w:r>
      <w:r>
        <w:rPr>
          <w:rFonts w:ascii="Times New Roman" w:hAnsi="Times New Roman" w:cs="Times New Roman"/>
          <w:lang w:val="en-US"/>
        </w:rPr>
        <w:t xml:space="preserve"> and the relative risk compared to 2003 as the base year</w:t>
      </w:r>
      <w:r w:rsidRPr="003C190B">
        <w:rPr>
          <w:rFonts w:ascii="Times New Roman" w:hAnsi="Times New Roman" w:cs="Times New Roman"/>
          <w:lang w:val="en-US"/>
        </w:rPr>
        <w:t xml:space="preserve">. The overall rate for all countries combined was 31.8% lower at the end of the period. It remained stable for much the early part of the period with the main reduction occurring from 2010 onwards. </w:t>
      </w:r>
      <w:r w:rsidR="00222DE6">
        <w:rPr>
          <w:rFonts w:ascii="Times New Roman" w:hAnsi="Times New Roman" w:cs="Times New Roman"/>
          <w:lang w:val="en-US"/>
        </w:rPr>
        <w:t>In parallel, t</w:t>
      </w:r>
      <w:r>
        <w:rPr>
          <w:rFonts w:ascii="Times New Roman" w:hAnsi="Times New Roman" w:cs="Times New Roman"/>
          <w:lang w:val="en-US"/>
        </w:rPr>
        <w:t>he relative risk rate</w:t>
      </w:r>
      <w:r w:rsidR="00222DE6">
        <w:rPr>
          <w:rFonts w:ascii="Times New Roman" w:hAnsi="Times New Roman" w:cs="Times New Roman"/>
          <w:lang w:val="en-US"/>
        </w:rPr>
        <w:t xml:space="preserve"> was</w:t>
      </w:r>
      <w:r>
        <w:rPr>
          <w:rFonts w:ascii="Times New Roman" w:hAnsi="Times New Roman" w:cs="Times New Roman"/>
          <w:lang w:val="en-US"/>
        </w:rPr>
        <w:t xml:space="preserve"> significantly lower than 2003 for all but one year from 2010 onwards.</w:t>
      </w:r>
      <w:r w:rsidR="00C04A04" w:rsidRPr="003126F4">
        <w:rPr>
          <w:lang w:val="en-US"/>
        </w:rPr>
        <w:t xml:space="preserve"> </w:t>
      </w:r>
      <w:r w:rsidR="00C04A04" w:rsidRPr="00C04A04">
        <w:rPr>
          <w:rFonts w:ascii="Times New Roman" w:hAnsi="Times New Roman" w:cs="Times New Roman"/>
          <w:lang w:val="en-US"/>
        </w:rPr>
        <w:t xml:space="preserve">A within-country sensitivity analysis using data only from countries with more than one datapoint </w:t>
      </w:r>
      <w:r w:rsidR="00C04A04">
        <w:rPr>
          <w:rFonts w:ascii="Times New Roman" w:hAnsi="Times New Roman" w:cs="Times New Roman"/>
          <w:lang w:val="en-US"/>
        </w:rPr>
        <w:t xml:space="preserve">indicated a similar trend over time with a relatively stable rate in the earlier period and the main reduction occurring after 2010. This suggests a robust trend which is not an artefact of data reporting. </w:t>
      </w:r>
    </w:p>
    <w:p w14:paraId="44A6332A" w14:textId="68932CC2" w:rsidR="00C25C1C" w:rsidRDefault="00C25C1C" w:rsidP="00C842E9">
      <w:pPr>
        <w:spacing w:line="360" w:lineRule="auto"/>
        <w:jc w:val="center"/>
        <w:rPr>
          <w:rFonts w:ascii="Times New Roman" w:hAnsi="Times New Roman" w:cs="Times New Roman"/>
          <w:lang w:val="en-US"/>
        </w:rPr>
      </w:pPr>
      <w:r>
        <w:rPr>
          <w:rFonts w:ascii="Times New Roman" w:hAnsi="Times New Roman" w:cs="Times New Roman"/>
          <w:lang w:val="en-US"/>
        </w:rPr>
        <w:t>Insert Table 1 about here</w:t>
      </w:r>
    </w:p>
    <w:p w14:paraId="725F0DB6" w14:textId="77777777" w:rsidR="00C04A04" w:rsidRDefault="003C190B" w:rsidP="00C842E9">
      <w:pPr>
        <w:spacing w:line="360" w:lineRule="auto"/>
        <w:jc w:val="both"/>
        <w:rPr>
          <w:rFonts w:ascii="Times New Roman" w:hAnsi="Times New Roman" w:cs="Times New Roman"/>
          <w:lang w:val="en-US"/>
        </w:rPr>
      </w:pPr>
      <w:r>
        <w:rPr>
          <w:rFonts w:ascii="Times New Roman" w:hAnsi="Times New Roman" w:cs="Times New Roman"/>
          <w:lang w:val="en-US"/>
        </w:rPr>
        <w:t xml:space="preserve">Table 1 also compares femicide rates according to income and equality levels. </w:t>
      </w:r>
      <w:r w:rsidRPr="003C190B">
        <w:rPr>
          <w:rFonts w:ascii="Times New Roman" w:hAnsi="Times New Roman" w:cs="Times New Roman"/>
          <w:lang w:val="en-US"/>
        </w:rPr>
        <w:t>Overall levels of femicide and trends over time varied significantly according to country income level and inequality level. Lower income and higher inequality countries had substantially higher rates of femicide across the study period</w:t>
      </w:r>
      <w:r w:rsidR="00041B83">
        <w:rPr>
          <w:rFonts w:ascii="Times New Roman" w:hAnsi="Times New Roman" w:cs="Times New Roman"/>
          <w:lang w:val="en-US"/>
        </w:rPr>
        <w:t xml:space="preserve">: </w:t>
      </w:r>
      <w:r w:rsidRPr="003C190B">
        <w:rPr>
          <w:rFonts w:ascii="Times New Roman" w:hAnsi="Times New Roman" w:cs="Times New Roman"/>
          <w:lang w:val="en-US"/>
        </w:rPr>
        <w:t xml:space="preserve">47.8% </w:t>
      </w:r>
      <w:r w:rsidR="00041B83">
        <w:rPr>
          <w:rFonts w:ascii="Times New Roman" w:hAnsi="Times New Roman" w:cs="Times New Roman"/>
          <w:lang w:val="en-US"/>
        </w:rPr>
        <w:t xml:space="preserve">higher in LMIC compared to HIC </w:t>
      </w:r>
      <w:r w:rsidRPr="003C190B">
        <w:rPr>
          <w:rFonts w:ascii="Times New Roman" w:hAnsi="Times New Roman" w:cs="Times New Roman"/>
          <w:lang w:val="en-US"/>
        </w:rPr>
        <w:t xml:space="preserve">and 13.1% </w:t>
      </w:r>
      <w:r w:rsidR="00041B83">
        <w:rPr>
          <w:rFonts w:ascii="Times New Roman" w:hAnsi="Times New Roman" w:cs="Times New Roman"/>
          <w:lang w:val="en-US"/>
        </w:rPr>
        <w:t>higher in HIqC compared to LIqC</w:t>
      </w:r>
      <w:r w:rsidRPr="003C190B">
        <w:rPr>
          <w:rFonts w:ascii="Times New Roman" w:hAnsi="Times New Roman" w:cs="Times New Roman"/>
          <w:lang w:val="en-US"/>
        </w:rPr>
        <w:t>. Whilst femicide rates declined substantially in high income (-54.2%) and low inequality (-65.8%) countries, rates increased in lower income countries and remained relatively unchanged in more unequal societies.</w:t>
      </w:r>
    </w:p>
    <w:p w14:paraId="1434685A" w14:textId="42EC21C9" w:rsidR="006E5A6A" w:rsidRDefault="006E5A6A" w:rsidP="00C842E9">
      <w:pPr>
        <w:spacing w:line="360" w:lineRule="auto"/>
        <w:jc w:val="both"/>
        <w:rPr>
          <w:rFonts w:ascii="Times New Roman" w:hAnsi="Times New Roman" w:cs="Times New Roman"/>
          <w:lang w:val="en-US"/>
        </w:rPr>
      </w:pPr>
      <w:r>
        <w:rPr>
          <w:rFonts w:ascii="Times New Roman" w:hAnsi="Times New Roman" w:cs="Times New Roman"/>
          <w:lang w:val="en-US"/>
        </w:rPr>
        <w:t xml:space="preserve">Figures 2 and 3 report </w:t>
      </w:r>
      <w:r w:rsidR="00C04A04">
        <w:rPr>
          <w:rFonts w:ascii="Times New Roman" w:hAnsi="Times New Roman" w:cs="Times New Roman"/>
          <w:lang w:val="en-US"/>
        </w:rPr>
        <w:t xml:space="preserve">incidence rate ratio </w:t>
      </w:r>
      <w:r>
        <w:rPr>
          <w:rFonts w:ascii="Times New Roman" w:hAnsi="Times New Roman" w:cs="Times New Roman"/>
          <w:lang w:val="en-US"/>
        </w:rPr>
        <w:t xml:space="preserve"> (</w:t>
      </w:r>
      <w:r w:rsidR="00C04A04">
        <w:rPr>
          <w:rFonts w:ascii="Times New Roman" w:hAnsi="Times New Roman" w:cs="Times New Roman"/>
          <w:lang w:val="en-US"/>
        </w:rPr>
        <w:t>I</w:t>
      </w:r>
      <w:r>
        <w:rPr>
          <w:rFonts w:ascii="Times New Roman" w:hAnsi="Times New Roman" w:cs="Times New Roman"/>
          <w:lang w:val="en-US"/>
        </w:rPr>
        <w:t xml:space="preserve">RR) trends over time according to country income and equality level. </w:t>
      </w:r>
      <w:r w:rsidR="00313936">
        <w:rPr>
          <w:rFonts w:ascii="Times New Roman" w:hAnsi="Times New Roman" w:cs="Times New Roman"/>
          <w:lang w:val="en-US"/>
        </w:rPr>
        <w:t>I</w:t>
      </w:r>
      <w:r>
        <w:rPr>
          <w:rFonts w:ascii="Times New Roman" w:hAnsi="Times New Roman" w:cs="Times New Roman"/>
          <w:lang w:val="en-US"/>
        </w:rPr>
        <w:t>RR</w:t>
      </w:r>
      <w:r w:rsidR="00313936">
        <w:rPr>
          <w:rFonts w:ascii="Times New Roman" w:hAnsi="Times New Roman" w:cs="Times New Roman"/>
          <w:lang w:val="en-US"/>
        </w:rPr>
        <w:t>s</w:t>
      </w:r>
      <w:r>
        <w:rPr>
          <w:rFonts w:ascii="Times New Roman" w:hAnsi="Times New Roman" w:cs="Times New Roman"/>
          <w:lang w:val="en-US"/>
        </w:rPr>
        <w:t xml:space="preserve"> w</w:t>
      </w:r>
      <w:r w:rsidR="00313936">
        <w:rPr>
          <w:rFonts w:ascii="Times New Roman" w:hAnsi="Times New Roman" w:cs="Times New Roman"/>
          <w:lang w:val="en-US"/>
        </w:rPr>
        <w:t>ere</w:t>
      </w:r>
      <w:r>
        <w:rPr>
          <w:rFonts w:ascii="Times New Roman" w:hAnsi="Times New Roman" w:cs="Times New Roman"/>
          <w:lang w:val="en-US"/>
        </w:rPr>
        <w:t xml:space="preserve"> substantially higher in HIC at the start of the period but the small number of countries with adequate data at this point makes the estimate very imprecise. In contrast, at the end of the period the </w:t>
      </w:r>
      <w:r w:rsidR="00C04A04">
        <w:rPr>
          <w:rFonts w:ascii="Times New Roman" w:hAnsi="Times New Roman" w:cs="Times New Roman"/>
          <w:lang w:val="en-US"/>
        </w:rPr>
        <w:t>I</w:t>
      </w:r>
      <w:r>
        <w:rPr>
          <w:rFonts w:ascii="Times New Roman" w:hAnsi="Times New Roman" w:cs="Times New Roman"/>
          <w:lang w:val="en-US"/>
        </w:rPr>
        <w:t xml:space="preserve">RR was significantly lower in HIC </w:t>
      </w:r>
      <w:r w:rsidR="00D6762C">
        <w:rPr>
          <w:rFonts w:ascii="Times New Roman" w:hAnsi="Times New Roman" w:cs="Times New Roman"/>
          <w:lang w:val="en-US"/>
        </w:rPr>
        <w:t xml:space="preserve">(95% CI: 0.59-0.81) </w:t>
      </w:r>
      <w:r>
        <w:rPr>
          <w:rFonts w:ascii="Times New Roman" w:hAnsi="Times New Roman" w:cs="Times New Roman"/>
          <w:lang w:val="en-US"/>
        </w:rPr>
        <w:t xml:space="preserve">than LMIC </w:t>
      </w:r>
      <w:r w:rsidR="00D6762C">
        <w:rPr>
          <w:rFonts w:ascii="Times New Roman" w:hAnsi="Times New Roman" w:cs="Times New Roman"/>
          <w:lang w:val="en-US"/>
        </w:rPr>
        <w:t xml:space="preserve">(95% CI: 0.85-1.52) </w:t>
      </w:r>
      <w:r>
        <w:rPr>
          <w:rFonts w:ascii="Times New Roman" w:hAnsi="Times New Roman" w:cs="Times New Roman"/>
          <w:lang w:val="en-US"/>
        </w:rPr>
        <w:t>and had been lower throughout most of the period. Trends did not differ substantially according to equality levels until 20</w:t>
      </w:r>
      <w:r w:rsidR="00D6762C">
        <w:rPr>
          <w:rFonts w:ascii="Times New Roman" w:hAnsi="Times New Roman" w:cs="Times New Roman"/>
          <w:lang w:val="en-US"/>
        </w:rPr>
        <w:t xml:space="preserve">09 </w:t>
      </w:r>
      <w:r>
        <w:rPr>
          <w:rFonts w:ascii="Times New Roman" w:hAnsi="Times New Roman" w:cs="Times New Roman"/>
          <w:lang w:val="en-US"/>
        </w:rPr>
        <w:t>but</w:t>
      </w:r>
      <w:r w:rsidR="00D6762C">
        <w:rPr>
          <w:rFonts w:ascii="Times New Roman" w:hAnsi="Times New Roman" w:cs="Times New Roman"/>
          <w:lang w:val="en-US"/>
        </w:rPr>
        <w:t xml:space="preserve"> diverged after that point and were significantly lower in 2014 in</w:t>
      </w:r>
      <w:r w:rsidR="008837EA">
        <w:rPr>
          <w:rFonts w:ascii="Times New Roman" w:hAnsi="Times New Roman" w:cs="Times New Roman"/>
          <w:lang w:val="en-US"/>
        </w:rPr>
        <w:t xml:space="preserve"> LICs</w:t>
      </w:r>
      <w:r w:rsidR="00D6762C">
        <w:rPr>
          <w:rFonts w:ascii="Times New Roman" w:hAnsi="Times New Roman" w:cs="Times New Roman"/>
          <w:lang w:val="en-US"/>
        </w:rPr>
        <w:t xml:space="preserve"> (95% CI: 0.25-0.48) than in </w:t>
      </w:r>
      <w:r w:rsidR="008837EA">
        <w:rPr>
          <w:rFonts w:ascii="Times New Roman" w:hAnsi="Times New Roman" w:cs="Times New Roman"/>
          <w:lang w:val="en-US"/>
        </w:rPr>
        <w:t xml:space="preserve">HICs </w:t>
      </w:r>
      <w:r w:rsidR="00D6762C">
        <w:rPr>
          <w:rFonts w:ascii="Times New Roman" w:hAnsi="Times New Roman" w:cs="Times New Roman"/>
          <w:lang w:val="en-US"/>
        </w:rPr>
        <w:t xml:space="preserve">(95% CI: 0.66-1.12). </w:t>
      </w:r>
      <w:r>
        <w:rPr>
          <w:rFonts w:ascii="Times New Roman" w:hAnsi="Times New Roman" w:cs="Times New Roman"/>
          <w:lang w:val="en-US"/>
        </w:rPr>
        <w:t xml:space="preserve">  </w:t>
      </w:r>
    </w:p>
    <w:p w14:paraId="5F90CD49" w14:textId="53076D82" w:rsidR="00C25C1C" w:rsidRDefault="00C25C1C" w:rsidP="00C842E9">
      <w:pPr>
        <w:spacing w:line="360" w:lineRule="auto"/>
        <w:jc w:val="center"/>
        <w:rPr>
          <w:rFonts w:ascii="Times New Roman" w:hAnsi="Times New Roman" w:cs="Times New Roman"/>
          <w:lang w:val="en-US"/>
        </w:rPr>
      </w:pPr>
      <w:r>
        <w:rPr>
          <w:rFonts w:ascii="Times New Roman" w:hAnsi="Times New Roman" w:cs="Times New Roman"/>
          <w:lang w:val="en-US"/>
        </w:rPr>
        <w:lastRenderedPageBreak/>
        <w:t>Insert Figures 2 and 3 about here</w:t>
      </w:r>
    </w:p>
    <w:p w14:paraId="194E2DB5" w14:textId="0D9188C5" w:rsidR="003A27F3" w:rsidRPr="00FE3BAC" w:rsidRDefault="0098005A" w:rsidP="00C842E9">
      <w:pPr>
        <w:pStyle w:val="Heading2"/>
        <w:spacing w:line="360" w:lineRule="auto"/>
        <w:jc w:val="both"/>
        <w:rPr>
          <w:b/>
          <w:lang w:val="en-US"/>
        </w:rPr>
      </w:pPr>
      <w:r w:rsidRPr="00FE3BAC">
        <w:rPr>
          <w:b/>
          <w:lang w:val="en-US"/>
        </w:rPr>
        <w:t xml:space="preserve">National actions adopted </w:t>
      </w:r>
      <w:r w:rsidR="003A27F3" w:rsidRPr="00FE3BAC">
        <w:rPr>
          <w:b/>
          <w:lang w:val="en-US"/>
        </w:rPr>
        <w:t xml:space="preserve">to </w:t>
      </w:r>
      <w:r w:rsidRPr="00FE3BAC">
        <w:rPr>
          <w:b/>
          <w:lang w:val="en-US"/>
        </w:rPr>
        <w:t xml:space="preserve">reduce </w:t>
      </w:r>
      <w:r w:rsidR="003A27F3" w:rsidRPr="00FE3BAC">
        <w:rPr>
          <w:b/>
          <w:lang w:val="en-US"/>
        </w:rPr>
        <w:t>violence against women</w:t>
      </w:r>
    </w:p>
    <w:p w14:paraId="451BE4E1" w14:textId="757A31E1" w:rsidR="009837B5" w:rsidRDefault="009837B5" w:rsidP="00C842E9">
      <w:pPr>
        <w:spacing w:line="360" w:lineRule="auto"/>
        <w:jc w:val="both"/>
        <w:rPr>
          <w:rFonts w:ascii="Times New Roman" w:hAnsi="Times New Roman" w:cs="Times New Roman"/>
          <w:lang w:val="en-US"/>
        </w:rPr>
      </w:pPr>
      <w:r>
        <w:rPr>
          <w:rFonts w:ascii="Times New Roman" w:hAnsi="Times New Roman" w:cs="Times New Roman"/>
          <w:lang w:val="en-US"/>
        </w:rPr>
        <w:t xml:space="preserve">Table 2 reports the number of countries adopting each anti-femicide action in the </w:t>
      </w:r>
      <w:r w:rsidR="00222DE6">
        <w:rPr>
          <w:rFonts w:ascii="Times New Roman" w:hAnsi="Times New Roman" w:cs="Times New Roman"/>
          <w:lang w:val="en-US"/>
        </w:rPr>
        <w:t>AFAX index</w:t>
      </w:r>
    </w:p>
    <w:p w14:paraId="5AB99157" w14:textId="4FC1C624" w:rsidR="009837B5" w:rsidRDefault="009837B5" w:rsidP="00C842E9">
      <w:pPr>
        <w:spacing w:line="360" w:lineRule="auto"/>
        <w:jc w:val="center"/>
        <w:rPr>
          <w:rFonts w:ascii="Times New Roman" w:hAnsi="Times New Roman" w:cs="Times New Roman"/>
          <w:lang w:val="en-US"/>
        </w:rPr>
      </w:pPr>
      <w:r>
        <w:rPr>
          <w:rFonts w:ascii="Times New Roman" w:hAnsi="Times New Roman" w:cs="Times New Roman"/>
          <w:lang w:val="en-US"/>
        </w:rPr>
        <w:t>Insert Table 2 about here</w:t>
      </w:r>
    </w:p>
    <w:p w14:paraId="12A8703E" w14:textId="77D9030B" w:rsidR="00EF6132" w:rsidRDefault="009837B5" w:rsidP="00C842E9">
      <w:pPr>
        <w:spacing w:line="360" w:lineRule="auto"/>
        <w:jc w:val="both"/>
        <w:rPr>
          <w:rFonts w:ascii="Times New Roman" w:hAnsi="Times New Roman" w:cs="Times New Roman"/>
          <w:lang w:val="en-US"/>
        </w:rPr>
      </w:pPr>
      <w:r>
        <w:rPr>
          <w:rFonts w:ascii="Times New Roman" w:hAnsi="Times New Roman" w:cs="Times New Roman"/>
          <w:lang w:val="en-US"/>
        </w:rPr>
        <w:t xml:space="preserve">The least implemented actions were enacting a law against female genital mutilation and adopting programmes for either dating violence prevention in schools or microfinance and gender equity training (&lt;60% of countries). </w:t>
      </w:r>
      <w:r w:rsidR="000955D0" w:rsidRPr="000955D0">
        <w:rPr>
          <w:rFonts w:ascii="Times New Roman" w:hAnsi="Times New Roman" w:cs="Times New Roman"/>
          <w:lang w:val="en-US"/>
        </w:rPr>
        <w:t>The mean number of actions (out of 17) adopted by participating countries was 13.5 (95% CI 13.03 – 13.97) and every country had taken at least 3 actions with 83% of countries taking 12 or more actions.</w:t>
      </w:r>
      <w:r w:rsidR="000955D0" w:rsidRPr="0055439E">
        <w:rPr>
          <w:lang w:val="en-US"/>
        </w:rPr>
        <w:t xml:space="preserve"> </w:t>
      </w:r>
      <w:r w:rsidR="000955D0" w:rsidRPr="000955D0">
        <w:rPr>
          <w:rFonts w:ascii="Times New Roman" w:hAnsi="Times New Roman" w:cs="Times New Roman"/>
          <w:lang w:val="en-US"/>
        </w:rPr>
        <w:t>Most countries (n=92, 69.7%) had implemented NAPs on both sexual violence and IPV but 26 countries (19.7%) had no NAP for either problem</w:t>
      </w:r>
      <w:r w:rsidR="009233E1">
        <w:rPr>
          <w:rFonts w:ascii="Times New Roman" w:hAnsi="Times New Roman" w:cs="Times New Roman"/>
          <w:lang w:val="en-US"/>
        </w:rPr>
        <w:t>.</w:t>
      </w:r>
    </w:p>
    <w:p w14:paraId="1E0EE6C2" w14:textId="30EC9848" w:rsidR="009837B5" w:rsidRPr="00222DE6" w:rsidRDefault="00EF6132" w:rsidP="00C842E9">
      <w:pPr>
        <w:spacing w:line="360" w:lineRule="auto"/>
        <w:jc w:val="both"/>
        <w:rPr>
          <w:rFonts w:ascii="Times New Roman" w:hAnsi="Times New Roman" w:cs="Times New Roman"/>
          <w:lang w:val="en-US"/>
        </w:rPr>
      </w:pPr>
      <w:r w:rsidRPr="00222DE6">
        <w:rPr>
          <w:rFonts w:ascii="Times New Roman" w:hAnsi="Times New Roman" w:cs="Times New Roman"/>
          <w:lang w:val="en-US"/>
        </w:rPr>
        <w:t xml:space="preserve">The only </w:t>
      </w:r>
      <w:r w:rsidR="00D305F5" w:rsidRPr="00222DE6">
        <w:rPr>
          <w:rFonts w:ascii="Times New Roman" w:hAnsi="Times New Roman" w:cs="Times New Roman"/>
          <w:lang w:val="en-US"/>
        </w:rPr>
        <w:t>actions to vary significantly according to country income were laws against mutilation</w:t>
      </w:r>
      <w:r w:rsidR="003D1F6F" w:rsidRPr="00222DE6">
        <w:rPr>
          <w:rFonts w:ascii="Times New Roman" w:hAnsi="Times New Roman" w:cs="Times New Roman"/>
          <w:lang w:val="en-US"/>
        </w:rPr>
        <w:t xml:space="preserve">, and implementation of microfinancing and gender equity programmes. Laws against genital mutilation were </w:t>
      </w:r>
      <w:r w:rsidR="00D305F5" w:rsidRPr="00222DE6">
        <w:rPr>
          <w:rFonts w:ascii="Times New Roman" w:hAnsi="Times New Roman" w:cs="Times New Roman"/>
          <w:lang w:val="en-US"/>
        </w:rPr>
        <w:t xml:space="preserve">significantly more likely </w:t>
      </w:r>
      <w:r w:rsidR="008837EA">
        <w:rPr>
          <w:rFonts w:ascii="Times New Roman" w:hAnsi="Times New Roman" w:cs="Times New Roman"/>
          <w:lang w:val="en-US"/>
        </w:rPr>
        <w:t xml:space="preserve">to be implemented </w:t>
      </w:r>
      <w:r w:rsidR="00D305F5" w:rsidRPr="00222DE6">
        <w:rPr>
          <w:rFonts w:ascii="Times New Roman" w:hAnsi="Times New Roman" w:cs="Times New Roman"/>
          <w:lang w:val="en-US"/>
        </w:rPr>
        <w:t xml:space="preserve">in HICs (70.7%) than </w:t>
      </w:r>
      <w:r w:rsidR="003D1F6F" w:rsidRPr="00222DE6">
        <w:rPr>
          <w:rFonts w:ascii="Times New Roman" w:hAnsi="Times New Roman" w:cs="Times New Roman"/>
          <w:lang w:val="en-US"/>
        </w:rPr>
        <w:t xml:space="preserve">in </w:t>
      </w:r>
      <w:r w:rsidR="00D305F5" w:rsidRPr="00222DE6">
        <w:rPr>
          <w:rFonts w:ascii="Times New Roman" w:hAnsi="Times New Roman" w:cs="Times New Roman"/>
          <w:lang w:val="en-US"/>
        </w:rPr>
        <w:t>LMICs (41.3%) (chisq=9.82, p=.002)</w:t>
      </w:r>
      <w:r w:rsidR="003D1F6F" w:rsidRPr="00222DE6">
        <w:rPr>
          <w:rFonts w:ascii="Times New Roman" w:hAnsi="Times New Roman" w:cs="Times New Roman"/>
          <w:lang w:val="en-US"/>
        </w:rPr>
        <w:t xml:space="preserve">. </w:t>
      </w:r>
      <w:r w:rsidR="00D305F5" w:rsidRPr="00222DE6">
        <w:rPr>
          <w:rFonts w:ascii="Times New Roman" w:hAnsi="Times New Roman" w:cs="Times New Roman"/>
          <w:lang w:val="en-US"/>
        </w:rPr>
        <w:t xml:space="preserve"> </w:t>
      </w:r>
      <w:r w:rsidR="003D1F6F" w:rsidRPr="00222DE6">
        <w:rPr>
          <w:rFonts w:ascii="Times New Roman" w:hAnsi="Times New Roman" w:cs="Times New Roman"/>
          <w:lang w:val="en-US"/>
        </w:rPr>
        <w:t>Conversely, microfinancing and gender equity programmes were significantly more common in LMICs (70.7%) than HICs (29.3%) (chisq=19.92, p=.001</w:t>
      </w:r>
      <w:r w:rsidR="00DA6C28" w:rsidRPr="00222DE6">
        <w:rPr>
          <w:rFonts w:ascii="Times New Roman" w:hAnsi="Times New Roman" w:cs="Times New Roman"/>
          <w:lang w:val="en-US"/>
        </w:rPr>
        <w:t xml:space="preserve">). </w:t>
      </w:r>
      <w:r w:rsidR="00BB5515" w:rsidRPr="00222DE6">
        <w:rPr>
          <w:rFonts w:ascii="Times New Roman" w:hAnsi="Times New Roman" w:cs="Times New Roman"/>
          <w:lang w:val="en-US"/>
        </w:rPr>
        <w:t>These actions were also the only ones to vary significantly</w:t>
      </w:r>
      <w:r w:rsidR="00DA6C28" w:rsidRPr="00222DE6">
        <w:rPr>
          <w:rFonts w:ascii="Times New Roman" w:hAnsi="Times New Roman" w:cs="Times New Roman"/>
          <w:lang w:val="en-US"/>
        </w:rPr>
        <w:t xml:space="preserve"> by inequality</w:t>
      </w:r>
      <w:r w:rsidR="00BB5515" w:rsidRPr="00222DE6">
        <w:rPr>
          <w:rFonts w:ascii="Times New Roman" w:hAnsi="Times New Roman" w:cs="Times New Roman"/>
          <w:lang w:val="en-US"/>
        </w:rPr>
        <w:t>. Laws against mutilation were significantly more likely to be adopted in low inequality countries (73.0%) than in higher inequality countries (40.5%) (chisq=10.39, p=.001)</w:t>
      </w:r>
      <w:r w:rsidR="00DA6C28" w:rsidRPr="00222DE6">
        <w:rPr>
          <w:rFonts w:ascii="Times New Roman" w:hAnsi="Times New Roman" w:cs="Times New Roman"/>
          <w:lang w:val="en-US"/>
        </w:rPr>
        <w:t xml:space="preserve">. </w:t>
      </w:r>
      <w:r w:rsidR="00DA202D" w:rsidRPr="00222DE6">
        <w:rPr>
          <w:rFonts w:ascii="Times New Roman" w:hAnsi="Times New Roman" w:cs="Times New Roman"/>
          <w:lang w:val="en-US"/>
        </w:rPr>
        <w:t xml:space="preserve">NAP implementation and the </w:t>
      </w:r>
      <w:r w:rsidR="000955D0" w:rsidRPr="00222DE6">
        <w:rPr>
          <w:rFonts w:ascii="Times New Roman" w:hAnsi="Times New Roman" w:cs="Times New Roman"/>
          <w:lang w:val="en-US"/>
        </w:rPr>
        <w:t>total number of actions implemented</w:t>
      </w:r>
      <w:r w:rsidR="00DA202D" w:rsidRPr="00222DE6">
        <w:rPr>
          <w:rFonts w:ascii="Times New Roman" w:hAnsi="Times New Roman" w:cs="Times New Roman"/>
          <w:lang w:val="en-US"/>
        </w:rPr>
        <w:t xml:space="preserve"> did not differ according to income or inequality.  </w:t>
      </w:r>
      <w:r w:rsidR="000955D0" w:rsidRPr="00222DE6">
        <w:rPr>
          <w:rFonts w:ascii="Times New Roman" w:hAnsi="Times New Roman" w:cs="Times New Roman"/>
          <w:lang w:val="en-US"/>
        </w:rPr>
        <w:t xml:space="preserve"> </w:t>
      </w:r>
    </w:p>
    <w:p w14:paraId="4DA7C693" w14:textId="77777777" w:rsidR="00FE3BAC" w:rsidRDefault="00FB276A" w:rsidP="00C842E9">
      <w:pPr>
        <w:pStyle w:val="Heading2"/>
        <w:jc w:val="both"/>
        <w:rPr>
          <w:b/>
          <w:lang w:val="en-US"/>
        </w:rPr>
      </w:pPr>
      <w:r w:rsidRPr="00FE3BAC">
        <w:rPr>
          <w:b/>
          <w:lang w:val="en-US"/>
        </w:rPr>
        <w:t>Relationship of anti-femicide actions, structural features and femicide rate</w:t>
      </w:r>
    </w:p>
    <w:p w14:paraId="0B8591C1" w14:textId="77777777" w:rsidR="00FE3BAC" w:rsidRDefault="00FE3BAC" w:rsidP="00C842E9">
      <w:pPr>
        <w:pStyle w:val="Heading2"/>
        <w:jc w:val="both"/>
        <w:rPr>
          <w:b/>
          <w:lang w:val="en-US"/>
        </w:rPr>
      </w:pPr>
    </w:p>
    <w:p w14:paraId="509E9D1B" w14:textId="5B56B3D5" w:rsidR="00FB276A" w:rsidRPr="00FE3BAC" w:rsidRDefault="005C2792" w:rsidP="00C842E9">
      <w:pPr>
        <w:spacing w:line="360" w:lineRule="auto"/>
        <w:jc w:val="both"/>
        <w:rPr>
          <w:rFonts w:ascii="Times New Roman" w:hAnsi="Times New Roman" w:cs="Times New Roman"/>
          <w:b/>
          <w:lang w:val="en-US"/>
        </w:rPr>
      </w:pPr>
      <w:r w:rsidRPr="00FE3BAC">
        <w:rPr>
          <w:rFonts w:ascii="Times New Roman" w:hAnsi="Times New Roman" w:cs="Times New Roman"/>
          <w:lang w:val="en-US"/>
        </w:rPr>
        <w:t>Structural factors were sign</w:t>
      </w:r>
      <w:r w:rsidR="000717B5" w:rsidRPr="00FE3BAC">
        <w:rPr>
          <w:rFonts w:ascii="Times New Roman" w:hAnsi="Times New Roman" w:cs="Times New Roman"/>
          <w:lang w:val="en-US"/>
        </w:rPr>
        <w:t>ific</w:t>
      </w:r>
      <w:r w:rsidRPr="00FE3BAC">
        <w:rPr>
          <w:rFonts w:ascii="Times New Roman" w:hAnsi="Times New Roman" w:cs="Times New Roman"/>
          <w:lang w:val="en-US"/>
        </w:rPr>
        <w:t xml:space="preserve">ant predictors </w:t>
      </w:r>
      <w:r w:rsidR="000717B5" w:rsidRPr="00FE3BAC">
        <w:rPr>
          <w:rFonts w:ascii="Times New Roman" w:hAnsi="Times New Roman" w:cs="Times New Roman"/>
          <w:lang w:val="en-US"/>
        </w:rPr>
        <w:t>of the 2014 femicide rate when entered into a linear regression (</w:t>
      </w:r>
      <w:r w:rsidR="00964276" w:rsidRPr="00FE3BAC">
        <w:rPr>
          <w:rFonts w:ascii="Times New Roman" w:hAnsi="Times New Roman" w:cs="Times New Roman"/>
          <w:lang w:val="en-US"/>
        </w:rPr>
        <w:t>income</w:t>
      </w:r>
      <w:r w:rsidR="00313936">
        <w:rPr>
          <w:rFonts w:ascii="Times New Roman" w:hAnsi="Times New Roman" w:cs="Times New Roman"/>
          <w:lang w:val="en-US"/>
        </w:rPr>
        <w:t>:</w:t>
      </w:r>
      <w:r w:rsidR="00964276" w:rsidRPr="00FE3BAC">
        <w:rPr>
          <w:rFonts w:ascii="Times New Roman" w:hAnsi="Times New Roman" w:cs="Times New Roman"/>
          <w:lang w:val="en-US"/>
        </w:rPr>
        <w:t xml:space="preserve"> beta=1.54, SE=0.63</w:t>
      </w:r>
      <w:r w:rsidR="002F6131" w:rsidRPr="00FE3BAC">
        <w:rPr>
          <w:rFonts w:ascii="Times New Roman" w:hAnsi="Times New Roman" w:cs="Times New Roman"/>
          <w:lang w:val="en-US"/>
        </w:rPr>
        <w:t>, standardized</w:t>
      </w:r>
      <w:r w:rsidR="00964276" w:rsidRPr="00FE3BAC">
        <w:rPr>
          <w:rFonts w:ascii="Times New Roman" w:hAnsi="Times New Roman" w:cs="Times New Roman"/>
          <w:lang w:val="en-US"/>
        </w:rPr>
        <w:t xml:space="preserve"> beta=0.39, t=2.46, p=0.019</w:t>
      </w:r>
      <w:r w:rsidR="002F6131" w:rsidRPr="00FE3BAC">
        <w:rPr>
          <w:rFonts w:ascii="Times New Roman" w:hAnsi="Times New Roman" w:cs="Times New Roman"/>
          <w:lang w:val="en-US"/>
        </w:rPr>
        <w:t>; inequality</w:t>
      </w:r>
      <w:r w:rsidR="00313936">
        <w:rPr>
          <w:rFonts w:ascii="Times New Roman" w:hAnsi="Times New Roman" w:cs="Times New Roman"/>
          <w:lang w:val="en-US"/>
        </w:rPr>
        <w:t>:</w:t>
      </w:r>
      <w:r w:rsidR="002F6131" w:rsidRPr="00FE3BAC">
        <w:rPr>
          <w:rFonts w:ascii="Times New Roman" w:hAnsi="Times New Roman" w:cs="Times New Roman"/>
          <w:lang w:val="en-US"/>
        </w:rPr>
        <w:t xml:space="preserve"> </w:t>
      </w:r>
      <w:r w:rsidR="00964276" w:rsidRPr="00FE3BAC">
        <w:rPr>
          <w:rFonts w:ascii="Times New Roman" w:hAnsi="Times New Roman" w:cs="Times New Roman"/>
          <w:lang w:val="en-US"/>
        </w:rPr>
        <w:t>beta=1.21, SE=0.57, standardized beta=0.31, t=2.12, p=0.041)</w:t>
      </w:r>
      <w:r w:rsidR="000717B5" w:rsidRPr="00FE3BAC">
        <w:rPr>
          <w:rFonts w:ascii="Times New Roman" w:hAnsi="Times New Roman" w:cs="Times New Roman"/>
          <w:lang w:val="en-US"/>
        </w:rPr>
        <w:t xml:space="preserve">. </w:t>
      </w:r>
      <w:r w:rsidR="000C47E4" w:rsidRPr="00FE3BAC">
        <w:rPr>
          <w:rFonts w:ascii="Times New Roman" w:hAnsi="Times New Roman" w:cs="Times New Roman"/>
          <w:lang w:val="en-US"/>
        </w:rPr>
        <w:t>However</w:t>
      </w:r>
      <w:r w:rsidR="000C47E4">
        <w:rPr>
          <w:rFonts w:ascii="Times New Roman" w:hAnsi="Times New Roman" w:cs="Times New Roman"/>
          <w:lang w:val="en-US"/>
        </w:rPr>
        <w:t>,</w:t>
      </w:r>
      <w:r w:rsidR="00FE3BAC" w:rsidRPr="00FE3BAC">
        <w:rPr>
          <w:rFonts w:ascii="Times New Roman" w:hAnsi="Times New Roman" w:cs="Times New Roman"/>
          <w:lang w:val="en-US"/>
        </w:rPr>
        <w:t xml:space="preserve"> anti-femicide actions (NAPs, number of laws and number of programmes) were not significant in this analysis. </w:t>
      </w:r>
    </w:p>
    <w:p w14:paraId="61745B15" w14:textId="77777777" w:rsidR="006A3F62" w:rsidRDefault="00146CC9" w:rsidP="00C842E9">
      <w:pPr>
        <w:pStyle w:val="Heading1"/>
        <w:spacing w:line="360" w:lineRule="auto"/>
        <w:jc w:val="both"/>
        <w:rPr>
          <w:lang w:val="en-US"/>
        </w:rPr>
      </w:pPr>
      <w:r>
        <w:rPr>
          <w:lang w:val="en-US"/>
        </w:rPr>
        <w:t>Discussion</w:t>
      </w:r>
    </w:p>
    <w:p w14:paraId="4AA8056B" w14:textId="394A1830" w:rsidR="0055439E" w:rsidRPr="004515D6" w:rsidRDefault="0055439E" w:rsidP="00C842E9">
      <w:pPr>
        <w:spacing w:line="360" w:lineRule="auto"/>
        <w:jc w:val="both"/>
        <w:rPr>
          <w:rFonts w:ascii="Times New Roman" w:hAnsi="Times New Roman" w:cs="Times New Roman"/>
          <w:lang w:val="en-US"/>
        </w:rPr>
      </w:pPr>
      <w:r w:rsidRPr="004515D6">
        <w:rPr>
          <w:rFonts w:ascii="Times New Roman" w:hAnsi="Times New Roman" w:cs="Times New Roman"/>
          <w:lang w:val="en-US"/>
        </w:rPr>
        <w:t>This study combined data from three datasets to provide a unique picture of both femicide trends in the first two decades of the 21</w:t>
      </w:r>
      <w:r w:rsidRPr="004515D6">
        <w:rPr>
          <w:rFonts w:ascii="Times New Roman" w:hAnsi="Times New Roman" w:cs="Times New Roman"/>
          <w:vertAlign w:val="superscript"/>
          <w:lang w:val="en-US"/>
        </w:rPr>
        <w:t>st</w:t>
      </w:r>
      <w:r w:rsidRPr="004515D6">
        <w:rPr>
          <w:rFonts w:ascii="Times New Roman" w:hAnsi="Times New Roman" w:cs="Times New Roman"/>
          <w:lang w:val="en-US"/>
        </w:rPr>
        <w:t>. century and actions adopted by countries around the world to address the phenomenon. There is evidence that global femicide rates decreased substantially over the study period with 2014 rates being 31% lower than in 2003. However</w:t>
      </w:r>
      <w:r w:rsidR="00C04A04">
        <w:rPr>
          <w:rFonts w:ascii="Times New Roman" w:hAnsi="Times New Roman" w:cs="Times New Roman"/>
          <w:lang w:val="en-US"/>
        </w:rPr>
        <w:t>,</w:t>
      </w:r>
      <w:r w:rsidRPr="004515D6">
        <w:rPr>
          <w:rFonts w:ascii="Times New Roman" w:hAnsi="Times New Roman" w:cs="Times New Roman"/>
          <w:lang w:val="en-US"/>
        </w:rPr>
        <w:t xml:space="preserve"> the decrease is limited to high income countries </w:t>
      </w:r>
      <w:r w:rsidR="00CF66D0" w:rsidRPr="004515D6">
        <w:rPr>
          <w:rFonts w:ascii="Times New Roman" w:hAnsi="Times New Roman" w:cs="Times New Roman"/>
          <w:lang w:val="en-US"/>
        </w:rPr>
        <w:t>who together reported</w:t>
      </w:r>
      <w:r w:rsidRPr="004515D6">
        <w:rPr>
          <w:rFonts w:ascii="Times New Roman" w:hAnsi="Times New Roman" w:cs="Times New Roman"/>
          <w:lang w:val="en-US"/>
        </w:rPr>
        <w:t xml:space="preserve"> a 54% drop while low- and medium-income countries experienced a substantial increase</w:t>
      </w:r>
      <w:r w:rsidR="00CF66D0" w:rsidRPr="004515D6">
        <w:rPr>
          <w:rFonts w:ascii="Times New Roman" w:hAnsi="Times New Roman" w:cs="Times New Roman"/>
          <w:lang w:val="en-US"/>
        </w:rPr>
        <w:t xml:space="preserve">. Wealth inequality also attenuated the overall reduction as </w:t>
      </w:r>
      <w:r w:rsidR="006C1C09" w:rsidRPr="004515D6">
        <w:rPr>
          <w:rFonts w:ascii="Times New Roman" w:hAnsi="Times New Roman" w:cs="Times New Roman"/>
          <w:lang w:val="en-US"/>
        </w:rPr>
        <w:t xml:space="preserve">the rate in </w:t>
      </w:r>
      <w:r w:rsidR="00CF66D0" w:rsidRPr="004515D6">
        <w:rPr>
          <w:rFonts w:ascii="Times New Roman" w:hAnsi="Times New Roman" w:cs="Times New Roman"/>
          <w:lang w:val="en-US"/>
        </w:rPr>
        <w:t>high- and medium-inequality countries</w:t>
      </w:r>
      <w:r w:rsidR="006C1C09" w:rsidRPr="004515D6">
        <w:rPr>
          <w:rFonts w:ascii="Times New Roman" w:hAnsi="Times New Roman" w:cs="Times New Roman"/>
          <w:lang w:val="en-US"/>
        </w:rPr>
        <w:t xml:space="preserve"> remained stable whilst </w:t>
      </w:r>
      <w:r w:rsidR="004067E2">
        <w:rPr>
          <w:rFonts w:ascii="Times New Roman" w:hAnsi="Times New Roman" w:cs="Times New Roman"/>
          <w:lang w:val="en-US"/>
        </w:rPr>
        <w:t>t</w:t>
      </w:r>
      <w:r w:rsidR="006C1C09" w:rsidRPr="004515D6">
        <w:rPr>
          <w:rFonts w:ascii="Times New Roman" w:hAnsi="Times New Roman" w:cs="Times New Roman"/>
          <w:lang w:val="en-US"/>
        </w:rPr>
        <w:t xml:space="preserve">hat in low inequality countries fell by two-thirds. The latter </w:t>
      </w:r>
      <w:r w:rsidR="006C1C09" w:rsidRPr="004515D6">
        <w:rPr>
          <w:rFonts w:ascii="Times New Roman" w:hAnsi="Times New Roman" w:cs="Times New Roman"/>
          <w:lang w:val="en-US"/>
        </w:rPr>
        <w:lastRenderedPageBreak/>
        <w:t>is a remarkable reduction and may reflect a one-off rate in 2014 (0.86) with a 33% reduction by 2013 (1.67) being a more robust estimate.</w:t>
      </w:r>
      <w:r w:rsidR="00CF66D0" w:rsidRPr="004515D6">
        <w:rPr>
          <w:rFonts w:ascii="Times New Roman" w:hAnsi="Times New Roman" w:cs="Times New Roman"/>
          <w:lang w:val="en-US"/>
        </w:rPr>
        <w:t xml:space="preserve">  </w:t>
      </w:r>
      <w:r w:rsidRPr="004515D6">
        <w:rPr>
          <w:rFonts w:ascii="Times New Roman" w:hAnsi="Times New Roman" w:cs="Times New Roman"/>
          <w:lang w:val="en-US"/>
        </w:rPr>
        <w:t xml:space="preserve">     </w:t>
      </w:r>
    </w:p>
    <w:p w14:paraId="65163189" w14:textId="283DCF84" w:rsidR="00CF66D0" w:rsidRPr="004515D6" w:rsidRDefault="00CF66D0" w:rsidP="00C842E9">
      <w:pPr>
        <w:spacing w:line="360" w:lineRule="auto"/>
        <w:jc w:val="both"/>
        <w:rPr>
          <w:rFonts w:ascii="Times New Roman" w:hAnsi="Times New Roman" w:cs="Times New Roman"/>
          <w:lang w:val="en-US"/>
        </w:rPr>
      </w:pPr>
      <w:r w:rsidRPr="004515D6">
        <w:rPr>
          <w:rFonts w:ascii="Times New Roman" w:hAnsi="Times New Roman" w:cs="Times New Roman"/>
          <w:lang w:val="en-US"/>
        </w:rPr>
        <w:t>Stru</w:t>
      </w:r>
      <w:r w:rsidR="006C1C09" w:rsidRPr="004515D6">
        <w:rPr>
          <w:rFonts w:ascii="Times New Roman" w:hAnsi="Times New Roman" w:cs="Times New Roman"/>
          <w:lang w:val="en-US"/>
        </w:rPr>
        <w:t>c</w:t>
      </w:r>
      <w:r w:rsidRPr="004515D6">
        <w:rPr>
          <w:rFonts w:ascii="Times New Roman" w:hAnsi="Times New Roman" w:cs="Times New Roman"/>
          <w:lang w:val="en-US"/>
        </w:rPr>
        <w:t>tural fa</w:t>
      </w:r>
      <w:r w:rsidR="006C1C09" w:rsidRPr="004515D6">
        <w:rPr>
          <w:rFonts w:ascii="Times New Roman" w:hAnsi="Times New Roman" w:cs="Times New Roman"/>
          <w:lang w:val="en-US"/>
        </w:rPr>
        <w:t>cto</w:t>
      </w:r>
      <w:r w:rsidRPr="004515D6">
        <w:rPr>
          <w:rFonts w:ascii="Times New Roman" w:hAnsi="Times New Roman" w:cs="Times New Roman"/>
          <w:lang w:val="en-US"/>
        </w:rPr>
        <w:t xml:space="preserve">rs are clearly </w:t>
      </w:r>
      <w:r w:rsidR="006C1C09" w:rsidRPr="004515D6">
        <w:rPr>
          <w:rFonts w:ascii="Times New Roman" w:hAnsi="Times New Roman" w:cs="Times New Roman"/>
          <w:lang w:val="en-US"/>
        </w:rPr>
        <w:t>a</w:t>
      </w:r>
      <w:r w:rsidRPr="004515D6">
        <w:rPr>
          <w:rFonts w:ascii="Times New Roman" w:hAnsi="Times New Roman" w:cs="Times New Roman"/>
          <w:lang w:val="en-US"/>
        </w:rPr>
        <w:t xml:space="preserve">ssociated with femicide rates. Over the </w:t>
      </w:r>
      <w:r w:rsidR="006C1C09" w:rsidRPr="004515D6">
        <w:rPr>
          <w:rFonts w:ascii="Times New Roman" w:hAnsi="Times New Roman" w:cs="Times New Roman"/>
          <w:lang w:val="en-US"/>
        </w:rPr>
        <w:t>w</w:t>
      </w:r>
      <w:r w:rsidRPr="004515D6">
        <w:rPr>
          <w:rFonts w:ascii="Times New Roman" w:hAnsi="Times New Roman" w:cs="Times New Roman"/>
          <w:lang w:val="en-US"/>
        </w:rPr>
        <w:t xml:space="preserve">hole study period, </w:t>
      </w:r>
      <w:r w:rsidR="006C1C09" w:rsidRPr="004515D6">
        <w:rPr>
          <w:rFonts w:ascii="Times New Roman" w:hAnsi="Times New Roman" w:cs="Times New Roman"/>
          <w:lang w:val="en-US"/>
        </w:rPr>
        <w:t>rates were</w:t>
      </w:r>
      <w:r w:rsidRPr="004515D6">
        <w:rPr>
          <w:rFonts w:ascii="Times New Roman" w:hAnsi="Times New Roman" w:cs="Times New Roman"/>
          <w:lang w:val="en-US"/>
        </w:rPr>
        <w:t xml:space="preserve"> nearly twice as high in LMICs and 13% higher in </w:t>
      </w:r>
      <w:r w:rsidR="008837EA">
        <w:rPr>
          <w:rFonts w:ascii="Times New Roman" w:hAnsi="Times New Roman" w:cs="Times New Roman"/>
          <w:lang w:val="en-US"/>
        </w:rPr>
        <w:t xml:space="preserve">HIq </w:t>
      </w:r>
      <w:r w:rsidRPr="004515D6">
        <w:rPr>
          <w:rFonts w:ascii="Times New Roman" w:hAnsi="Times New Roman" w:cs="Times New Roman"/>
          <w:lang w:val="en-US"/>
        </w:rPr>
        <w:t xml:space="preserve"> These structural factors were also much stronger predictors of the national femicide rate in 2014 than the actions adopted by national governments to address the problem. This </w:t>
      </w:r>
      <w:r w:rsidR="002C387E">
        <w:rPr>
          <w:rFonts w:ascii="Times New Roman" w:hAnsi="Times New Roman" w:cs="Times New Roman"/>
          <w:lang w:val="en-US"/>
        </w:rPr>
        <w:t xml:space="preserve">supports the known association between inequality and general violence </w:t>
      </w:r>
      <w:r w:rsidR="002C387E">
        <w:rPr>
          <w:rFonts w:ascii="Times New Roman" w:hAnsi="Times New Roman" w:cs="Times New Roman"/>
          <w:lang w:val="en-US"/>
        </w:rPr>
        <w:fldChar w:fldCharType="begin"/>
      </w:r>
      <w:r w:rsidR="002C387E">
        <w:rPr>
          <w:rFonts w:ascii="Times New Roman" w:hAnsi="Times New Roman" w:cs="Times New Roman"/>
          <w:lang w:val="en-US"/>
        </w:rPr>
        <w:instrText xml:space="preserve"> ADDIN EN.CITE &lt;EndNote&gt;&lt;Cite&gt;&lt;Author&gt;Ferguson&lt;/Author&gt;&lt;Year&gt;2021&lt;/Year&gt;&lt;RecNum&gt;3336&lt;/RecNum&gt;&lt;DisplayText&gt;(Ferguson and Smith 2021)&lt;/DisplayText&gt;&lt;record&gt;&lt;rec-number&gt;3336&lt;/rec-number&gt;&lt;foreign-keys&gt;&lt;key app="EN" db-id="xeadttdpnf0vfgev2xzv2v9gvp92rp5tstes" timestamp="1661447642"&gt;3336&lt;/key&gt;&lt;/foreign-keys&gt;&lt;ref-type name="Journal Article"&gt;17&lt;/ref-type&gt;&lt;contributors&gt;&lt;authors&gt;&lt;author&gt;Ferguson, Christopher J.&lt;/author&gt;&lt;author&gt;Smith, Sven&lt;/author&gt;&lt;/authors&gt;&lt;/contributors&gt;&lt;titles&gt;&lt;title&gt;Examining homicides and suicides cross-nationally: Economic factors, guns and video games&lt;/title&gt;&lt;secondary-title&gt;International Journal of Psychology&lt;/secondary-title&gt;&lt;/titles&gt;&lt;periodical&gt;&lt;full-title&gt;International Journal of Psychology&lt;/full-title&gt;&lt;/periodical&gt;&lt;pages&gt;812-823&lt;/pages&gt;&lt;volume&gt;56&lt;/volume&gt;&lt;number&gt;5&lt;/number&gt;&lt;dates&gt;&lt;year&gt;2021&lt;/year&gt;&lt;/dates&gt;&lt;isbn&gt;0020-7594&lt;/isbn&gt;&lt;urls&gt;&lt;related-urls&gt;&lt;url&gt;https://onlinelibrary.wiley.com/doi/abs/10.1002/ijop.12760&lt;/url&gt;&lt;/related-urls&gt;&lt;/urls&gt;&lt;electronic-resource-num&gt;https://doi.org/10.1002/ijop.12760&lt;/electronic-resource-num&gt;&lt;/record&gt;&lt;/Cite&gt;&lt;/EndNote&gt;</w:instrText>
      </w:r>
      <w:r w:rsidR="002C387E">
        <w:rPr>
          <w:rFonts w:ascii="Times New Roman" w:hAnsi="Times New Roman" w:cs="Times New Roman"/>
          <w:lang w:val="en-US"/>
        </w:rPr>
        <w:fldChar w:fldCharType="separate"/>
      </w:r>
      <w:r w:rsidR="002C387E">
        <w:rPr>
          <w:rFonts w:ascii="Times New Roman" w:hAnsi="Times New Roman" w:cs="Times New Roman"/>
          <w:noProof/>
          <w:lang w:val="en-US"/>
        </w:rPr>
        <w:t>(Ferguson and Smith 2021)</w:t>
      </w:r>
      <w:r w:rsidR="002C387E">
        <w:rPr>
          <w:rFonts w:ascii="Times New Roman" w:hAnsi="Times New Roman" w:cs="Times New Roman"/>
          <w:lang w:val="en-US"/>
        </w:rPr>
        <w:fldChar w:fldCharType="end"/>
      </w:r>
      <w:r w:rsidR="002C387E">
        <w:rPr>
          <w:rFonts w:ascii="Times New Roman" w:hAnsi="Times New Roman" w:cs="Times New Roman"/>
          <w:lang w:val="en-US"/>
        </w:rPr>
        <w:t xml:space="preserve"> and </w:t>
      </w:r>
      <w:r w:rsidRPr="004515D6">
        <w:rPr>
          <w:rFonts w:ascii="Times New Roman" w:hAnsi="Times New Roman" w:cs="Times New Roman"/>
          <w:lang w:val="en-US"/>
        </w:rPr>
        <w:t>clearly indicates that underlying social issues related to income and wealth equality must be addressed alongside efforts to introduce laws and intervention programmes</w:t>
      </w:r>
      <w:r w:rsidR="002C387E">
        <w:rPr>
          <w:rFonts w:ascii="Times New Roman" w:hAnsi="Times New Roman" w:cs="Times New Roman"/>
          <w:lang w:val="en-US"/>
        </w:rPr>
        <w:t xml:space="preserve"> which operate mainly at the individual level</w:t>
      </w:r>
      <w:r w:rsidRPr="004515D6">
        <w:rPr>
          <w:rFonts w:ascii="Times New Roman" w:hAnsi="Times New Roman" w:cs="Times New Roman"/>
          <w:lang w:val="en-US"/>
        </w:rPr>
        <w:t>. The impact of these laws and programmes can be swamped by that of the wider social wealth issues although clearly their structural nature makes them harder to tackle without substantial political commitment and efforts.</w:t>
      </w:r>
    </w:p>
    <w:p w14:paraId="3F469810" w14:textId="6A33C19D" w:rsidR="00335508" w:rsidRPr="004515D6" w:rsidRDefault="0050426D" w:rsidP="00C842E9">
      <w:pPr>
        <w:spacing w:line="360" w:lineRule="auto"/>
        <w:jc w:val="both"/>
        <w:rPr>
          <w:rFonts w:ascii="Times New Roman" w:hAnsi="Times New Roman" w:cs="Times New Roman"/>
          <w:lang w:val="en-US"/>
        </w:rPr>
      </w:pPr>
      <w:r w:rsidRPr="004515D6">
        <w:rPr>
          <w:rFonts w:ascii="Times New Roman" w:hAnsi="Times New Roman" w:cs="Times New Roman"/>
          <w:lang w:val="en-US"/>
        </w:rPr>
        <w:t>The study confirms a regular finding that women in certain specific countries and regions of the world experience highly disproportionate exposure to femicide risk</w:t>
      </w:r>
      <w:r w:rsidR="002C387E">
        <w:rPr>
          <w:rFonts w:ascii="Times New Roman" w:hAnsi="Times New Roman" w:cs="Times New Roman"/>
          <w:lang w:val="en-US"/>
        </w:rPr>
        <w:t xml:space="preserve"> </w:t>
      </w:r>
      <w:r w:rsidR="002C387E">
        <w:rPr>
          <w:rFonts w:ascii="Times New Roman" w:hAnsi="Times New Roman" w:cs="Times New Roman"/>
          <w:lang w:val="en-US"/>
        </w:rPr>
        <w:fldChar w:fldCharType="begin"/>
      </w:r>
      <w:r w:rsidR="002C387E">
        <w:rPr>
          <w:rFonts w:ascii="Times New Roman" w:hAnsi="Times New Roman" w:cs="Times New Roman"/>
          <w:lang w:val="en-US"/>
        </w:rPr>
        <w:instrText xml:space="preserve"> ADDIN EN.CITE &lt;EndNote&gt;&lt;Cite&gt;&lt;Author&gt;UNODC&lt;/Author&gt;&lt;Year&gt;2022&lt;/Year&gt;&lt;RecNum&gt;3313&lt;/RecNum&gt;&lt;DisplayText&gt;(UNODC 2022)&lt;/DisplayText&gt;&lt;record&gt;&lt;rec-number&gt;3313&lt;/rec-number&gt;&lt;foreign-keys&gt;&lt;key app="EN" db-id="xeadttdpnf0vfgev2xzv2v9gvp92rp5tstes" timestamp="1649236265"&gt;3313&lt;/key&gt;&lt;/foreign-keys&gt;&lt;ref-type name="Web Page"&gt;12&lt;/ref-type&gt;&lt;contributors&gt;&lt;authors&gt;&lt;author&gt;UNODC&lt;/author&gt;&lt;/authors&gt;&lt;/contributors&gt;&lt;titles&gt;&lt;title&gt;The 2018 United Nations Survey of Crime Trends and Operations of Criminal Justice Systems (2018 UN-CTS)&lt;/title&gt;&lt;/titles&gt;&lt;volume&gt;2022&lt;/volume&gt;&lt;number&gt;06/04/22&lt;/number&gt;&lt;dates&gt;&lt;year&gt;2022&lt;/year&gt;&lt;/dates&gt;&lt;urls&gt;&lt;related-urls&gt;&lt;url&gt;https://www.unodc.org/unodc/en/data-and-analysis/statistics/crime/cts-data-collection.html&lt;/url&gt;&lt;/related-urls&gt;&lt;/urls&gt;&lt;/record&gt;&lt;/Cite&gt;&lt;/EndNote&gt;</w:instrText>
      </w:r>
      <w:r w:rsidR="002C387E">
        <w:rPr>
          <w:rFonts w:ascii="Times New Roman" w:hAnsi="Times New Roman" w:cs="Times New Roman"/>
          <w:lang w:val="en-US"/>
        </w:rPr>
        <w:fldChar w:fldCharType="separate"/>
      </w:r>
      <w:r w:rsidR="002C387E">
        <w:rPr>
          <w:rFonts w:ascii="Times New Roman" w:hAnsi="Times New Roman" w:cs="Times New Roman"/>
          <w:noProof/>
          <w:lang w:val="en-US"/>
        </w:rPr>
        <w:t>(UNODC 2022)</w:t>
      </w:r>
      <w:r w:rsidR="002C387E">
        <w:rPr>
          <w:rFonts w:ascii="Times New Roman" w:hAnsi="Times New Roman" w:cs="Times New Roman"/>
          <w:lang w:val="en-US"/>
        </w:rPr>
        <w:fldChar w:fldCharType="end"/>
      </w:r>
      <w:r w:rsidRPr="004515D6">
        <w:rPr>
          <w:rFonts w:ascii="Times New Roman" w:hAnsi="Times New Roman" w:cs="Times New Roman"/>
          <w:lang w:val="en-US"/>
        </w:rPr>
        <w:t xml:space="preserve">. </w:t>
      </w:r>
      <w:r w:rsidR="00CA022B">
        <w:rPr>
          <w:rFonts w:ascii="Times New Roman" w:hAnsi="Times New Roman" w:cs="Times New Roman"/>
          <w:lang w:val="en-US"/>
        </w:rPr>
        <w:t>During the study period, f</w:t>
      </w:r>
      <w:r w:rsidRPr="004515D6">
        <w:rPr>
          <w:rFonts w:ascii="Times New Roman" w:hAnsi="Times New Roman" w:cs="Times New Roman"/>
          <w:lang w:val="en-US"/>
        </w:rPr>
        <w:t xml:space="preserve">our of the five countries with the highest rates </w:t>
      </w:r>
      <w:r w:rsidR="00CA022B">
        <w:rPr>
          <w:rFonts w:ascii="Times New Roman" w:hAnsi="Times New Roman" w:cs="Times New Roman"/>
          <w:lang w:val="en-US"/>
        </w:rPr>
        <w:t>were</w:t>
      </w:r>
      <w:r w:rsidR="00CA022B" w:rsidRPr="004515D6">
        <w:rPr>
          <w:rFonts w:ascii="Times New Roman" w:hAnsi="Times New Roman" w:cs="Times New Roman"/>
          <w:lang w:val="en-US"/>
        </w:rPr>
        <w:t xml:space="preserve"> </w:t>
      </w:r>
      <w:r w:rsidRPr="004515D6">
        <w:rPr>
          <w:rFonts w:ascii="Times New Roman" w:hAnsi="Times New Roman" w:cs="Times New Roman"/>
          <w:lang w:val="en-US"/>
        </w:rPr>
        <w:t xml:space="preserve">in Central America and the remainder of the ten riskiest countries </w:t>
      </w:r>
      <w:r w:rsidR="00CA022B">
        <w:rPr>
          <w:rFonts w:ascii="Times New Roman" w:hAnsi="Times New Roman" w:cs="Times New Roman"/>
          <w:lang w:val="en-US"/>
        </w:rPr>
        <w:t>were</w:t>
      </w:r>
      <w:r w:rsidR="00CA022B" w:rsidRPr="004515D6">
        <w:rPr>
          <w:rFonts w:ascii="Times New Roman" w:hAnsi="Times New Roman" w:cs="Times New Roman"/>
          <w:lang w:val="en-US"/>
        </w:rPr>
        <w:t xml:space="preserve"> </w:t>
      </w:r>
      <w:r w:rsidRPr="004515D6">
        <w:rPr>
          <w:rFonts w:ascii="Times New Roman" w:hAnsi="Times New Roman" w:cs="Times New Roman"/>
          <w:lang w:val="en-US"/>
        </w:rPr>
        <w:t>in the Caribbean or South America. This is a remarkable cluster of danger with the rate in some of these countries more than four times the global average. Some of these countries are characterised by both high inequality and low incomes</w:t>
      </w:r>
      <w:r w:rsidR="00915CD7">
        <w:rPr>
          <w:rFonts w:ascii="Times New Roman" w:hAnsi="Times New Roman" w:cs="Times New Roman"/>
          <w:lang w:val="en-US"/>
        </w:rPr>
        <w:t>,</w:t>
      </w:r>
      <w:r w:rsidRPr="004515D6">
        <w:rPr>
          <w:rFonts w:ascii="Times New Roman" w:hAnsi="Times New Roman" w:cs="Times New Roman"/>
          <w:lang w:val="en-US"/>
        </w:rPr>
        <w:t xml:space="preserve"> but since many other countries with the</w:t>
      </w:r>
      <w:r w:rsidR="00313936">
        <w:rPr>
          <w:rFonts w:ascii="Times New Roman" w:hAnsi="Times New Roman" w:cs="Times New Roman"/>
          <w:lang w:val="en-US"/>
        </w:rPr>
        <w:t>s</w:t>
      </w:r>
      <w:r w:rsidRPr="004515D6">
        <w:rPr>
          <w:rFonts w:ascii="Times New Roman" w:hAnsi="Times New Roman" w:cs="Times New Roman"/>
          <w:lang w:val="en-US"/>
        </w:rPr>
        <w:t>e features do not have such high rates, more specific local factor</w:t>
      </w:r>
      <w:r w:rsidR="002C387E">
        <w:rPr>
          <w:rFonts w:ascii="Times New Roman" w:hAnsi="Times New Roman" w:cs="Times New Roman"/>
          <w:lang w:val="en-US"/>
        </w:rPr>
        <w:t>s</w:t>
      </w:r>
      <w:r w:rsidRPr="004515D6">
        <w:rPr>
          <w:rFonts w:ascii="Times New Roman" w:hAnsi="Times New Roman" w:cs="Times New Roman"/>
          <w:lang w:val="en-US"/>
        </w:rPr>
        <w:t xml:space="preserve"> must be operating. These might include gender issues such as widespread misogyny and </w:t>
      </w:r>
      <w:r w:rsidR="00335508" w:rsidRPr="004515D6">
        <w:rPr>
          <w:rFonts w:ascii="Times New Roman" w:hAnsi="Times New Roman" w:cs="Times New Roman"/>
          <w:lang w:val="en-US"/>
        </w:rPr>
        <w:t>wider problems such as general lawlessness and hybrid warfare</w:t>
      </w:r>
      <w:r w:rsidR="002C387E">
        <w:rPr>
          <w:rFonts w:ascii="Times New Roman" w:hAnsi="Times New Roman" w:cs="Times New Roman"/>
          <w:lang w:val="en-US"/>
        </w:rPr>
        <w:t xml:space="preserve"> </w:t>
      </w:r>
      <w:r w:rsidR="002C387E">
        <w:rPr>
          <w:rFonts w:ascii="Times New Roman" w:hAnsi="Times New Roman" w:cs="Times New Roman"/>
          <w:lang w:val="en-US"/>
        </w:rPr>
        <w:fldChar w:fldCharType="begin"/>
      </w:r>
      <w:r w:rsidR="002C387E">
        <w:rPr>
          <w:rFonts w:ascii="Times New Roman" w:hAnsi="Times New Roman" w:cs="Times New Roman"/>
          <w:lang w:val="en-US"/>
        </w:rPr>
        <w:instrText xml:space="preserve"> ADDIN EN.CITE &lt;EndNote&gt;&lt;Cite&gt;&lt;Author&gt;Shaw&lt;/Author&gt;&lt;Year&gt;2021&lt;/Year&gt;&lt;RecNum&gt;3337&lt;/RecNum&gt;&lt;DisplayText&gt;(Shaw and Young 2021)&lt;/DisplayText&gt;&lt;record&gt;&lt;rec-number&gt;3337&lt;/rec-number&gt;&lt;foreign-keys&gt;&lt;key app="EN" db-id="xeadttdpnf0vfgev2xzv2v9gvp92rp5tstes" timestamp="1661448091"&gt;3337&lt;/key&gt;&lt;/foreign-keys&gt;&lt;ref-type name="Journal Article"&gt;17&lt;/ref-type&gt;&lt;contributors&gt;&lt;authors&gt;&lt;author&gt;Shaw, Daniel Odin&lt;/author&gt;&lt;author&gt;Young, Enrique Wedgwood&lt;/author&gt;&lt;/authors&gt;&lt;/contributors&gt;&lt;titles&gt;&lt;title&gt;Varieties of post-civil war violence&lt;/title&gt;&lt;secondary-title&gt;Violence: An International Journal&lt;/secondary-title&gt;&lt;/titles&gt;&lt;periodical&gt;&lt;full-title&gt;Violence: An International Journal&lt;/full-title&gt;&lt;/periodical&gt;&lt;pages&gt;227-252&lt;/pages&gt;&lt;volume&gt;2&lt;/volume&gt;&lt;number&gt;2&lt;/number&gt;&lt;keywords&gt;&lt;keyword&gt;Binary variable,civil war,crime,demobilization,peace,post-conflict,measurement,terrorism&lt;/keyword&gt;&lt;/keywords&gt;&lt;dates&gt;&lt;year&gt;2021&lt;/year&gt;&lt;/dates&gt;&lt;urls&gt;&lt;related-urls&gt;&lt;url&gt;https://journals.sagepub.com/doi/abs/10.1177/26330024211039864&lt;/url&gt;&lt;/related-urls&gt;&lt;/urls&gt;&lt;electronic-resource-num&gt;10.1177/26330024211039864&lt;/electronic-resource-num&gt;&lt;/record&gt;&lt;/Cite&gt;&lt;/EndNote&gt;</w:instrText>
      </w:r>
      <w:r w:rsidR="002C387E">
        <w:rPr>
          <w:rFonts w:ascii="Times New Roman" w:hAnsi="Times New Roman" w:cs="Times New Roman"/>
          <w:lang w:val="en-US"/>
        </w:rPr>
        <w:fldChar w:fldCharType="separate"/>
      </w:r>
      <w:r w:rsidR="002C387E">
        <w:rPr>
          <w:rFonts w:ascii="Times New Roman" w:hAnsi="Times New Roman" w:cs="Times New Roman"/>
          <w:noProof/>
          <w:lang w:val="en-US"/>
        </w:rPr>
        <w:t>(Shaw and Young 2021)</w:t>
      </w:r>
      <w:r w:rsidR="002C387E">
        <w:rPr>
          <w:rFonts w:ascii="Times New Roman" w:hAnsi="Times New Roman" w:cs="Times New Roman"/>
          <w:lang w:val="en-US"/>
        </w:rPr>
        <w:fldChar w:fldCharType="end"/>
      </w:r>
      <w:r w:rsidR="00335508" w:rsidRPr="004515D6">
        <w:rPr>
          <w:rFonts w:ascii="Times New Roman" w:hAnsi="Times New Roman" w:cs="Times New Roman"/>
          <w:lang w:val="en-US"/>
        </w:rPr>
        <w:t>.</w:t>
      </w:r>
    </w:p>
    <w:p w14:paraId="49313F8F" w14:textId="3D785EFB" w:rsidR="00E017F0" w:rsidRPr="004515D6" w:rsidRDefault="00335508" w:rsidP="00C842E9">
      <w:pPr>
        <w:spacing w:line="360" w:lineRule="auto"/>
        <w:jc w:val="both"/>
        <w:rPr>
          <w:rFonts w:ascii="Times New Roman" w:hAnsi="Times New Roman" w:cs="Times New Roman"/>
          <w:lang w:val="en-US"/>
        </w:rPr>
      </w:pPr>
      <w:r w:rsidRPr="004515D6">
        <w:rPr>
          <w:rFonts w:ascii="Times New Roman" w:hAnsi="Times New Roman" w:cs="Times New Roman"/>
          <w:lang w:val="en-US"/>
        </w:rPr>
        <w:t>Against the tide of structural forces, anti-femicide actions</w:t>
      </w:r>
      <w:r w:rsidR="0050426D" w:rsidRPr="004515D6">
        <w:rPr>
          <w:rFonts w:ascii="Times New Roman" w:hAnsi="Times New Roman" w:cs="Times New Roman"/>
          <w:lang w:val="en-US"/>
        </w:rPr>
        <w:t xml:space="preserve"> </w:t>
      </w:r>
      <w:r w:rsidRPr="004515D6">
        <w:rPr>
          <w:rFonts w:ascii="Times New Roman" w:hAnsi="Times New Roman" w:cs="Times New Roman"/>
          <w:lang w:val="en-US"/>
        </w:rPr>
        <w:t xml:space="preserve">have clearly been widely adopted across the world at least partly as a result of the WHO campaign to address interpersonal violence and gender issues relating to health. Three quarters of countries around the world have followed the lead provided by the WHO and adopted a National Action Plan designed to address sexual or intimate partner violence. </w:t>
      </w:r>
      <w:r w:rsidR="00E017F0" w:rsidRPr="004515D6">
        <w:rPr>
          <w:rFonts w:ascii="Times New Roman" w:hAnsi="Times New Roman" w:cs="Times New Roman"/>
          <w:lang w:val="en-US"/>
        </w:rPr>
        <w:t xml:space="preserve">More than four-fifths of countries reported that they had implemented at least 12 of the anti-femicide actions in the checklist and certain actions had been implemented by more than 90% of countries. </w:t>
      </w:r>
      <w:r w:rsidR="005E765E" w:rsidRPr="004515D6">
        <w:rPr>
          <w:rFonts w:ascii="Times New Roman" w:hAnsi="Times New Roman" w:cs="Times New Roman"/>
          <w:lang w:val="en-US"/>
        </w:rPr>
        <w:t>Legal actions were more common than intervention programmes which may reflect the higher level of investment required for the latter</w:t>
      </w:r>
      <w:r w:rsidR="002C387E">
        <w:rPr>
          <w:rFonts w:ascii="Times New Roman" w:hAnsi="Times New Roman" w:cs="Times New Roman"/>
          <w:lang w:val="en-US"/>
        </w:rPr>
        <w:t xml:space="preserve"> but there is an increasing evidence base for successful multimodal interventions in this area which can be implemented as part of a national strategy </w:t>
      </w:r>
      <w:r w:rsidR="002C387E">
        <w:rPr>
          <w:rFonts w:ascii="Times New Roman" w:hAnsi="Times New Roman" w:cs="Times New Roman"/>
          <w:lang w:val="en-US"/>
        </w:rPr>
        <w:fldChar w:fldCharType="begin"/>
      </w:r>
      <w:r w:rsidR="002C387E">
        <w:rPr>
          <w:rFonts w:ascii="Times New Roman" w:hAnsi="Times New Roman" w:cs="Times New Roman"/>
          <w:lang w:val="en-US"/>
        </w:rPr>
        <w:instrText xml:space="preserve"> ADDIN EN.CITE &lt;EndNote&gt;&lt;Cite&gt;&lt;Author&gt;Bourey&lt;/Author&gt;&lt;Year&gt;2015&lt;/Year&gt;&lt;RecNum&gt;2166&lt;/RecNum&gt;&lt;DisplayText&gt;(Bourey, Williams et al. 2015)&lt;/DisplayText&gt;&lt;record&gt;&lt;rec-number&gt;2166&lt;/rec-number&gt;&lt;foreign-keys&gt;&lt;key app="EN" db-id="xeadttdpnf0vfgev2xzv2v9gvp92rp5tstes" timestamp="0"&gt;2166&lt;/key&gt;&lt;/foreign-keys&gt;&lt;ref-type name="Journal Article"&gt;17&lt;/ref-type&gt;&lt;contributors&gt;&lt;authors&gt;&lt;author&gt;Bourey, Christine&lt;/author&gt;&lt;author&gt;Williams, Whitney&lt;/author&gt;&lt;author&gt;Bernstein, Erin Elizabeth&lt;/author&gt;&lt;author&gt;Stephenson, Rob&lt;/author&gt;&lt;/authors&gt;&lt;/contributors&gt;&lt;titles&gt;&lt;title&gt;Systematic review of structural interventions for intimate partner violence in low- and middle-income countries: organizing evidence for prevention&lt;/title&gt;&lt;secondary-title&gt;BMC Public Health&lt;/secondary-title&gt;&lt;/titles&gt;&lt;pages&gt;1165&lt;/pages&gt;&lt;volume&gt;15&lt;/volume&gt;&lt;number&gt;1&lt;/number&gt;&lt;dates&gt;&lt;year&gt;2015&lt;/year&gt;&lt;/dates&gt;&lt;isbn&gt;1471-2458&lt;/isbn&gt;&lt;label&gt;Bourey2015&lt;/label&gt;&lt;work-type&gt;journal article&lt;/work-type&gt;&lt;urls&gt;&lt;related-urls&gt;&lt;url&gt;http://dx.doi.org/10.1186/s12889-015-2460-4&lt;/url&gt;&lt;/related-urls&gt;&lt;/urls&gt;&lt;electronic-resource-num&gt;10.1186/s12889-015-2460-4&lt;/electronic-resource-num&gt;&lt;/record&gt;&lt;/Cite&gt;&lt;/EndNote&gt;</w:instrText>
      </w:r>
      <w:r w:rsidR="002C387E">
        <w:rPr>
          <w:rFonts w:ascii="Times New Roman" w:hAnsi="Times New Roman" w:cs="Times New Roman"/>
          <w:lang w:val="en-US"/>
        </w:rPr>
        <w:fldChar w:fldCharType="separate"/>
      </w:r>
      <w:r w:rsidR="002C387E">
        <w:rPr>
          <w:rFonts w:ascii="Times New Roman" w:hAnsi="Times New Roman" w:cs="Times New Roman"/>
          <w:noProof/>
          <w:lang w:val="en-US"/>
        </w:rPr>
        <w:t>(Bourey, Williams et al. 2015)</w:t>
      </w:r>
      <w:r w:rsidR="002C387E">
        <w:rPr>
          <w:rFonts w:ascii="Times New Roman" w:hAnsi="Times New Roman" w:cs="Times New Roman"/>
          <w:lang w:val="en-US"/>
        </w:rPr>
        <w:fldChar w:fldCharType="end"/>
      </w:r>
      <w:r w:rsidR="005E765E" w:rsidRPr="004515D6">
        <w:rPr>
          <w:rFonts w:ascii="Times New Roman" w:hAnsi="Times New Roman" w:cs="Times New Roman"/>
          <w:lang w:val="en-US"/>
        </w:rPr>
        <w:t xml:space="preserve">.  </w:t>
      </w:r>
    </w:p>
    <w:p w14:paraId="5677A7BA" w14:textId="24E373EF" w:rsidR="00E017F0" w:rsidRPr="004515D6" w:rsidRDefault="00335508" w:rsidP="00C842E9">
      <w:pPr>
        <w:spacing w:line="360" w:lineRule="auto"/>
        <w:jc w:val="both"/>
        <w:rPr>
          <w:rFonts w:ascii="Times New Roman" w:hAnsi="Times New Roman" w:cs="Times New Roman"/>
          <w:lang w:val="en-US"/>
        </w:rPr>
      </w:pPr>
      <w:r w:rsidRPr="004515D6">
        <w:rPr>
          <w:rFonts w:ascii="Times New Roman" w:hAnsi="Times New Roman" w:cs="Times New Roman"/>
          <w:lang w:val="en-US"/>
        </w:rPr>
        <w:t>NAPs, if they truly reflect the detailed UN recommendations as set out in the Handbook, require substantial governmental efforts to galvanise and coordinate legal, health and other sectors within a country as a platfo</w:t>
      </w:r>
      <w:r w:rsidR="00831F87">
        <w:rPr>
          <w:rFonts w:ascii="Times New Roman" w:hAnsi="Times New Roman" w:cs="Times New Roman"/>
          <w:lang w:val="en-US"/>
        </w:rPr>
        <w:t>r</w:t>
      </w:r>
      <w:r w:rsidRPr="004515D6">
        <w:rPr>
          <w:rFonts w:ascii="Times New Roman" w:hAnsi="Times New Roman" w:cs="Times New Roman"/>
          <w:lang w:val="en-US"/>
        </w:rPr>
        <w:t>m for sustained and effective targeting of the problem. In that case, adherence by go</w:t>
      </w:r>
      <w:r w:rsidR="00E017F0" w:rsidRPr="004515D6">
        <w:rPr>
          <w:rFonts w:ascii="Times New Roman" w:hAnsi="Times New Roman" w:cs="Times New Roman"/>
          <w:lang w:val="en-US"/>
        </w:rPr>
        <w:t>v</w:t>
      </w:r>
      <w:r w:rsidRPr="004515D6">
        <w:rPr>
          <w:rFonts w:ascii="Times New Roman" w:hAnsi="Times New Roman" w:cs="Times New Roman"/>
          <w:lang w:val="en-US"/>
        </w:rPr>
        <w:t xml:space="preserve">ernments around the world is impressive and could be accurately considered to be a genuinely global </w:t>
      </w:r>
      <w:r w:rsidR="00E017F0" w:rsidRPr="004515D6">
        <w:rPr>
          <w:rFonts w:ascii="Times New Roman" w:hAnsi="Times New Roman" w:cs="Times New Roman"/>
          <w:lang w:val="en-US"/>
        </w:rPr>
        <w:t xml:space="preserve">movement to improve women’s lives. However, a NAP in itself is only a document which is relatively </w:t>
      </w:r>
      <w:r w:rsidR="00E017F0" w:rsidRPr="004515D6">
        <w:rPr>
          <w:rFonts w:ascii="Times New Roman" w:hAnsi="Times New Roman" w:cs="Times New Roman"/>
          <w:lang w:val="en-US"/>
        </w:rPr>
        <w:lastRenderedPageBreak/>
        <w:t>cheap and easy to produce. Follow-up by governments and by the WHO itself is necessary to identify the extent to which such documents lead to action on the ground and ultimately a cultural shift amongst relevant services and mass changes in perpetrator behaviour.</w:t>
      </w:r>
    </w:p>
    <w:p w14:paraId="471780BF" w14:textId="5E9794A7" w:rsidR="00E017F0" w:rsidRPr="004515D6" w:rsidRDefault="005E765E" w:rsidP="00C842E9">
      <w:pPr>
        <w:spacing w:line="360" w:lineRule="auto"/>
        <w:jc w:val="both"/>
        <w:rPr>
          <w:rFonts w:ascii="Times New Roman" w:hAnsi="Times New Roman" w:cs="Times New Roman"/>
          <w:lang w:val="en-US"/>
        </w:rPr>
      </w:pPr>
      <w:r w:rsidRPr="004515D6">
        <w:rPr>
          <w:rFonts w:ascii="Times New Roman" w:hAnsi="Times New Roman" w:cs="Times New Roman"/>
          <w:lang w:val="en-US"/>
        </w:rPr>
        <w:t xml:space="preserve">Income and inequality had relatively little association with the likelihood of implementing specific actions. Only laws against genital mutilation and microfinance / gender equity </w:t>
      </w:r>
      <w:r w:rsidR="000E40EE" w:rsidRPr="004515D6">
        <w:rPr>
          <w:rFonts w:ascii="Times New Roman" w:hAnsi="Times New Roman" w:cs="Times New Roman"/>
          <w:lang w:val="en-US"/>
        </w:rPr>
        <w:t xml:space="preserve">training </w:t>
      </w:r>
      <w:r w:rsidRPr="004515D6">
        <w:rPr>
          <w:rFonts w:ascii="Times New Roman" w:hAnsi="Times New Roman" w:cs="Times New Roman"/>
          <w:lang w:val="en-US"/>
        </w:rPr>
        <w:t>varied</w:t>
      </w:r>
      <w:r w:rsidR="000E40EE" w:rsidRPr="004515D6">
        <w:rPr>
          <w:rFonts w:ascii="Times New Roman" w:hAnsi="Times New Roman" w:cs="Times New Roman"/>
          <w:lang w:val="en-US"/>
        </w:rPr>
        <w:t xml:space="preserve"> according to these structural factors with each operating in different directions. The intensive implementation of microfinance training in low-income countries </w:t>
      </w:r>
      <w:r w:rsidR="00831F87">
        <w:rPr>
          <w:rFonts w:ascii="Times New Roman" w:hAnsi="Times New Roman" w:cs="Times New Roman"/>
          <w:lang w:val="en-US"/>
        </w:rPr>
        <w:fldChar w:fldCharType="begin"/>
      </w:r>
      <w:r w:rsidR="00831F87">
        <w:rPr>
          <w:rFonts w:ascii="Times New Roman" w:hAnsi="Times New Roman" w:cs="Times New Roman"/>
          <w:lang w:val="en-US"/>
        </w:rPr>
        <w:instrText xml:space="preserve"> ADDIN EN.CITE &lt;EndNote&gt;&lt;Cite&gt;&lt;Author&gt;Jewkes&lt;/Author&gt;&lt;Year&gt;2014&lt;/Year&gt;&lt;RecNum&gt;2168&lt;/RecNum&gt;&lt;DisplayText&gt;(Jewkes, Gibbs et al. 2014)&lt;/DisplayText&gt;&lt;record&gt;&lt;rec-number&gt;2168&lt;/rec-number&gt;&lt;foreign-keys&gt;&lt;key app="EN" db-id="xeadttdpnf0vfgev2xzv2v9gvp92rp5tstes" timestamp="0"&gt;2168&lt;/key&gt;&lt;/foreign-keys&gt;&lt;ref-type name="Journal Article"&gt;17&lt;/ref-type&gt;&lt;contributors&gt;&lt;authors&gt;&lt;author&gt;Jewkes, Rachel&lt;/author&gt;&lt;author&gt;Gibbs, Andrew&lt;/author&gt;&lt;author&gt;Jama-Shai, Nwabisa&lt;/author&gt;&lt;author&gt;Willan, Samantha&lt;/author&gt;&lt;author&gt;Misselhorn, Alison&lt;/author&gt;&lt;author&gt;Mushinga, Mildred&lt;/author&gt;&lt;author&gt;Washington, Laura&lt;/author&gt;&lt;author&gt;Mbatha, Nompumelelo&lt;/author&gt;&lt;author&gt;Skiweyiya, Yandisa&lt;/author&gt;&lt;/authors&gt;&lt;/contributors&gt;&lt;titles&gt;&lt;title&gt;Stepping Stones and Creating Futures intervention: shortened interrupted time series evaluation of a behavioural and structural health promotion and violence prevention intervention for young people in informal settlements in Durban, South Africa&lt;/title&gt;&lt;secondary-title&gt;BMC Public Health&lt;/secondary-title&gt;&lt;/titles&gt;&lt;pages&gt;1325&lt;/pages&gt;&lt;volume&gt;14&lt;/volume&gt;&lt;number&gt;1&lt;/number&gt;&lt;dates&gt;&lt;year&gt;2014&lt;/year&gt;&lt;/dates&gt;&lt;isbn&gt;1471-2458&lt;/isbn&gt;&lt;label&gt;Jewkes2014&lt;/label&gt;&lt;work-type&gt;journal article&lt;/work-type&gt;&lt;urls&gt;&lt;related-urls&gt;&lt;url&gt;http://dx.doi.org/10.1186/1471-2458-14-1325&lt;/url&gt;&lt;/related-urls&gt;&lt;/urls&gt;&lt;electronic-resource-num&gt;10.1186/1471-2458-14-1325&lt;/electronic-resource-num&gt;&lt;/record&gt;&lt;/Cite&gt;&lt;/EndNote&gt;</w:instrText>
      </w:r>
      <w:r w:rsidR="00831F87">
        <w:rPr>
          <w:rFonts w:ascii="Times New Roman" w:hAnsi="Times New Roman" w:cs="Times New Roman"/>
          <w:lang w:val="en-US"/>
        </w:rPr>
        <w:fldChar w:fldCharType="separate"/>
      </w:r>
      <w:r w:rsidR="00831F87">
        <w:rPr>
          <w:rFonts w:ascii="Times New Roman" w:hAnsi="Times New Roman" w:cs="Times New Roman"/>
          <w:noProof/>
          <w:lang w:val="en-US"/>
        </w:rPr>
        <w:t>(Jewkes, Gibbs et al. 2014)</w:t>
      </w:r>
      <w:r w:rsidR="00831F87">
        <w:rPr>
          <w:rFonts w:ascii="Times New Roman" w:hAnsi="Times New Roman" w:cs="Times New Roman"/>
          <w:lang w:val="en-US"/>
        </w:rPr>
        <w:fldChar w:fldCharType="end"/>
      </w:r>
      <w:r w:rsidR="000E40EE" w:rsidRPr="004515D6">
        <w:rPr>
          <w:rFonts w:ascii="Times New Roman" w:hAnsi="Times New Roman" w:cs="Times New Roman"/>
          <w:lang w:val="en-US"/>
        </w:rPr>
        <w:t>is particularly noteworthy as it requires significant investment to provide the training and has good potential to begin addressing the structural factors which have been identified as so strongly associated with femicide rates internationally. The effectiveness of such programmes also has increasing support from controlled trials in LMICs around the world</w:t>
      </w:r>
      <w:r w:rsidR="00831F87">
        <w:rPr>
          <w:rFonts w:ascii="Times New Roman" w:hAnsi="Times New Roman" w:cs="Times New Roman"/>
          <w:lang w:val="en-US"/>
        </w:rPr>
        <w:t xml:space="preserve"> </w:t>
      </w:r>
      <w:r w:rsidR="00831F87">
        <w:rPr>
          <w:rFonts w:ascii="Times New Roman" w:hAnsi="Times New Roman" w:cs="Times New Roman"/>
          <w:lang w:val="en-US"/>
        </w:rPr>
        <w:fldChar w:fldCharType="begin"/>
      </w:r>
      <w:r w:rsidR="00831F87">
        <w:rPr>
          <w:rFonts w:ascii="Times New Roman" w:hAnsi="Times New Roman" w:cs="Times New Roman"/>
          <w:lang w:val="en-US"/>
        </w:rPr>
        <w:instrText xml:space="preserve"> ADDIN EN.CITE &lt;EndNote&gt;&lt;Cite&gt;&lt;Author&gt;Whittington&lt;/Author&gt;&lt;Year&gt;2020&lt;/Year&gt;&lt;RecNum&gt;3310&lt;/RecNum&gt;&lt;DisplayText&gt;(Whittington and McGuire 2020)&lt;/DisplayText&gt;&lt;record&gt;&lt;rec-number&gt;3310&lt;/rec-number&gt;&lt;foreign-keys&gt;&lt;key app="EN" db-id="xeadttdpnf0vfgev2xzv2v9gvp92rp5tstes" timestamp="1649083074"&gt;3310&lt;/key&gt;&lt;/foreign-keys&gt;&lt;ref-type name="Book"&gt;6&lt;/ref-type&gt;&lt;contributors&gt;&lt;authors&gt;&lt;author&gt;Whittington, R&lt;/author&gt;&lt;author&gt;McGuire, J&lt;/author&gt;&lt;/authors&gt;&lt;/contributors&gt;&lt;titles&gt;&lt;title&gt;Violence Rewired: Evidence and Strategies for Public Health Action&lt;/title&gt;&lt;/titles&gt;&lt;dates&gt;&lt;year&gt;2020&lt;/year&gt;&lt;/dates&gt;&lt;pub-location&gt;Cambridge&lt;/pub-location&gt;&lt;publisher&gt;Cambridge University Press&lt;/publisher&gt;&lt;urls&gt;&lt;/urls&gt;&lt;/record&gt;&lt;/Cite&gt;&lt;/EndNote&gt;</w:instrText>
      </w:r>
      <w:r w:rsidR="00831F87">
        <w:rPr>
          <w:rFonts w:ascii="Times New Roman" w:hAnsi="Times New Roman" w:cs="Times New Roman"/>
          <w:lang w:val="en-US"/>
        </w:rPr>
        <w:fldChar w:fldCharType="separate"/>
      </w:r>
      <w:r w:rsidR="00831F87">
        <w:rPr>
          <w:rFonts w:ascii="Times New Roman" w:hAnsi="Times New Roman" w:cs="Times New Roman"/>
          <w:noProof/>
          <w:lang w:val="en-US"/>
        </w:rPr>
        <w:t>(Whittington and McGuire 2020)</w:t>
      </w:r>
      <w:r w:rsidR="00831F87">
        <w:rPr>
          <w:rFonts w:ascii="Times New Roman" w:hAnsi="Times New Roman" w:cs="Times New Roman"/>
          <w:lang w:val="en-US"/>
        </w:rPr>
        <w:fldChar w:fldCharType="end"/>
      </w:r>
      <w:r w:rsidR="000E40EE" w:rsidRPr="004515D6">
        <w:rPr>
          <w:rFonts w:ascii="Times New Roman" w:hAnsi="Times New Roman" w:cs="Times New Roman"/>
          <w:lang w:val="en-US"/>
        </w:rPr>
        <w:t>.</w:t>
      </w:r>
      <w:r w:rsidRPr="004515D6">
        <w:rPr>
          <w:rFonts w:ascii="Times New Roman" w:hAnsi="Times New Roman" w:cs="Times New Roman"/>
          <w:lang w:val="en-US"/>
        </w:rPr>
        <w:t xml:space="preserve">   </w:t>
      </w:r>
    </w:p>
    <w:p w14:paraId="420F93AB" w14:textId="57EEDBFC" w:rsidR="00C2135A" w:rsidRDefault="000E40EE" w:rsidP="00C842E9">
      <w:pPr>
        <w:spacing w:line="360" w:lineRule="auto"/>
        <w:jc w:val="both"/>
        <w:rPr>
          <w:rFonts w:ascii="Times New Roman" w:hAnsi="Times New Roman" w:cs="Times New Roman"/>
          <w:lang w:val="en-US"/>
        </w:rPr>
      </w:pPr>
      <w:r w:rsidRPr="004515D6">
        <w:rPr>
          <w:rFonts w:ascii="Times New Roman" w:hAnsi="Times New Roman" w:cs="Times New Roman"/>
          <w:lang w:val="en-US"/>
        </w:rPr>
        <w:t xml:space="preserve">Our approach relies on the quality of data in a number of datasets and clearly there are limitations which must be acknowledged. Whilst the WHO dataset of anti-femicide actions is largely complete and based on a robust methodology, the response from each country is a snapshot of a highly complex set of phenomena provided by a government reporting on itself. The potential for reporting bias and </w:t>
      </w:r>
      <w:r w:rsidR="004515D6" w:rsidRPr="004515D6">
        <w:rPr>
          <w:rFonts w:ascii="Times New Roman" w:hAnsi="Times New Roman" w:cs="Times New Roman"/>
          <w:lang w:val="en-US"/>
        </w:rPr>
        <w:t xml:space="preserve">unintended </w:t>
      </w:r>
      <w:r w:rsidRPr="004515D6">
        <w:rPr>
          <w:rFonts w:ascii="Times New Roman" w:hAnsi="Times New Roman" w:cs="Times New Roman"/>
          <w:lang w:val="en-US"/>
        </w:rPr>
        <w:t>inaccuracies is very high</w:t>
      </w:r>
      <w:r w:rsidR="004515D6" w:rsidRPr="004515D6">
        <w:rPr>
          <w:rFonts w:ascii="Times New Roman" w:hAnsi="Times New Roman" w:cs="Times New Roman"/>
          <w:lang w:val="en-US"/>
        </w:rPr>
        <w:t xml:space="preserve">. </w:t>
      </w:r>
      <w:r w:rsidR="00C2135A">
        <w:rPr>
          <w:rFonts w:ascii="Times New Roman" w:hAnsi="Times New Roman" w:cs="Times New Roman"/>
          <w:lang w:val="en-US"/>
        </w:rPr>
        <w:t>It is also important to recall that the actions specified in the WHO dataset are undated. Whilst they must have been implemented by the date on which the survey was completed (2012) they may have been introduced prior to 2002 or towards the end of the study period. In the first case, they indicate early adoption of an intervention (e.g.</w:t>
      </w:r>
      <w:r w:rsidR="00A97E35">
        <w:rPr>
          <w:rFonts w:ascii="Times New Roman" w:hAnsi="Times New Roman" w:cs="Times New Roman"/>
          <w:lang w:val="en-US"/>
        </w:rPr>
        <w:t>,</w:t>
      </w:r>
      <w:r w:rsidR="00C2135A">
        <w:rPr>
          <w:rFonts w:ascii="Times New Roman" w:hAnsi="Times New Roman" w:cs="Times New Roman"/>
          <w:lang w:val="en-US"/>
        </w:rPr>
        <w:t xml:space="preserve"> a law passed in the 1990s) but do not therefore indicate any new interest in the problem by a particular government. In the second case (e.g.</w:t>
      </w:r>
      <w:r w:rsidR="00A97E35">
        <w:rPr>
          <w:rFonts w:ascii="Times New Roman" w:hAnsi="Times New Roman" w:cs="Times New Roman"/>
          <w:lang w:val="en-US"/>
        </w:rPr>
        <w:t>,</w:t>
      </w:r>
      <w:r w:rsidR="00C2135A">
        <w:rPr>
          <w:rFonts w:ascii="Times New Roman" w:hAnsi="Times New Roman" w:cs="Times New Roman"/>
          <w:lang w:val="en-US"/>
        </w:rPr>
        <w:t xml:space="preserve"> a new programme implemented in 2010) they may have not had sufficient time to influence outcomes. </w:t>
      </w:r>
    </w:p>
    <w:p w14:paraId="5AF418CC" w14:textId="2A4AEA81" w:rsidR="000A70F9" w:rsidRPr="004515D6" w:rsidRDefault="004515D6" w:rsidP="00C842E9">
      <w:pPr>
        <w:spacing w:line="360" w:lineRule="auto"/>
        <w:jc w:val="both"/>
        <w:rPr>
          <w:rFonts w:ascii="Times New Roman" w:hAnsi="Times New Roman" w:cs="Times New Roman"/>
          <w:lang w:val="en-US"/>
        </w:rPr>
      </w:pPr>
      <w:r w:rsidRPr="004515D6">
        <w:rPr>
          <w:rFonts w:ascii="Times New Roman" w:hAnsi="Times New Roman" w:cs="Times New Roman"/>
          <w:lang w:val="en-US"/>
        </w:rPr>
        <w:t xml:space="preserve">The UNODC dataset relies on accurate reporting by criminal justice systems around the world with varying </w:t>
      </w:r>
      <w:r w:rsidR="00313936">
        <w:rPr>
          <w:rFonts w:ascii="Times New Roman" w:hAnsi="Times New Roman" w:cs="Times New Roman"/>
          <w:lang w:val="en-US"/>
        </w:rPr>
        <w:t xml:space="preserve">cultural norms, </w:t>
      </w:r>
      <w:r w:rsidRPr="004515D6">
        <w:rPr>
          <w:rFonts w:ascii="Times New Roman" w:hAnsi="Times New Roman" w:cs="Times New Roman"/>
          <w:lang w:val="en-US"/>
        </w:rPr>
        <w:t>legal definitions and data-quality systems</w:t>
      </w:r>
      <w:r w:rsidR="00883D8B">
        <w:rPr>
          <w:rFonts w:ascii="Times New Roman" w:hAnsi="Times New Roman" w:cs="Times New Roman"/>
          <w:lang w:val="en-US"/>
        </w:rPr>
        <w:t xml:space="preserve"> </w:t>
      </w:r>
      <w:r w:rsidR="00883D8B">
        <w:rPr>
          <w:rFonts w:ascii="Times New Roman" w:hAnsi="Times New Roman" w:cs="Times New Roman"/>
          <w:lang w:val="en-US"/>
        </w:rPr>
        <w:fldChar w:fldCharType="begin"/>
      </w:r>
      <w:r w:rsidR="00883D8B">
        <w:rPr>
          <w:rFonts w:ascii="Times New Roman" w:hAnsi="Times New Roman" w:cs="Times New Roman"/>
          <w:lang w:val="en-US"/>
        </w:rPr>
        <w:instrText xml:space="preserve"> ADDIN EN.CITE &lt;EndNote&gt;&lt;Cite&gt;&lt;Author&gt;Vives-Cases&lt;/Author&gt;&lt;Year&gt;2016&lt;/Year&gt;&lt;RecNum&gt;3338&lt;/RecNum&gt;&lt;DisplayText&gt;(Vives-Cases, Goicolea et al. 2016)&lt;/DisplayText&gt;&lt;record&gt;&lt;rec-number&gt;3338&lt;/rec-number&gt;&lt;foreign-keys&gt;&lt;key app="EN" db-id="xeadttdpnf0vfgev2xzv2v9gvp92rp5tstes" timestamp="1661448954"&gt;3338&lt;/key&gt;&lt;/foreign-keys&gt;&lt;ref-type name="Journal Article"&gt;17&lt;/ref-type&gt;&lt;contributors&gt;&lt;authors&gt;&lt;author&gt;Vives-Cases, Carmen&lt;/author&gt;&lt;author&gt;Goicolea, Isabel&lt;/author&gt;&lt;author&gt;Hernández, Alison&lt;/author&gt;&lt;author&gt;Sanz-Barbero, Belen&lt;/author&gt;&lt;author&gt;Gill, Aisha K.&lt;/author&gt;&lt;author&gt;Baldry, Anna Costanza&lt;/author&gt;&lt;author&gt;Schröttle, Monika&lt;/author&gt;&lt;author&gt;Stoeckl, Heidi&lt;/author&gt;&lt;/authors&gt;&lt;/contributors&gt;&lt;titles&gt;&lt;title&gt;Expert Opinions on Improving Femicide Data Collection across Europe: A Concept Mapping Study&lt;/title&gt;&lt;secondary-title&gt;PLOS ONE&lt;/secondary-title&gt;&lt;/titles&gt;&lt;periodical&gt;&lt;full-title&gt;PLOS ONE&lt;/full-title&gt;&lt;/periodical&gt;&lt;pages&gt;e0148364&lt;/pages&gt;&lt;volume&gt;11&lt;/volume&gt;&lt;number&gt;2&lt;/number&gt;&lt;dates&gt;&lt;year&gt;2016&lt;/year&gt;&lt;/dates&gt;&lt;publisher&gt;Public Library of Science&lt;/publisher&gt;&lt;urls&gt;&lt;related-urls&gt;&lt;url&gt;https://doi.org/10.1371/journal.pone.0148364&lt;/url&gt;&lt;/related-urls&gt;&lt;/urls&gt;&lt;electronic-resource-num&gt;10.1371/journal.pone.0148364&lt;/electronic-resource-num&gt;&lt;/record&gt;&lt;/Cite&gt;&lt;/EndNote&gt;</w:instrText>
      </w:r>
      <w:r w:rsidR="00883D8B">
        <w:rPr>
          <w:rFonts w:ascii="Times New Roman" w:hAnsi="Times New Roman" w:cs="Times New Roman"/>
          <w:lang w:val="en-US"/>
        </w:rPr>
        <w:fldChar w:fldCharType="separate"/>
      </w:r>
      <w:r w:rsidR="00883D8B">
        <w:rPr>
          <w:rFonts w:ascii="Times New Roman" w:hAnsi="Times New Roman" w:cs="Times New Roman"/>
          <w:noProof/>
          <w:lang w:val="en-US"/>
        </w:rPr>
        <w:t>(Vives-Cases, Goicolea et al. 2016)</w:t>
      </w:r>
      <w:r w:rsidR="00883D8B">
        <w:rPr>
          <w:rFonts w:ascii="Times New Roman" w:hAnsi="Times New Roman" w:cs="Times New Roman"/>
          <w:lang w:val="en-US"/>
        </w:rPr>
        <w:fldChar w:fldCharType="end"/>
      </w:r>
      <w:r w:rsidRPr="004515D6">
        <w:rPr>
          <w:rFonts w:ascii="Times New Roman" w:hAnsi="Times New Roman" w:cs="Times New Roman"/>
          <w:lang w:val="en-US"/>
        </w:rPr>
        <w:t>. Also, unlike the WHO dataset, a</w:t>
      </w:r>
      <w:r w:rsidR="004C241E" w:rsidRPr="004515D6">
        <w:rPr>
          <w:rFonts w:ascii="Times New Roman" w:hAnsi="Times New Roman" w:cs="Times New Roman"/>
          <w:lang w:val="en-US"/>
        </w:rPr>
        <w:t xml:space="preserve"> major limitation here is the amount of data missing on femicide rates for the 133 countries. </w:t>
      </w:r>
      <w:r w:rsidRPr="004515D6">
        <w:rPr>
          <w:rFonts w:ascii="Times New Roman" w:hAnsi="Times New Roman" w:cs="Times New Roman"/>
          <w:lang w:val="en-US"/>
        </w:rPr>
        <w:t xml:space="preserve">Only 6% of countries had a complete series of UNODC data for the whole study period and some estimates in Figure 1 are based on a single point in the 12 year period. Furthermore, the </w:t>
      </w:r>
      <w:r w:rsidR="008837EA">
        <w:rPr>
          <w:rFonts w:ascii="Times New Roman" w:hAnsi="Times New Roman" w:cs="Times New Roman"/>
          <w:lang w:val="en-US"/>
        </w:rPr>
        <w:t xml:space="preserve">presence of </w:t>
      </w:r>
      <w:r w:rsidRPr="004515D6">
        <w:rPr>
          <w:rFonts w:ascii="Times New Roman" w:hAnsi="Times New Roman" w:cs="Times New Roman"/>
          <w:lang w:val="en-US"/>
        </w:rPr>
        <w:t xml:space="preserve">data </w:t>
      </w:r>
      <w:r w:rsidR="008837EA">
        <w:rPr>
          <w:rFonts w:ascii="Times New Roman" w:hAnsi="Times New Roman" w:cs="Times New Roman"/>
          <w:lang w:val="en-US"/>
        </w:rPr>
        <w:t xml:space="preserve">gaps </w:t>
      </w:r>
      <w:r w:rsidRPr="004515D6">
        <w:rPr>
          <w:rFonts w:ascii="Times New Roman" w:hAnsi="Times New Roman" w:cs="Times New Roman"/>
          <w:lang w:val="en-US"/>
        </w:rPr>
        <w:t>was highly associated with the key structural variables of income and inequality. The patchy availability of data is likely to have contributed to the relatively low overall femicide count here (</w:t>
      </w:r>
      <w:r w:rsidR="00BA0D05" w:rsidRPr="004515D6">
        <w:rPr>
          <w:rFonts w:ascii="Times New Roman" w:hAnsi="Times New Roman" w:cs="Times New Roman"/>
          <w:lang w:val="en-US"/>
        </w:rPr>
        <w:t>278,638</w:t>
      </w:r>
      <w:r w:rsidRPr="004515D6">
        <w:rPr>
          <w:rFonts w:ascii="Times New Roman" w:hAnsi="Times New Roman" w:cs="Times New Roman"/>
          <w:lang w:val="en-US"/>
        </w:rPr>
        <w:t xml:space="preserve"> over 12 years) compare</w:t>
      </w:r>
      <w:r w:rsidR="00313936">
        <w:rPr>
          <w:rFonts w:ascii="Times New Roman" w:hAnsi="Times New Roman" w:cs="Times New Roman"/>
          <w:lang w:val="en-US"/>
        </w:rPr>
        <w:t>d</w:t>
      </w:r>
      <w:r w:rsidRPr="004515D6">
        <w:rPr>
          <w:rFonts w:ascii="Times New Roman" w:hAnsi="Times New Roman" w:cs="Times New Roman"/>
          <w:lang w:val="en-US"/>
        </w:rPr>
        <w:t xml:space="preserve"> to the estimate of </w:t>
      </w:r>
      <w:r w:rsidR="00313936">
        <w:rPr>
          <w:rFonts w:ascii="Times New Roman" w:hAnsi="Times New Roman" w:cs="Times New Roman"/>
          <w:lang w:val="en-US"/>
        </w:rPr>
        <w:t>81,000</w:t>
      </w:r>
      <w:r w:rsidR="00BA0D05" w:rsidRPr="004515D6">
        <w:rPr>
          <w:rFonts w:ascii="Times New Roman" w:hAnsi="Times New Roman" w:cs="Times New Roman"/>
          <w:lang w:val="en-US"/>
        </w:rPr>
        <w:t xml:space="preserve"> </w:t>
      </w:r>
      <w:r w:rsidRPr="004515D6">
        <w:rPr>
          <w:rFonts w:ascii="Times New Roman" w:hAnsi="Times New Roman" w:cs="Times New Roman"/>
          <w:lang w:val="en-US"/>
        </w:rPr>
        <w:t xml:space="preserve"> </w:t>
      </w:r>
      <w:r w:rsidR="00BA0D05" w:rsidRPr="004515D6">
        <w:rPr>
          <w:rFonts w:ascii="Times New Roman" w:hAnsi="Times New Roman" w:cs="Times New Roman"/>
          <w:lang w:val="en-US"/>
        </w:rPr>
        <w:t>per year</w:t>
      </w:r>
      <w:r w:rsidRPr="004515D6">
        <w:rPr>
          <w:rFonts w:ascii="Times New Roman" w:hAnsi="Times New Roman" w:cs="Times New Roman"/>
          <w:lang w:val="en-US"/>
        </w:rPr>
        <w:t xml:space="preserve"> (equivalent t</w:t>
      </w:r>
      <w:r w:rsidR="00313936">
        <w:rPr>
          <w:rFonts w:ascii="Times New Roman" w:hAnsi="Times New Roman" w:cs="Times New Roman"/>
          <w:lang w:val="en-US"/>
        </w:rPr>
        <w:t xml:space="preserve">o 972,000 </w:t>
      </w:r>
      <w:r w:rsidRPr="004515D6">
        <w:rPr>
          <w:rFonts w:ascii="Times New Roman" w:hAnsi="Times New Roman" w:cs="Times New Roman"/>
          <w:lang w:val="en-US"/>
        </w:rPr>
        <w:t xml:space="preserve"> over 12 years) made </w:t>
      </w:r>
      <w:r w:rsidR="00313936">
        <w:rPr>
          <w:rFonts w:ascii="Times New Roman" w:hAnsi="Times New Roman" w:cs="Times New Roman"/>
          <w:lang w:val="en-US"/>
        </w:rPr>
        <w:t xml:space="preserve">recently </w:t>
      </w:r>
      <w:r w:rsidRPr="004515D6">
        <w:rPr>
          <w:rFonts w:ascii="Times New Roman" w:hAnsi="Times New Roman" w:cs="Times New Roman"/>
          <w:lang w:val="en-US"/>
        </w:rPr>
        <w:t xml:space="preserve">by </w:t>
      </w:r>
      <w:r w:rsidR="00313936">
        <w:rPr>
          <w:rFonts w:ascii="Times New Roman" w:hAnsi="Times New Roman" w:cs="Times New Roman"/>
          <w:lang w:val="en-US"/>
        </w:rPr>
        <w:t xml:space="preserve">the UN </w:t>
      </w:r>
      <w:r w:rsidR="00313936">
        <w:rPr>
          <w:rFonts w:ascii="Times New Roman" w:hAnsi="Times New Roman" w:cs="Times New Roman"/>
          <w:lang w:val="en-US"/>
        </w:rPr>
        <w:fldChar w:fldCharType="begin"/>
      </w:r>
      <w:r w:rsidR="00313936">
        <w:rPr>
          <w:rFonts w:ascii="Times New Roman" w:hAnsi="Times New Roman" w:cs="Times New Roman"/>
          <w:lang w:val="en-US"/>
        </w:rPr>
        <w:instrText xml:space="preserve"> ADDIN EN.CITE &lt;EndNote&gt;&lt;Cite&gt;&lt;Author&gt;UNODC&lt;/Author&gt;&lt;Year&gt;2022&lt;/Year&gt;&lt;RecNum&gt;3313&lt;/RecNum&gt;&lt;DisplayText&gt;(UNODC 2022)&lt;/DisplayText&gt;&lt;record&gt;&lt;rec-number&gt;3313&lt;/rec-number&gt;&lt;foreign-keys&gt;&lt;key app="EN" db-id="xeadttdpnf0vfgev2xzv2v9gvp92rp5tstes" timestamp="1649236265"&gt;3313&lt;/key&gt;&lt;/foreign-keys&gt;&lt;ref-type name="Web Page"&gt;12&lt;/ref-type&gt;&lt;contributors&gt;&lt;authors&gt;&lt;author&gt;UNODC&lt;/author&gt;&lt;/authors&gt;&lt;/contributors&gt;&lt;titles&gt;&lt;title&gt;The 2018 United Nations Survey of Crime Trends and Operations of Criminal Justice Systems (2018 UN-CTS)&lt;/title&gt;&lt;/titles&gt;&lt;volume&gt;2022&lt;/volume&gt;&lt;number&gt;06/04/22&lt;/number&gt;&lt;dates&gt;&lt;year&gt;2022&lt;/year&gt;&lt;/dates&gt;&lt;urls&gt;&lt;related-urls&gt;&lt;url&gt;https://www.unodc.org/unodc/en/data-and-analysis/statistics/crime/cts-data-collection.html&lt;/url&gt;&lt;/related-urls&gt;&lt;/urls&gt;&lt;/record&gt;&lt;/Cite&gt;&lt;/EndNote&gt;</w:instrText>
      </w:r>
      <w:r w:rsidR="00313936">
        <w:rPr>
          <w:rFonts w:ascii="Times New Roman" w:hAnsi="Times New Roman" w:cs="Times New Roman"/>
          <w:lang w:val="en-US"/>
        </w:rPr>
        <w:fldChar w:fldCharType="separate"/>
      </w:r>
      <w:r w:rsidR="00313936">
        <w:rPr>
          <w:rFonts w:ascii="Times New Roman" w:hAnsi="Times New Roman" w:cs="Times New Roman"/>
          <w:noProof/>
          <w:lang w:val="en-US"/>
        </w:rPr>
        <w:t>(UNODC 2022)</w:t>
      </w:r>
      <w:r w:rsidR="00313936">
        <w:rPr>
          <w:rFonts w:ascii="Times New Roman" w:hAnsi="Times New Roman" w:cs="Times New Roman"/>
          <w:lang w:val="en-US"/>
        </w:rPr>
        <w:fldChar w:fldCharType="end"/>
      </w:r>
      <w:r w:rsidRPr="004515D6">
        <w:rPr>
          <w:rFonts w:ascii="Times New Roman" w:hAnsi="Times New Roman" w:cs="Times New Roman"/>
          <w:lang w:val="en-US"/>
        </w:rPr>
        <w:t>. For all these reasons, some caution should be exercised when considering the findings here.</w:t>
      </w:r>
      <w:r w:rsidR="00883D8B">
        <w:rPr>
          <w:rFonts w:ascii="Times New Roman" w:hAnsi="Times New Roman" w:cs="Times New Roman"/>
          <w:lang w:val="en-US"/>
        </w:rPr>
        <w:t xml:space="preserve"> </w:t>
      </w:r>
    </w:p>
    <w:p w14:paraId="75CFF512" w14:textId="0D62B9EA" w:rsidR="000A70F9" w:rsidRPr="00407437" w:rsidRDefault="00407437" w:rsidP="00C842E9">
      <w:pPr>
        <w:spacing w:line="360" w:lineRule="auto"/>
        <w:jc w:val="both"/>
        <w:rPr>
          <w:rFonts w:ascii="Times New Roman" w:hAnsi="Times New Roman" w:cs="Times New Roman"/>
          <w:lang w:val="en-US"/>
        </w:rPr>
      </w:pPr>
      <w:r w:rsidRPr="00407437">
        <w:rPr>
          <w:rFonts w:ascii="Times New Roman" w:hAnsi="Times New Roman" w:cs="Times New Roman"/>
          <w:lang w:val="en-US"/>
        </w:rPr>
        <w:t xml:space="preserve">Nevertheless, it is reasonable to conclude that global femicide rates declined in the first decade or so of the 21st. century and that national governments around the world have adopted a wide range of actions to address the problem. Some of these actions will have been stimulated by the WHO campaign which </w:t>
      </w:r>
      <w:r w:rsidRPr="00407437">
        <w:rPr>
          <w:rFonts w:ascii="Times New Roman" w:hAnsi="Times New Roman" w:cs="Times New Roman"/>
          <w:lang w:val="en-US"/>
        </w:rPr>
        <w:lastRenderedPageBreak/>
        <w:t xml:space="preserve">continues through a range of other policy initiatives </w:t>
      </w:r>
      <w:r w:rsidR="0080779B">
        <w:rPr>
          <w:rFonts w:ascii="Times New Roman" w:hAnsi="Times New Roman" w:cs="Times New Roman"/>
          <w:lang w:val="en-US"/>
        </w:rPr>
        <w:fldChar w:fldCharType="begin"/>
      </w:r>
      <w:r w:rsidR="006660F3">
        <w:rPr>
          <w:rFonts w:ascii="Times New Roman" w:hAnsi="Times New Roman" w:cs="Times New Roman"/>
          <w:lang w:val="en-US"/>
        </w:rPr>
        <w:instrText xml:space="preserve"> ADDIN EN.CITE &lt;EndNote&gt;&lt;Cite&gt;&lt;Author&gt;UN Women&lt;/Author&gt;&lt;Year&gt;2020&lt;/Year&gt;&lt;RecNum&gt;3334&lt;/RecNum&gt;&lt;DisplayText&gt;(UN Women 2020)&lt;/DisplayText&gt;&lt;record&gt;&lt;rec-number&gt;3334&lt;/rec-number&gt;&lt;foreign-keys&gt;&lt;key app="EN" db-id="xeadttdpnf0vfgev2xzv2v9gvp92rp5tstes" timestamp="1661446913"&gt;3334&lt;/key&gt;&lt;/foreign-keys&gt;&lt;ref-type name="Report"&gt;27&lt;/ref-type&gt;&lt;contributors&gt;&lt;authors&gt;&lt;author&gt;UN Women,&lt;/author&gt;&lt;/authors&gt;&lt;tertiary-authors&gt;&lt;author&gt;United Nations,&lt;/author&gt;&lt;/tertiary-authors&gt;&lt;/contributors&gt;&lt;titles&gt;&lt;title&gt;Intensification of efforts to eliminate all forms of violence against women: Report of the Secretary-General&lt;/title&gt;&lt;/titles&gt;&lt;dates&gt;&lt;year&gt;2020&lt;/year&gt;&lt;/dates&gt;&lt;pub-location&gt;New York&lt;/pub-location&gt;&lt;urls&gt;&lt;related-urls&gt;&lt;url&gt;https://documents-dds-ny.un.org/doc/UNDOC/GEN/N20/201/39/PDF/N2020139.pdf?OpenElement&lt;/url&gt;&lt;/related-urls&gt;&lt;/urls&gt;&lt;/record&gt;&lt;/Cite&gt;&lt;/EndNote&gt;</w:instrText>
      </w:r>
      <w:r w:rsidR="0080779B">
        <w:rPr>
          <w:rFonts w:ascii="Times New Roman" w:hAnsi="Times New Roman" w:cs="Times New Roman"/>
          <w:lang w:val="en-US"/>
        </w:rPr>
        <w:fldChar w:fldCharType="separate"/>
      </w:r>
      <w:r w:rsidR="006660F3">
        <w:rPr>
          <w:rFonts w:ascii="Times New Roman" w:hAnsi="Times New Roman" w:cs="Times New Roman"/>
          <w:noProof/>
          <w:lang w:val="en-US"/>
        </w:rPr>
        <w:t>(UN Women 2020)</w:t>
      </w:r>
      <w:r w:rsidR="0080779B">
        <w:rPr>
          <w:rFonts w:ascii="Times New Roman" w:hAnsi="Times New Roman" w:cs="Times New Roman"/>
          <w:lang w:val="en-US"/>
        </w:rPr>
        <w:fldChar w:fldCharType="end"/>
      </w:r>
      <w:r w:rsidRPr="00407437">
        <w:rPr>
          <w:rFonts w:ascii="Times New Roman" w:hAnsi="Times New Roman" w:cs="Times New Roman"/>
          <w:lang w:val="en-US"/>
        </w:rPr>
        <w:t>. One death is too many and rates are not declining as quickly or substantially as needed to eradicate this ongoing epidemic. But governments have a policy framework they can follow and a range of evidence-based interventions they can implement to deliver on their duties to women facing thi</w:t>
      </w:r>
      <w:r>
        <w:rPr>
          <w:rFonts w:ascii="Times New Roman" w:hAnsi="Times New Roman" w:cs="Times New Roman"/>
          <w:lang w:val="en-US"/>
        </w:rPr>
        <w:t>s</w:t>
      </w:r>
      <w:r w:rsidRPr="00407437">
        <w:rPr>
          <w:rFonts w:ascii="Times New Roman" w:hAnsi="Times New Roman" w:cs="Times New Roman"/>
          <w:lang w:val="en-US"/>
        </w:rPr>
        <w:t xml:space="preserve"> ultimate form of violence.    </w:t>
      </w:r>
    </w:p>
    <w:p w14:paraId="18712630" w14:textId="47D2C353" w:rsidR="000A70F9" w:rsidRDefault="000A70F9" w:rsidP="007356C6">
      <w:pPr>
        <w:spacing w:line="276" w:lineRule="auto"/>
        <w:rPr>
          <w:lang w:val="en-US"/>
        </w:rPr>
      </w:pPr>
    </w:p>
    <w:p w14:paraId="7B9C105B" w14:textId="2D2C5EA8" w:rsidR="000A70F9" w:rsidRDefault="000A70F9" w:rsidP="007356C6">
      <w:pPr>
        <w:spacing w:line="276" w:lineRule="auto"/>
        <w:rPr>
          <w:lang w:val="en-US"/>
        </w:rPr>
      </w:pPr>
    </w:p>
    <w:p w14:paraId="1A382694" w14:textId="3D8A8DA0" w:rsidR="000A70F9" w:rsidRDefault="000A70F9" w:rsidP="007356C6">
      <w:pPr>
        <w:spacing w:line="276" w:lineRule="auto"/>
        <w:rPr>
          <w:lang w:val="en-US"/>
        </w:rPr>
      </w:pPr>
      <w:r w:rsidRPr="000A70F9">
        <w:rPr>
          <w:noProof/>
          <w:lang w:eastAsia="nb-NO"/>
        </w:rPr>
        <w:lastRenderedPageBreak/>
        <mc:AlternateContent>
          <mc:Choice Requires="wps">
            <w:drawing>
              <wp:anchor distT="45720" distB="45720" distL="114300" distR="114300" simplePos="0" relativeHeight="251659264" behindDoc="0" locked="0" layoutInCell="1" allowOverlap="1" wp14:anchorId="6CC35FC9" wp14:editId="400C7B34">
                <wp:simplePos x="0" y="0"/>
                <wp:positionH relativeFrom="margin">
                  <wp:align>right</wp:align>
                </wp:positionH>
                <wp:positionV relativeFrom="paragraph">
                  <wp:posOffset>3383280</wp:posOffset>
                </wp:positionV>
                <wp:extent cx="2360930" cy="1404620"/>
                <wp:effectExtent l="0" t="0" r="63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62907C7" w14:textId="77777777" w:rsidR="002F6131" w:rsidRDefault="002F6131">
                            <w:pPr>
                              <w:rPr>
                                <w:lang w:val="en-US"/>
                              </w:rPr>
                            </w:pPr>
                            <w:r>
                              <w:rPr>
                                <w:lang w:val="en-US"/>
                              </w:rPr>
                              <w:t>Femicide rate per 100,000 population females 2003-14*</w:t>
                            </w:r>
                          </w:p>
                          <w:p w14:paraId="656D0347" w14:textId="11D8B522" w:rsidR="002F6131" w:rsidRPr="000A70F9" w:rsidRDefault="002F6131">
                            <w:pPr>
                              <w:rPr>
                                <w:lang w:val="en-US"/>
                              </w:rPr>
                            </w:pPr>
                            <w:r>
                              <w:rPr>
                                <w:lang w:val="en-US"/>
                              </w:rPr>
                              <w:t xml:space="preserve">*Countries reporting one or more annual datapoints 2003-14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CC35FC9" id="_x0000_t202" coordsize="21600,21600" o:spt="202" path="m,l,21600r21600,l21600,xe">
                <v:stroke joinstyle="miter"/>
                <v:path gradientshapeok="t" o:connecttype="rect"/>
              </v:shapetype>
              <v:shape id="Text Box 2" o:spid="_x0000_s1026" type="#_x0000_t202" style="position:absolute;margin-left:134.7pt;margin-top:266.4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" stroked="f">
                <v:textbox style="mso-fit-shape-to-text:t">
                  <w:txbxContent>
                    <w:p w14:paraId="462907C7" w14:textId="77777777" w:rsidR="002F6131" w:rsidRDefault="002F6131">
                      <w:pPr>
                        <w:rPr>
                          <w:lang w:val="en-US"/>
                        </w:rPr>
                      </w:pPr>
                      <w:r>
                        <w:rPr>
                          <w:lang w:val="en-US"/>
                        </w:rPr>
                        <w:t>Femicide rate per 100,000 population females 2003-14*</w:t>
                      </w:r>
                    </w:p>
                    <w:p w14:paraId="656D0347" w14:textId="11D8B522" w:rsidR="002F6131" w:rsidRPr="000A70F9" w:rsidRDefault="002F6131">
                      <w:pPr>
                        <w:rPr>
                          <w:lang w:val="en-US"/>
                        </w:rPr>
                      </w:pPr>
                      <w:r>
                        <w:rPr>
                          <w:lang w:val="en-US"/>
                        </w:rPr>
                        <w:t xml:space="preserve">*Countries reporting one or more annual datapoints 2003-14   </w:t>
                      </w:r>
                    </w:p>
                  </w:txbxContent>
                </v:textbox>
                <w10:wrap type="square" anchorx="margin"/>
              </v:shape>
            </w:pict>
          </mc:Fallback>
        </mc:AlternateContent>
      </w:r>
      <w:r w:rsidR="00C25C1C">
        <w:rPr>
          <w:noProof/>
          <w:lang w:eastAsia="nb-NO"/>
        </w:rPr>
        <w:drawing>
          <wp:inline distT="0" distB="0" distL="0" distR="0" wp14:anchorId="553AB3CE" wp14:editId="4C12B4A7">
            <wp:extent cx="5828030" cy="95897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8030" cy="9589770"/>
                    </a:xfrm>
                    <a:prstGeom prst="rect">
                      <a:avLst/>
                    </a:prstGeom>
                    <a:noFill/>
                  </pic:spPr>
                </pic:pic>
              </a:graphicData>
            </a:graphic>
          </wp:inline>
        </w:drawing>
      </w: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04"/>
        <w:gridCol w:w="1252"/>
        <w:gridCol w:w="883"/>
        <w:gridCol w:w="882"/>
        <w:gridCol w:w="882"/>
        <w:gridCol w:w="882"/>
        <w:gridCol w:w="1046"/>
        <w:gridCol w:w="759"/>
        <w:gridCol w:w="760"/>
        <w:gridCol w:w="35"/>
      </w:tblGrid>
      <w:tr w:rsidR="00C25C1C" w:rsidRPr="0014753E" w14:paraId="338570BA" w14:textId="77777777" w:rsidTr="002F6131">
        <w:trPr>
          <w:gridAfter w:val="1"/>
          <w:wAfter w:w="35" w:type="dxa"/>
          <w:trHeight w:val="288"/>
        </w:trPr>
        <w:tc>
          <w:tcPr>
            <w:tcW w:w="8050" w:type="dxa"/>
            <w:gridSpan w:val="9"/>
          </w:tcPr>
          <w:p w14:paraId="6F127E55" w14:textId="77777777" w:rsidR="00C25C1C" w:rsidRPr="0071041F" w:rsidRDefault="00C25C1C" w:rsidP="002F6131">
            <w:pPr>
              <w:spacing w:after="0" w:line="360" w:lineRule="auto"/>
              <w:jc w:val="center"/>
              <w:rPr>
                <w:rFonts w:ascii="Times New Roman" w:eastAsia="Times New Roman" w:hAnsi="Times New Roman" w:cs="Times New Roman"/>
                <w:color w:val="000000"/>
                <w:lang w:val="en-US" w:eastAsia="nb-NO"/>
              </w:rPr>
            </w:pPr>
            <w:r w:rsidRPr="0071041F">
              <w:rPr>
                <w:rFonts w:ascii="Times New Roman" w:eastAsia="Times New Roman" w:hAnsi="Times New Roman" w:cs="Times New Roman"/>
                <w:color w:val="000000"/>
                <w:lang w:val="en-US" w:eastAsia="nb-NO"/>
              </w:rPr>
              <w:lastRenderedPageBreak/>
              <w:t>Table 1: Femicide rate per 100,000 population</w:t>
            </w:r>
            <w:r>
              <w:rPr>
                <w:rFonts w:ascii="Times New Roman" w:eastAsia="Times New Roman" w:hAnsi="Times New Roman" w:cs="Times New Roman"/>
                <w:color w:val="000000"/>
                <w:lang w:val="en-US" w:eastAsia="nb-NO"/>
              </w:rPr>
              <w:t xml:space="preserve"> and relative risk compared to 2003</w:t>
            </w:r>
          </w:p>
        </w:tc>
      </w:tr>
      <w:tr w:rsidR="00C25C1C" w:rsidRPr="0071041F" w14:paraId="7BDC48D7" w14:textId="77777777" w:rsidTr="002F6131">
        <w:trPr>
          <w:trHeight w:val="373"/>
        </w:trPr>
        <w:tc>
          <w:tcPr>
            <w:tcW w:w="704" w:type="dxa"/>
            <w:shd w:val="clear" w:color="auto" w:fill="auto"/>
            <w:vAlign w:val="bottom"/>
          </w:tcPr>
          <w:p w14:paraId="21424E23" w14:textId="77777777" w:rsidR="00C25C1C" w:rsidRPr="0071041F" w:rsidRDefault="00C25C1C" w:rsidP="002F6131">
            <w:pPr>
              <w:spacing w:after="0" w:line="360" w:lineRule="auto"/>
              <w:rPr>
                <w:rFonts w:ascii="Times New Roman" w:eastAsia="Times New Roman" w:hAnsi="Times New Roman" w:cs="Times New Roman"/>
                <w:sz w:val="20"/>
                <w:szCs w:val="20"/>
                <w:lang w:val="en-US" w:eastAsia="nb-NO"/>
              </w:rPr>
            </w:pPr>
            <w:r>
              <w:rPr>
                <w:rFonts w:ascii="Times New Roman" w:eastAsia="Times New Roman" w:hAnsi="Times New Roman" w:cs="Times New Roman"/>
                <w:sz w:val="20"/>
                <w:szCs w:val="20"/>
                <w:lang w:val="en-US" w:eastAsia="nb-NO"/>
              </w:rPr>
              <w:t>Year</w:t>
            </w:r>
          </w:p>
        </w:tc>
        <w:tc>
          <w:tcPr>
            <w:tcW w:w="4781" w:type="dxa"/>
            <w:gridSpan w:val="5"/>
            <w:shd w:val="clear" w:color="auto" w:fill="auto"/>
            <w:vAlign w:val="center"/>
          </w:tcPr>
          <w:p w14:paraId="07BC61E5" w14:textId="77777777" w:rsidR="00C25C1C" w:rsidRPr="0071041F" w:rsidRDefault="00C25C1C" w:rsidP="002F6131">
            <w:pPr>
              <w:spacing w:after="0" w:line="360" w:lineRule="auto"/>
              <w:jc w:val="center"/>
              <w:rPr>
                <w:rFonts w:ascii="Times New Roman" w:eastAsia="Times New Roman" w:hAnsi="Times New Roman" w:cs="Times New Roman"/>
                <w:color w:val="000000"/>
                <w:lang w:val="en-US" w:eastAsia="nb-NO"/>
              </w:rPr>
            </w:pPr>
            <w:r w:rsidRPr="00E37C83">
              <w:rPr>
                <w:rFonts w:ascii="Times New Roman" w:eastAsia="Times New Roman" w:hAnsi="Times New Roman" w:cs="Times New Roman"/>
                <w:color w:val="000000"/>
                <w:lang w:val="en-US" w:eastAsia="nb-NO"/>
              </w:rPr>
              <w:t>Femicide rate per 100,000 population</w:t>
            </w:r>
          </w:p>
        </w:tc>
        <w:tc>
          <w:tcPr>
            <w:tcW w:w="2600" w:type="dxa"/>
            <w:gridSpan w:val="4"/>
            <w:vAlign w:val="center"/>
          </w:tcPr>
          <w:p w14:paraId="6104451D" w14:textId="77777777" w:rsidR="00C25C1C" w:rsidRPr="0071041F" w:rsidRDefault="00C25C1C" w:rsidP="002F6131">
            <w:pPr>
              <w:spacing w:after="0" w:line="360" w:lineRule="auto"/>
              <w:jc w:val="center"/>
              <w:rPr>
                <w:rFonts w:ascii="Times New Roman" w:eastAsia="Times New Roman" w:hAnsi="Times New Roman" w:cs="Times New Roman"/>
                <w:color w:val="000000"/>
                <w:lang w:val="en-US" w:eastAsia="nb-NO"/>
              </w:rPr>
            </w:pPr>
            <w:r>
              <w:rPr>
                <w:rFonts w:ascii="Times New Roman" w:eastAsia="Times New Roman" w:hAnsi="Times New Roman" w:cs="Times New Roman"/>
                <w:color w:val="000000"/>
                <w:lang w:val="en-US" w:eastAsia="nb-NO"/>
              </w:rPr>
              <w:t>Relative risk (2003 base)</w:t>
            </w:r>
          </w:p>
        </w:tc>
      </w:tr>
      <w:tr w:rsidR="00C25C1C" w:rsidRPr="0071041F" w14:paraId="3BAAE693" w14:textId="77777777" w:rsidTr="002F6131">
        <w:trPr>
          <w:trHeight w:val="373"/>
        </w:trPr>
        <w:tc>
          <w:tcPr>
            <w:tcW w:w="704" w:type="dxa"/>
            <w:shd w:val="clear" w:color="auto" w:fill="auto"/>
            <w:vAlign w:val="bottom"/>
          </w:tcPr>
          <w:p w14:paraId="4CE3621B" w14:textId="77777777" w:rsidR="00C25C1C" w:rsidRPr="0071041F" w:rsidRDefault="00C25C1C" w:rsidP="002F6131">
            <w:pPr>
              <w:spacing w:after="0" w:line="360" w:lineRule="auto"/>
              <w:rPr>
                <w:rFonts w:ascii="Times New Roman" w:eastAsia="Times New Roman" w:hAnsi="Times New Roman" w:cs="Times New Roman"/>
                <w:sz w:val="20"/>
                <w:szCs w:val="20"/>
                <w:lang w:val="en-US" w:eastAsia="nb-NO"/>
              </w:rPr>
            </w:pPr>
          </w:p>
        </w:tc>
        <w:tc>
          <w:tcPr>
            <w:tcW w:w="1252" w:type="dxa"/>
            <w:shd w:val="clear" w:color="auto" w:fill="auto"/>
            <w:vAlign w:val="bottom"/>
          </w:tcPr>
          <w:p w14:paraId="4A378558" w14:textId="77777777" w:rsidR="00C25C1C" w:rsidRPr="0071041F" w:rsidRDefault="00C25C1C" w:rsidP="002F6131">
            <w:pPr>
              <w:spacing w:after="0" w:line="360" w:lineRule="auto"/>
              <w:rPr>
                <w:rFonts w:ascii="Times New Roman" w:eastAsia="Times New Roman" w:hAnsi="Times New Roman" w:cs="Times New Roman"/>
                <w:color w:val="000000"/>
                <w:lang w:val="en-US" w:eastAsia="nb-NO"/>
              </w:rPr>
            </w:pPr>
          </w:p>
        </w:tc>
        <w:tc>
          <w:tcPr>
            <w:tcW w:w="1765" w:type="dxa"/>
            <w:gridSpan w:val="2"/>
            <w:shd w:val="clear" w:color="auto" w:fill="auto"/>
            <w:vAlign w:val="center"/>
          </w:tcPr>
          <w:p w14:paraId="4F034B26" w14:textId="77777777" w:rsidR="00C25C1C" w:rsidRPr="0071041F" w:rsidRDefault="00C25C1C" w:rsidP="002F6131">
            <w:pPr>
              <w:spacing w:after="0" w:line="360" w:lineRule="auto"/>
              <w:jc w:val="center"/>
              <w:rPr>
                <w:rFonts w:ascii="Times New Roman" w:eastAsia="Times New Roman" w:hAnsi="Times New Roman" w:cs="Times New Roman"/>
                <w:color w:val="000000"/>
                <w:lang w:val="en-US" w:eastAsia="nb-NO"/>
              </w:rPr>
            </w:pPr>
            <w:r w:rsidRPr="0071041F">
              <w:rPr>
                <w:rFonts w:ascii="Times New Roman" w:eastAsia="Times New Roman" w:hAnsi="Times New Roman" w:cs="Times New Roman"/>
                <w:color w:val="000000"/>
                <w:lang w:val="en-US" w:eastAsia="nb-NO"/>
              </w:rPr>
              <w:t>Level of income</w:t>
            </w:r>
          </w:p>
        </w:tc>
        <w:tc>
          <w:tcPr>
            <w:tcW w:w="1764" w:type="dxa"/>
            <w:gridSpan w:val="2"/>
            <w:shd w:val="clear" w:color="auto" w:fill="auto"/>
            <w:vAlign w:val="center"/>
          </w:tcPr>
          <w:p w14:paraId="4C66C3E6" w14:textId="77777777" w:rsidR="00C25C1C" w:rsidRPr="0071041F" w:rsidRDefault="00C25C1C" w:rsidP="002F6131">
            <w:pPr>
              <w:spacing w:after="0" w:line="360" w:lineRule="auto"/>
              <w:jc w:val="center"/>
              <w:rPr>
                <w:rFonts w:ascii="Times New Roman" w:eastAsia="Times New Roman" w:hAnsi="Times New Roman" w:cs="Times New Roman"/>
                <w:color w:val="000000"/>
                <w:lang w:val="en-US" w:eastAsia="nb-NO"/>
              </w:rPr>
            </w:pPr>
            <w:r w:rsidRPr="0071041F">
              <w:rPr>
                <w:rFonts w:ascii="Times New Roman" w:eastAsia="Times New Roman" w:hAnsi="Times New Roman" w:cs="Times New Roman"/>
                <w:color w:val="000000"/>
                <w:lang w:val="en-US" w:eastAsia="nb-NO"/>
              </w:rPr>
              <w:t>Level of inequality</w:t>
            </w:r>
          </w:p>
        </w:tc>
        <w:tc>
          <w:tcPr>
            <w:tcW w:w="1046" w:type="dxa"/>
            <w:vMerge w:val="restart"/>
            <w:vAlign w:val="center"/>
          </w:tcPr>
          <w:p w14:paraId="1D763941" w14:textId="77777777" w:rsidR="00C25C1C" w:rsidRPr="0071041F" w:rsidRDefault="00C25C1C" w:rsidP="002F6131">
            <w:pPr>
              <w:spacing w:after="0" w:line="360" w:lineRule="auto"/>
              <w:jc w:val="center"/>
              <w:rPr>
                <w:rFonts w:ascii="Times New Roman" w:eastAsia="Times New Roman" w:hAnsi="Times New Roman" w:cs="Times New Roman"/>
                <w:color w:val="000000"/>
                <w:lang w:val="en-US" w:eastAsia="nb-NO"/>
              </w:rPr>
            </w:pPr>
            <w:r>
              <w:rPr>
                <w:rFonts w:ascii="Times New Roman" w:eastAsia="Times New Roman" w:hAnsi="Times New Roman" w:cs="Times New Roman"/>
                <w:color w:val="000000"/>
                <w:lang w:val="en-US" w:eastAsia="nb-NO"/>
              </w:rPr>
              <w:t>IRR All countries</w:t>
            </w:r>
          </w:p>
        </w:tc>
        <w:tc>
          <w:tcPr>
            <w:tcW w:w="1554" w:type="dxa"/>
            <w:gridSpan w:val="3"/>
            <w:vAlign w:val="center"/>
          </w:tcPr>
          <w:p w14:paraId="5B7F3F43" w14:textId="77777777" w:rsidR="00C25C1C" w:rsidRPr="0071041F" w:rsidRDefault="00C25C1C" w:rsidP="002F6131">
            <w:pPr>
              <w:spacing w:after="0" w:line="360" w:lineRule="auto"/>
              <w:jc w:val="center"/>
              <w:rPr>
                <w:rFonts w:ascii="Times New Roman" w:eastAsia="Times New Roman" w:hAnsi="Times New Roman" w:cs="Times New Roman"/>
                <w:color w:val="000000"/>
                <w:lang w:val="en-US" w:eastAsia="nb-NO"/>
              </w:rPr>
            </w:pPr>
            <w:r>
              <w:rPr>
                <w:rFonts w:ascii="Times New Roman" w:eastAsia="Times New Roman" w:hAnsi="Times New Roman" w:cs="Times New Roman"/>
                <w:color w:val="000000"/>
                <w:lang w:val="en-US" w:eastAsia="nb-NO"/>
              </w:rPr>
              <w:t>95% CI</w:t>
            </w:r>
          </w:p>
        </w:tc>
      </w:tr>
      <w:tr w:rsidR="00C25C1C" w14:paraId="3F1A5447" w14:textId="77777777" w:rsidTr="002F6131">
        <w:trPr>
          <w:trHeight w:val="422"/>
        </w:trPr>
        <w:tc>
          <w:tcPr>
            <w:tcW w:w="704" w:type="dxa"/>
            <w:shd w:val="clear" w:color="auto" w:fill="auto"/>
            <w:vAlign w:val="bottom"/>
            <w:hideMark/>
          </w:tcPr>
          <w:p w14:paraId="265C6B32" w14:textId="77777777" w:rsidR="00C25C1C" w:rsidRPr="0071041F" w:rsidRDefault="00C25C1C" w:rsidP="002F6131">
            <w:pPr>
              <w:spacing w:after="0" w:line="360" w:lineRule="auto"/>
              <w:rPr>
                <w:rFonts w:ascii="Times New Roman" w:eastAsia="Times New Roman" w:hAnsi="Times New Roman" w:cs="Times New Roman"/>
                <w:sz w:val="20"/>
                <w:szCs w:val="20"/>
                <w:lang w:val="en-US" w:eastAsia="nb-NO"/>
              </w:rPr>
            </w:pPr>
          </w:p>
        </w:tc>
        <w:tc>
          <w:tcPr>
            <w:tcW w:w="1252" w:type="dxa"/>
            <w:shd w:val="clear" w:color="auto" w:fill="auto"/>
            <w:vAlign w:val="center"/>
            <w:hideMark/>
          </w:tcPr>
          <w:p w14:paraId="4289362E" w14:textId="77777777" w:rsidR="00C25C1C" w:rsidRPr="0071041F" w:rsidRDefault="00C25C1C" w:rsidP="002F6131">
            <w:pPr>
              <w:spacing w:after="0" w:line="360" w:lineRule="auto"/>
              <w:jc w:val="center"/>
              <w:rPr>
                <w:rFonts w:ascii="Times New Roman" w:eastAsia="Times New Roman" w:hAnsi="Times New Roman" w:cs="Times New Roman"/>
                <w:color w:val="000000"/>
                <w:lang w:val="en-US" w:eastAsia="nb-NO"/>
              </w:rPr>
            </w:pPr>
            <w:r w:rsidRPr="0071041F">
              <w:rPr>
                <w:rFonts w:ascii="Times New Roman" w:eastAsia="Times New Roman" w:hAnsi="Times New Roman" w:cs="Times New Roman"/>
                <w:color w:val="000000"/>
                <w:lang w:val="en-US" w:eastAsia="nb-NO"/>
              </w:rPr>
              <w:t>All countries</w:t>
            </w:r>
          </w:p>
        </w:tc>
        <w:tc>
          <w:tcPr>
            <w:tcW w:w="883" w:type="dxa"/>
            <w:shd w:val="clear" w:color="auto" w:fill="auto"/>
            <w:vAlign w:val="center"/>
            <w:hideMark/>
          </w:tcPr>
          <w:p w14:paraId="24F05476" w14:textId="77777777" w:rsidR="00C25C1C" w:rsidRPr="0071041F" w:rsidRDefault="00C25C1C" w:rsidP="002F6131">
            <w:pPr>
              <w:spacing w:after="0" w:line="360" w:lineRule="auto"/>
              <w:jc w:val="center"/>
              <w:rPr>
                <w:rFonts w:ascii="Times New Roman" w:eastAsia="Times New Roman" w:hAnsi="Times New Roman" w:cs="Times New Roman"/>
                <w:color w:val="000000"/>
                <w:lang w:val="en-US" w:eastAsia="nb-NO"/>
              </w:rPr>
            </w:pPr>
            <w:r>
              <w:rPr>
                <w:rFonts w:ascii="Times New Roman" w:eastAsia="Times New Roman" w:hAnsi="Times New Roman" w:cs="Times New Roman"/>
                <w:color w:val="000000"/>
                <w:lang w:val="en-US" w:eastAsia="nb-NO"/>
              </w:rPr>
              <w:t>Low-medium</w:t>
            </w:r>
          </w:p>
        </w:tc>
        <w:tc>
          <w:tcPr>
            <w:tcW w:w="882" w:type="dxa"/>
            <w:shd w:val="clear" w:color="auto" w:fill="auto"/>
            <w:vAlign w:val="center"/>
            <w:hideMark/>
          </w:tcPr>
          <w:p w14:paraId="32E4ECDD" w14:textId="77777777" w:rsidR="00C25C1C" w:rsidRPr="0071041F" w:rsidRDefault="00C25C1C" w:rsidP="002F6131">
            <w:pPr>
              <w:spacing w:after="0" w:line="360" w:lineRule="auto"/>
              <w:jc w:val="center"/>
              <w:rPr>
                <w:rFonts w:ascii="Times New Roman" w:eastAsia="Times New Roman" w:hAnsi="Times New Roman" w:cs="Times New Roman"/>
                <w:color w:val="000000"/>
                <w:lang w:val="en-US" w:eastAsia="nb-NO"/>
              </w:rPr>
            </w:pPr>
            <w:r w:rsidRPr="0071041F">
              <w:rPr>
                <w:rFonts w:ascii="Times New Roman" w:eastAsia="Times New Roman" w:hAnsi="Times New Roman" w:cs="Times New Roman"/>
                <w:color w:val="000000"/>
                <w:lang w:val="en-US" w:eastAsia="nb-NO"/>
              </w:rPr>
              <w:t>High</w:t>
            </w:r>
          </w:p>
        </w:tc>
        <w:tc>
          <w:tcPr>
            <w:tcW w:w="882" w:type="dxa"/>
            <w:shd w:val="clear" w:color="auto" w:fill="auto"/>
            <w:vAlign w:val="center"/>
            <w:hideMark/>
          </w:tcPr>
          <w:p w14:paraId="135FA464" w14:textId="77777777" w:rsidR="00C25C1C" w:rsidRPr="0071041F" w:rsidRDefault="00C25C1C" w:rsidP="002F6131">
            <w:pPr>
              <w:spacing w:after="0" w:line="360" w:lineRule="auto"/>
              <w:jc w:val="center"/>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val="en-US" w:eastAsia="nb-NO"/>
              </w:rPr>
              <w:t>High</w:t>
            </w:r>
            <w:r>
              <w:rPr>
                <w:rFonts w:ascii="Times New Roman" w:eastAsia="Times New Roman" w:hAnsi="Times New Roman" w:cs="Times New Roman"/>
                <w:color w:val="000000"/>
                <w:lang w:val="en-US" w:eastAsia="nb-NO"/>
              </w:rPr>
              <w:t>-medium</w:t>
            </w:r>
          </w:p>
        </w:tc>
        <w:tc>
          <w:tcPr>
            <w:tcW w:w="882" w:type="dxa"/>
            <w:shd w:val="clear" w:color="auto" w:fill="auto"/>
            <w:vAlign w:val="center"/>
            <w:hideMark/>
          </w:tcPr>
          <w:p w14:paraId="57325C74" w14:textId="77777777" w:rsidR="00C25C1C" w:rsidRPr="0071041F" w:rsidRDefault="00C25C1C" w:rsidP="002F6131">
            <w:pPr>
              <w:spacing w:after="0" w:line="360" w:lineRule="auto"/>
              <w:jc w:val="center"/>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Low</w:t>
            </w:r>
          </w:p>
        </w:tc>
        <w:tc>
          <w:tcPr>
            <w:tcW w:w="1046" w:type="dxa"/>
            <w:vMerge/>
            <w:tcBorders>
              <w:bottom w:val="single" w:sz="4" w:space="0" w:color="auto"/>
            </w:tcBorders>
            <w:vAlign w:val="center"/>
          </w:tcPr>
          <w:p w14:paraId="4211BCF6" w14:textId="77777777" w:rsidR="00C25C1C" w:rsidRDefault="00C25C1C" w:rsidP="002F6131">
            <w:pPr>
              <w:spacing w:after="0" w:line="360" w:lineRule="auto"/>
              <w:jc w:val="center"/>
              <w:rPr>
                <w:rFonts w:ascii="Times New Roman" w:eastAsia="Times New Roman" w:hAnsi="Times New Roman" w:cs="Times New Roman"/>
                <w:color w:val="000000"/>
                <w:lang w:eastAsia="nb-NO"/>
              </w:rPr>
            </w:pPr>
          </w:p>
        </w:tc>
        <w:tc>
          <w:tcPr>
            <w:tcW w:w="759" w:type="dxa"/>
            <w:tcBorders>
              <w:bottom w:val="single" w:sz="4" w:space="0" w:color="auto"/>
            </w:tcBorders>
            <w:vAlign w:val="center"/>
          </w:tcPr>
          <w:p w14:paraId="3D8AF5A5" w14:textId="77777777" w:rsidR="00C25C1C" w:rsidRDefault="00C25C1C" w:rsidP="002F6131">
            <w:pPr>
              <w:spacing w:after="0" w:line="360" w:lineRule="auto"/>
              <w:jc w:val="center"/>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Lower</w:t>
            </w:r>
          </w:p>
        </w:tc>
        <w:tc>
          <w:tcPr>
            <w:tcW w:w="795" w:type="dxa"/>
            <w:gridSpan w:val="2"/>
            <w:tcBorders>
              <w:bottom w:val="single" w:sz="4" w:space="0" w:color="auto"/>
            </w:tcBorders>
            <w:vAlign w:val="center"/>
          </w:tcPr>
          <w:p w14:paraId="16FE9156" w14:textId="77777777" w:rsidR="00C25C1C" w:rsidRDefault="00C25C1C" w:rsidP="002F6131">
            <w:pPr>
              <w:spacing w:after="0" w:line="360" w:lineRule="auto"/>
              <w:jc w:val="center"/>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Upper</w:t>
            </w:r>
          </w:p>
        </w:tc>
      </w:tr>
      <w:tr w:rsidR="00C25C1C" w:rsidRPr="0060471C" w14:paraId="4BE817C2" w14:textId="77777777" w:rsidTr="002F6131">
        <w:trPr>
          <w:trHeight w:val="288"/>
        </w:trPr>
        <w:tc>
          <w:tcPr>
            <w:tcW w:w="704" w:type="dxa"/>
            <w:shd w:val="clear" w:color="auto" w:fill="auto"/>
            <w:noWrap/>
            <w:vAlign w:val="bottom"/>
            <w:hideMark/>
          </w:tcPr>
          <w:p w14:paraId="701FFEEF"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2003</w:t>
            </w:r>
          </w:p>
        </w:tc>
        <w:tc>
          <w:tcPr>
            <w:tcW w:w="1252" w:type="dxa"/>
            <w:shd w:val="clear" w:color="auto" w:fill="auto"/>
            <w:noWrap/>
            <w:vAlign w:val="bottom"/>
            <w:hideMark/>
          </w:tcPr>
          <w:p w14:paraId="1683FA2F"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48</w:t>
            </w:r>
          </w:p>
        </w:tc>
        <w:tc>
          <w:tcPr>
            <w:tcW w:w="883" w:type="dxa"/>
            <w:shd w:val="clear" w:color="auto" w:fill="auto"/>
            <w:noWrap/>
            <w:vAlign w:val="bottom"/>
            <w:hideMark/>
          </w:tcPr>
          <w:p w14:paraId="60218B27"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51</w:t>
            </w:r>
          </w:p>
        </w:tc>
        <w:tc>
          <w:tcPr>
            <w:tcW w:w="882" w:type="dxa"/>
            <w:shd w:val="clear" w:color="auto" w:fill="auto"/>
            <w:noWrap/>
            <w:vAlign w:val="bottom"/>
            <w:hideMark/>
          </w:tcPr>
          <w:p w14:paraId="01E44C36"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36</w:t>
            </w:r>
          </w:p>
        </w:tc>
        <w:tc>
          <w:tcPr>
            <w:tcW w:w="882" w:type="dxa"/>
            <w:shd w:val="clear" w:color="auto" w:fill="auto"/>
            <w:noWrap/>
            <w:vAlign w:val="bottom"/>
            <w:hideMark/>
          </w:tcPr>
          <w:p w14:paraId="2E4C5C74"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36</w:t>
            </w:r>
          </w:p>
        </w:tc>
        <w:tc>
          <w:tcPr>
            <w:tcW w:w="882" w:type="dxa"/>
            <w:shd w:val="clear" w:color="auto" w:fill="auto"/>
            <w:noWrap/>
            <w:vAlign w:val="bottom"/>
            <w:hideMark/>
          </w:tcPr>
          <w:p w14:paraId="4283A7C2"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52</w:t>
            </w:r>
          </w:p>
        </w:tc>
        <w:tc>
          <w:tcPr>
            <w:tcW w:w="1046" w:type="dxa"/>
            <w:tcBorders>
              <w:bottom w:val="single" w:sz="4" w:space="0" w:color="auto"/>
            </w:tcBorders>
          </w:tcPr>
          <w:p w14:paraId="4FC7913F"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eastAsia="Times New Roman" w:hAnsi="Times New Roman" w:cs="Times New Roman"/>
                <w:color w:val="000000"/>
                <w:lang w:eastAsia="nb-NO"/>
              </w:rPr>
              <w:t>1.00</w:t>
            </w:r>
          </w:p>
        </w:tc>
        <w:tc>
          <w:tcPr>
            <w:tcW w:w="759" w:type="dxa"/>
            <w:tcBorders>
              <w:bottom w:val="single" w:sz="4" w:space="0" w:color="auto"/>
            </w:tcBorders>
          </w:tcPr>
          <w:p w14:paraId="361BFA93"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p>
        </w:tc>
        <w:tc>
          <w:tcPr>
            <w:tcW w:w="795" w:type="dxa"/>
            <w:gridSpan w:val="2"/>
            <w:tcBorders>
              <w:bottom w:val="single" w:sz="4" w:space="0" w:color="auto"/>
            </w:tcBorders>
          </w:tcPr>
          <w:p w14:paraId="6A68A753"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p>
        </w:tc>
      </w:tr>
      <w:tr w:rsidR="00C25C1C" w:rsidRPr="0060471C" w14:paraId="42353404" w14:textId="77777777" w:rsidTr="002F6131">
        <w:trPr>
          <w:trHeight w:val="288"/>
        </w:trPr>
        <w:tc>
          <w:tcPr>
            <w:tcW w:w="704" w:type="dxa"/>
            <w:shd w:val="clear" w:color="auto" w:fill="auto"/>
            <w:noWrap/>
            <w:vAlign w:val="bottom"/>
            <w:hideMark/>
          </w:tcPr>
          <w:p w14:paraId="21E449F1"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2004</w:t>
            </w:r>
          </w:p>
        </w:tc>
        <w:tc>
          <w:tcPr>
            <w:tcW w:w="1252" w:type="dxa"/>
            <w:shd w:val="clear" w:color="auto" w:fill="auto"/>
            <w:noWrap/>
            <w:vAlign w:val="bottom"/>
            <w:hideMark/>
          </w:tcPr>
          <w:p w14:paraId="4DF55B92"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37</w:t>
            </w:r>
          </w:p>
        </w:tc>
        <w:tc>
          <w:tcPr>
            <w:tcW w:w="883" w:type="dxa"/>
            <w:shd w:val="clear" w:color="auto" w:fill="auto"/>
            <w:noWrap/>
            <w:vAlign w:val="bottom"/>
            <w:hideMark/>
          </w:tcPr>
          <w:p w14:paraId="58C6D2A5"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77</w:t>
            </w:r>
          </w:p>
        </w:tc>
        <w:tc>
          <w:tcPr>
            <w:tcW w:w="882" w:type="dxa"/>
            <w:shd w:val="clear" w:color="auto" w:fill="auto"/>
            <w:noWrap/>
            <w:vAlign w:val="bottom"/>
            <w:hideMark/>
          </w:tcPr>
          <w:p w14:paraId="5E8BDF47"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56</w:t>
            </w:r>
          </w:p>
        </w:tc>
        <w:tc>
          <w:tcPr>
            <w:tcW w:w="882" w:type="dxa"/>
            <w:shd w:val="clear" w:color="auto" w:fill="auto"/>
            <w:noWrap/>
            <w:vAlign w:val="bottom"/>
            <w:hideMark/>
          </w:tcPr>
          <w:p w14:paraId="370190BE"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67</w:t>
            </w:r>
          </w:p>
        </w:tc>
        <w:tc>
          <w:tcPr>
            <w:tcW w:w="882" w:type="dxa"/>
            <w:shd w:val="clear" w:color="auto" w:fill="auto"/>
            <w:noWrap/>
            <w:vAlign w:val="bottom"/>
            <w:hideMark/>
          </w:tcPr>
          <w:p w14:paraId="521A9CB8"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46</w:t>
            </w:r>
          </w:p>
        </w:tc>
        <w:tc>
          <w:tcPr>
            <w:tcW w:w="1046" w:type="dxa"/>
            <w:tcBorders>
              <w:top w:val="single" w:sz="4" w:space="0" w:color="auto"/>
              <w:left w:val="nil"/>
              <w:bottom w:val="single" w:sz="4" w:space="0" w:color="auto"/>
              <w:right w:val="single" w:sz="4" w:space="0" w:color="auto"/>
            </w:tcBorders>
            <w:shd w:val="clear" w:color="auto" w:fill="auto"/>
            <w:vAlign w:val="bottom"/>
          </w:tcPr>
          <w:p w14:paraId="61FB148F"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1</w:t>
            </w:r>
            <w:r>
              <w:rPr>
                <w:rFonts w:ascii="Times New Roman" w:hAnsi="Times New Roman" w:cs="Times New Roman"/>
                <w:color w:val="000000"/>
              </w:rPr>
              <w:t>.</w:t>
            </w:r>
            <w:r w:rsidRPr="0060471C">
              <w:rPr>
                <w:rFonts w:ascii="Times New Roman" w:hAnsi="Times New Roman" w:cs="Times New Roman"/>
                <w:color w:val="000000"/>
              </w:rPr>
              <w:t>05</w:t>
            </w:r>
          </w:p>
        </w:tc>
        <w:tc>
          <w:tcPr>
            <w:tcW w:w="759" w:type="dxa"/>
            <w:tcBorders>
              <w:top w:val="single" w:sz="4" w:space="0" w:color="auto"/>
              <w:left w:val="single" w:sz="4" w:space="0" w:color="auto"/>
              <w:bottom w:val="single" w:sz="4" w:space="0" w:color="auto"/>
              <w:right w:val="single" w:sz="4" w:space="0" w:color="auto"/>
            </w:tcBorders>
            <w:shd w:val="clear" w:color="auto" w:fill="auto"/>
            <w:vAlign w:val="bottom"/>
          </w:tcPr>
          <w:p w14:paraId="7850AA5B"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83</w:t>
            </w:r>
          </w:p>
        </w:tc>
        <w:tc>
          <w:tcPr>
            <w:tcW w:w="79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9A4614A"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1</w:t>
            </w:r>
            <w:r>
              <w:rPr>
                <w:rFonts w:ascii="Times New Roman" w:hAnsi="Times New Roman" w:cs="Times New Roman"/>
                <w:color w:val="000000"/>
              </w:rPr>
              <w:t>.</w:t>
            </w:r>
            <w:r w:rsidRPr="0060471C">
              <w:rPr>
                <w:rFonts w:ascii="Times New Roman" w:hAnsi="Times New Roman" w:cs="Times New Roman"/>
                <w:color w:val="000000"/>
              </w:rPr>
              <w:t>32</w:t>
            </w:r>
          </w:p>
        </w:tc>
      </w:tr>
      <w:tr w:rsidR="00C25C1C" w:rsidRPr="0060471C" w14:paraId="408ADB3B" w14:textId="77777777" w:rsidTr="002F6131">
        <w:trPr>
          <w:trHeight w:val="288"/>
        </w:trPr>
        <w:tc>
          <w:tcPr>
            <w:tcW w:w="704" w:type="dxa"/>
            <w:shd w:val="clear" w:color="auto" w:fill="auto"/>
            <w:noWrap/>
            <w:vAlign w:val="bottom"/>
            <w:hideMark/>
          </w:tcPr>
          <w:p w14:paraId="0E195905"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2005</w:t>
            </w:r>
          </w:p>
        </w:tc>
        <w:tc>
          <w:tcPr>
            <w:tcW w:w="1252" w:type="dxa"/>
            <w:shd w:val="clear" w:color="auto" w:fill="auto"/>
            <w:noWrap/>
            <w:vAlign w:val="bottom"/>
            <w:hideMark/>
          </w:tcPr>
          <w:p w14:paraId="7D78C6F1"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20</w:t>
            </w:r>
          </w:p>
        </w:tc>
        <w:tc>
          <w:tcPr>
            <w:tcW w:w="883" w:type="dxa"/>
            <w:shd w:val="clear" w:color="auto" w:fill="auto"/>
            <w:noWrap/>
            <w:vAlign w:val="bottom"/>
            <w:hideMark/>
          </w:tcPr>
          <w:p w14:paraId="1D74F940"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63</w:t>
            </w:r>
          </w:p>
        </w:tc>
        <w:tc>
          <w:tcPr>
            <w:tcW w:w="882" w:type="dxa"/>
            <w:shd w:val="clear" w:color="auto" w:fill="auto"/>
            <w:noWrap/>
            <w:vAlign w:val="bottom"/>
            <w:hideMark/>
          </w:tcPr>
          <w:p w14:paraId="2B8ABCBB"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43</w:t>
            </w:r>
          </w:p>
        </w:tc>
        <w:tc>
          <w:tcPr>
            <w:tcW w:w="882" w:type="dxa"/>
            <w:shd w:val="clear" w:color="auto" w:fill="auto"/>
            <w:noWrap/>
            <w:vAlign w:val="bottom"/>
            <w:hideMark/>
          </w:tcPr>
          <w:p w14:paraId="0477196B"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30</w:t>
            </w:r>
          </w:p>
        </w:tc>
        <w:tc>
          <w:tcPr>
            <w:tcW w:w="882" w:type="dxa"/>
            <w:shd w:val="clear" w:color="auto" w:fill="auto"/>
            <w:noWrap/>
            <w:vAlign w:val="bottom"/>
            <w:hideMark/>
          </w:tcPr>
          <w:p w14:paraId="6816DC49"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34</w:t>
            </w:r>
          </w:p>
        </w:tc>
        <w:tc>
          <w:tcPr>
            <w:tcW w:w="1046" w:type="dxa"/>
            <w:tcBorders>
              <w:top w:val="single" w:sz="4" w:space="0" w:color="auto"/>
              <w:left w:val="nil"/>
              <w:bottom w:val="single" w:sz="4" w:space="0" w:color="auto"/>
              <w:right w:val="single" w:sz="4" w:space="0" w:color="auto"/>
            </w:tcBorders>
            <w:shd w:val="clear" w:color="auto" w:fill="auto"/>
            <w:vAlign w:val="bottom"/>
          </w:tcPr>
          <w:p w14:paraId="500DC21F"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93</w:t>
            </w:r>
          </w:p>
        </w:tc>
        <w:tc>
          <w:tcPr>
            <w:tcW w:w="759" w:type="dxa"/>
            <w:tcBorders>
              <w:top w:val="single" w:sz="4" w:space="0" w:color="auto"/>
              <w:left w:val="single" w:sz="4" w:space="0" w:color="auto"/>
              <w:bottom w:val="single" w:sz="4" w:space="0" w:color="auto"/>
              <w:right w:val="single" w:sz="4" w:space="0" w:color="auto"/>
            </w:tcBorders>
            <w:shd w:val="clear" w:color="auto" w:fill="auto"/>
            <w:vAlign w:val="bottom"/>
          </w:tcPr>
          <w:p w14:paraId="3ADD04CA"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87</w:t>
            </w:r>
          </w:p>
        </w:tc>
        <w:tc>
          <w:tcPr>
            <w:tcW w:w="79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C0D97F1"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1</w:t>
            </w:r>
            <w:r>
              <w:rPr>
                <w:rFonts w:ascii="Times New Roman" w:hAnsi="Times New Roman" w:cs="Times New Roman"/>
                <w:color w:val="000000"/>
              </w:rPr>
              <w:t>.</w:t>
            </w:r>
            <w:r w:rsidRPr="0060471C">
              <w:rPr>
                <w:rFonts w:ascii="Times New Roman" w:hAnsi="Times New Roman" w:cs="Times New Roman"/>
                <w:color w:val="000000"/>
              </w:rPr>
              <w:t>00</w:t>
            </w:r>
          </w:p>
        </w:tc>
      </w:tr>
      <w:tr w:rsidR="00C25C1C" w:rsidRPr="0060471C" w14:paraId="70E05C5B" w14:textId="77777777" w:rsidTr="002F6131">
        <w:trPr>
          <w:trHeight w:val="288"/>
        </w:trPr>
        <w:tc>
          <w:tcPr>
            <w:tcW w:w="704" w:type="dxa"/>
            <w:shd w:val="clear" w:color="auto" w:fill="auto"/>
            <w:noWrap/>
            <w:vAlign w:val="bottom"/>
            <w:hideMark/>
          </w:tcPr>
          <w:p w14:paraId="2A0948BE"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2006</w:t>
            </w:r>
          </w:p>
        </w:tc>
        <w:tc>
          <w:tcPr>
            <w:tcW w:w="1252" w:type="dxa"/>
            <w:shd w:val="clear" w:color="auto" w:fill="auto"/>
            <w:noWrap/>
            <w:vAlign w:val="bottom"/>
            <w:hideMark/>
          </w:tcPr>
          <w:p w14:paraId="4138607D"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25</w:t>
            </w:r>
          </w:p>
        </w:tc>
        <w:tc>
          <w:tcPr>
            <w:tcW w:w="883" w:type="dxa"/>
            <w:shd w:val="clear" w:color="auto" w:fill="auto"/>
            <w:noWrap/>
            <w:vAlign w:val="bottom"/>
            <w:hideMark/>
          </w:tcPr>
          <w:p w14:paraId="2ADA6F7B"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69</w:t>
            </w:r>
          </w:p>
        </w:tc>
        <w:tc>
          <w:tcPr>
            <w:tcW w:w="882" w:type="dxa"/>
            <w:shd w:val="clear" w:color="auto" w:fill="auto"/>
            <w:noWrap/>
            <w:vAlign w:val="bottom"/>
            <w:hideMark/>
          </w:tcPr>
          <w:p w14:paraId="18F393E2"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44</w:t>
            </w:r>
          </w:p>
        </w:tc>
        <w:tc>
          <w:tcPr>
            <w:tcW w:w="882" w:type="dxa"/>
            <w:shd w:val="clear" w:color="auto" w:fill="auto"/>
            <w:noWrap/>
            <w:vAlign w:val="bottom"/>
            <w:hideMark/>
          </w:tcPr>
          <w:p w14:paraId="537D028B"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37</w:t>
            </w:r>
          </w:p>
        </w:tc>
        <w:tc>
          <w:tcPr>
            <w:tcW w:w="882" w:type="dxa"/>
            <w:shd w:val="clear" w:color="auto" w:fill="auto"/>
            <w:noWrap/>
            <w:vAlign w:val="bottom"/>
            <w:hideMark/>
          </w:tcPr>
          <w:p w14:paraId="7DD7663C"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38</w:t>
            </w:r>
          </w:p>
        </w:tc>
        <w:tc>
          <w:tcPr>
            <w:tcW w:w="1046" w:type="dxa"/>
            <w:tcBorders>
              <w:top w:val="single" w:sz="4" w:space="0" w:color="auto"/>
              <w:left w:val="nil"/>
              <w:bottom w:val="single" w:sz="4" w:space="0" w:color="auto"/>
              <w:right w:val="single" w:sz="4" w:space="0" w:color="auto"/>
            </w:tcBorders>
            <w:shd w:val="clear" w:color="auto" w:fill="auto"/>
            <w:vAlign w:val="bottom"/>
          </w:tcPr>
          <w:p w14:paraId="4B7A0089"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95</w:t>
            </w:r>
          </w:p>
        </w:tc>
        <w:tc>
          <w:tcPr>
            <w:tcW w:w="759" w:type="dxa"/>
            <w:tcBorders>
              <w:top w:val="single" w:sz="4" w:space="0" w:color="auto"/>
              <w:left w:val="single" w:sz="4" w:space="0" w:color="auto"/>
              <w:bottom w:val="single" w:sz="4" w:space="0" w:color="auto"/>
              <w:right w:val="single" w:sz="4" w:space="0" w:color="auto"/>
            </w:tcBorders>
            <w:shd w:val="clear" w:color="auto" w:fill="auto"/>
            <w:vAlign w:val="bottom"/>
          </w:tcPr>
          <w:p w14:paraId="2273619C"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89</w:t>
            </w:r>
          </w:p>
        </w:tc>
        <w:tc>
          <w:tcPr>
            <w:tcW w:w="79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F746F58"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1</w:t>
            </w:r>
            <w:r>
              <w:rPr>
                <w:rFonts w:ascii="Times New Roman" w:hAnsi="Times New Roman" w:cs="Times New Roman"/>
                <w:color w:val="000000"/>
              </w:rPr>
              <w:t>.</w:t>
            </w:r>
            <w:r w:rsidRPr="0060471C">
              <w:rPr>
                <w:rFonts w:ascii="Times New Roman" w:hAnsi="Times New Roman" w:cs="Times New Roman"/>
                <w:color w:val="000000"/>
              </w:rPr>
              <w:t>01</w:t>
            </w:r>
          </w:p>
        </w:tc>
      </w:tr>
      <w:tr w:rsidR="00C25C1C" w:rsidRPr="0060471C" w14:paraId="11DC05B0" w14:textId="77777777" w:rsidTr="002F6131">
        <w:trPr>
          <w:trHeight w:val="288"/>
        </w:trPr>
        <w:tc>
          <w:tcPr>
            <w:tcW w:w="704" w:type="dxa"/>
            <w:shd w:val="clear" w:color="auto" w:fill="auto"/>
            <w:noWrap/>
            <w:vAlign w:val="bottom"/>
            <w:hideMark/>
          </w:tcPr>
          <w:p w14:paraId="6A4403A5"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2007</w:t>
            </w:r>
          </w:p>
        </w:tc>
        <w:tc>
          <w:tcPr>
            <w:tcW w:w="1252" w:type="dxa"/>
            <w:shd w:val="clear" w:color="auto" w:fill="auto"/>
            <w:noWrap/>
            <w:vAlign w:val="bottom"/>
            <w:hideMark/>
          </w:tcPr>
          <w:p w14:paraId="4E4CC30F"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34</w:t>
            </w:r>
          </w:p>
        </w:tc>
        <w:tc>
          <w:tcPr>
            <w:tcW w:w="883" w:type="dxa"/>
            <w:shd w:val="clear" w:color="auto" w:fill="auto"/>
            <w:noWrap/>
            <w:vAlign w:val="bottom"/>
            <w:hideMark/>
          </w:tcPr>
          <w:p w14:paraId="71E3E26C"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80</w:t>
            </w:r>
          </w:p>
        </w:tc>
        <w:tc>
          <w:tcPr>
            <w:tcW w:w="882" w:type="dxa"/>
            <w:shd w:val="clear" w:color="auto" w:fill="auto"/>
            <w:noWrap/>
            <w:vAlign w:val="bottom"/>
            <w:hideMark/>
          </w:tcPr>
          <w:p w14:paraId="4E72507B"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43</w:t>
            </w:r>
          </w:p>
        </w:tc>
        <w:tc>
          <w:tcPr>
            <w:tcW w:w="882" w:type="dxa"/>
            <w:shd w:val="clear" w:color="auto" w:fill="auto"/>
            <w:noWrap/>
            <w:vAlign w:val="bottom"/>
            <w:hideMark/>
          </w:tcPr>
          <w:p w14:paraId="12865348"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46</w:t>
            </w:r>
          </w:p>
        </w:tc>
        <w:tc>
          <w:tcPr>
            <w:tcW w:w="882" w:type="dxa"/>
            <w:shd w:val="clear" w:color="auto" w:fill="auto"/>
            <w:noWrap/>
            <w:vAlign w:val="bottom"/>
            <w:hideMark/>
          </w:tcPr>
          <w:p w14:paraId="4635A767"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48</w:t>
            </w:r>
          </w:p>
        </w:tc>
        <w:tc>
          <w:tcPr>
            <w:tcW w:w="1046" w:type="dxa"/>
            <w:tcBorders>
              <w:top w:val="single" w:sz="4" w:space="0" w:color="auto"/>
              <w:left w:val="nil"/>
              <w:bottom w:val="single" w:sz="4" w:space="0" w:color="auto"/>
              <w:right w:val="single" w:sz="4" w:space="0" w:color="auto"/>
            </w:tcBorders>
            <w:shd w:val="clear" w:color="auto" w:fill="auto"/>
            <w:vAlign w:val="bottom"/>
          </w:tcPr>
          <w:p w14:paraId="136407BE"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99</w:t>
            </w:r>
          </w:p>
        </w:tc>
        <w:tc>
          <w:tcPr>
            <w:tcW w:w="759" w:type="dxa"/>
            <w:tcBorders>
              <w:top w:val="single" w:sz="4" w:space="0" w:color="auto"/>
              <w:left w:val="single" w:sz="4" w:space="0" w:color="auto"/>
              <w:bottom w:val="single" w:sz="4" w:space="0" w:color="auto"/>
              <w:right w:val="single" w:sz="4" w:space="0" w:color="auto"/>
            </w:tcBorders>
            <w:shd w:val="clear" w:color="auto" w:fill="auto"/>
            <w:vAlign w:val="bottom"/>
          </w:tcPr>
          <w:p w14:paraId="7F89B805"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92</w:t>
            </w:r>
          </w:p>
        </w:tc>
        <w:tc>
          <w:tcPr>
            <w:tcW w:w="79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1659A44"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1</w:t>
            </w:r>
            <w:r>
              <w:rPr>
                <w:rFonts w:ascii="Times New Roman" w:hAnsi="Times New Roman" w:cs="Times New Roman"/>
                <w:color w:val="000000"/>
              </w:rPr>
              <w:t>.</w:t>
            </w:r>
            <w:r w:rsidRPr="0060471C">
              <w:rPr>
                <w:rFonts w:ascii="Times New Roman" w:hAnsi="Times New Roman" w:cs="Times New Roman"/>
                <w:color w:val="000000"/>
              </w:rPr>
              <w:t>06</w:t>
            </w:r>
          </w:p>
        </w:tc>
      </w:tr>
      <w:tr w:rsidR="00C25C1C" w:rsidRPr="0060471C" w14:paraId="74BFBBE7" w14:textId="77777777" w:rsidTr="002F6131">
        <w:trPr>
          <w:trHeight w:val="288"/>
        </w:trPr>
        <w:tc>
          <w:tcPr>
            <w:tcW w:w="704" w:type="dxa"/>
            <w:shd w:val="clear" w:color="auto" w:fill="auto"/>
            <w:noWrap/>
            <w:vAlign w:val="bottom"/>
            <w:hideMark/>
          </w:tcPr>
          <w:p w14:paraId="40D2E264"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2008</w:t>
            </w:r>
          </w:p>
        </w:tc>
        <w:tc>
          <w:tcPr>
            <w:tcW w:w="1252" w:type="dxa"/>
            <w:shd w:val="clear" w:color="auto" w:fill="auto"/>
            <w:noWrap/>
            <w:vAlign w:val="bottom"/>
            <w:hideMark/>
          </w:tcPr>
          <w:p w14:paraId="7543EBAB"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30</w:t>
            </w:r>
          </w:p>
        </w:tc>
        <w:tc>
          <w:tcPr>
            <w:tcW w:w="883" w:type="dxa"/>
            <w:shd w:val="clear" w:color="auto" w:fill="auto"/>
            <w:noWrap/>
            <w:vAlign w:val="bottom"/>
            <w:hideMark/>
          </w:tcPr>
          <w:p w14:paraId="49B4FB0D"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74</w:t>
            </w:r>
          </w:p>
        </w:tc>
        <w:tc>
          <w:tcPr>
            <w:tcW w:w="882" w:type="dxa"/>
            <w:shd w:val="clear" w:color="auto" w:fill="auto"/>
            <w:noWrap/>
            <w:vAlign w:val="bottom"/>
            <w:hideMark/>
          </w:tcPr>
          <w:p w14:paraId="3F100C59"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40</w:t>
            </w:r>
          </w:p>
        </w:tc>
        <w:tc>
          <w:tcPr>
            <w:tcW w:w="882" w:type="dxa"/>
            <w:shd w:val="clear" w:color="auto" w:fill="auto"/>
            <w:noWrap/>
            <w:vAlign w:val="bottom"/>
            <w:hideMark/>
          </w:tcPr>
          <w:p w14:paraId="65B67803"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32</w:t>
            </w:r>
          </w:p>
        </w:tc>
        <w:tc>
          <w:tcPr>
            <w:tcW w:w="882" w:type="dxa"/>
            <w:shd w:val="clear" w:color="auto" w:fill="auto"/>
            <w:noWrap/>
            <w:vAlign w:val="bottom"/>
            <w:hideMark/>
          </w:tcPr>
          <w:p w14:paraId="24270872"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46</w:t>
            </w:r>
          </w:p>
        </w:tc>
        <w:tc>
          <w:tcPr>
            <w:tcW w:w="1046" w:type="dxa"/>
            <w:tcBorders>
              <w:top w:val="single" w:sz="4" w:space="0" w:color="auto"/>
              <w:left w:val="nil"/>
              <w:bottom w:val="single" w:sz="4" w:space="0" w:color="auto"/>
              <w:right w:val="single" w:sz="4" w:space="0" w:color="auto"/>
            </w:tcBorders>
            <w:shd w:val="clear" w:color="auto" w:fill="auto"/>
            <w:vAlign w:val="bottom"/>
          </w:tcPr>
          <w:p w14:paraId="087BD2D6"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97</w:t>
            </w:r>
          </w:p>
        </w:tc>
        <w:tc>
          <w:tcPr>
            <w:tcW w:w="759" w:type="dxa"/>
            <w:tcBorders>
              <w:top w:val="single" w:sz="4" w:space="0" w:color="auto"/>
              <w:left w:val="single" w:sz="4" w:space="0" w:color="auto"/>
              <w:bottom w:val="single" w:sz="4" w:space="0" w:color="auto"/>
              <w:right w:val="single" w:sz="4" w:space="0" w:color="auto"/>
            </w:tcBorders>
            <w:shd w:val="clear" w:color="auto" w:fill="auto"/>
            <w:vAlign w:val="bottom"/>
          </w:tcPr>
          <w:p w14:paraId="115411EB"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89</w:t>
            </w:r>
          </w:p>
        </w:tc>
        <w:tc>
          <w:tcPr>
            <w:tcW w:w="79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140245C"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1</w:t>
            </w:r>
            <w:r>
              <w:rPr>
                <w:rFonts w:ascii="Times New Roman" w:hAnsi="Times New Roman" w:cs="Times New Roman"/>
                <w:color w:val="000000"/>
              </w:rPr>
              <w:t>.</w:t>
            </w:r>
            <w:r w:rsidRPr="0060471C">
              <w:rPr>
                <w:rFonts w:ascii="Times New Roman" w:hAnsi="Times New Roman" w:cs="Times New Roman"/>
                <w:color w:val="000000"/>
              </w:rPr>
              <w:t>06</w:t>
            </w:r>
          </w:p>
        </w:tc>
      </w:tr>
      <w:tr w:rsidR="00C25C1C" w:rsidRPr="0060471C" w14:paraId="311D38A5" w14:textId="77777777" w:rsidTr="002F6131">
        <w:trPr>
          <w:trHeight w:val="288"/>
        </w:trPr>
        <w:tc>
          <w:tcPr>
            <w:tcW w:w="704" w:type="dxa"/>
            <w:shd w:val="clear" w:color="auto" w:fill="auto"/>
            <w:noWrap/>
            <w:vAlign w:val="bottom"/>
            <w:hideMark/>
          </w:tcPr>
          <w:p w14:paraId="7A988EFD"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2009</w:t>
            </w:r>
          </w:p>
        </w:tc>
        <w:tc>
          <w:tcPr>
            <w:tcW w:w="1252" w:type="dxa"/>
            <w:shd w:val="clear" w:color="auto" w:fill="auto"/>
            <w:noWrap/>
            <w:vAlign w:val="bottom"/>
            <w:hideMark/>
          </w:tcPr>
          <w:p w14:paraId="49B28CB3"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35</w:t>
            </w:r>
          </w:p>
        </w:tc>
        <w:tc>
          <w:tcPr>
            <w:tcW w:w="883" w:type="dxa"/>
            <w:shd w:val="clear" w:color="auto" w:fill="auto"/>
            <w:noWrap/>
            <w:vAlign w:val="bottom"/>
            <w:hideMark/>
          </w:tcPr>
          <w:p w14:paraId="61CC948E"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89</w:t>
            </w:r>
          </w:p>
        </w:tc>
        <w:tc>
          <w:tcPr>
            <w:tcW w:w="882" w:type="dxa"/>
            <w:shd w:val="clear" w:color="auto" w:fill="auto"/>
            <w:noWrap/>
            <w:vAlign w:val="bottom"/>
            <w:hideMark/>
          </w:tcPr>
          <w:p w14:paraId="006BEA26"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30</w:t>
            </w:r>
          </w:p>
        </w:tc>
        <w:tc>
          <w:tcPr>
            <w:tcW w:w="882" w:type="dxa"/>
            <w:shd w:val="clear" w:color="auto" w:fill="auto"/>
            <w:noWrap/>
            <w:vAlign w:val="bottom"/>
            <w:hideMark/>
          </w:tcPr>
          <w:p w14:paraId="4702701F"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52</w:t>
            </w:r>
          </w:p>
        </w:tc>
        <w:tc>
          <w:tcPr>
            <w:tcW w:w="882" w:type="dxa"/>
            <w:shd w:val="clear" w:color="auto" w:fill="auto"/>
            <w:noWrap/>
            <w:vAlign w:val="bottom"/>
            <w:hideMark/>
          </w:tcPr>
          <w:p w14:paraId="43943792"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46</w:t>
            </w:r>
          </w:p>
        </w:tc>
        <w:tc>
          <w:tcPr>
            <w:tcW w:w="1046" w:type="dxa"/>
            <w:tcBorders>
              <w:top w:val="single" w:sz="4" w:space="0" w:color="auto"/>
              <w:left w:val="nil"/>
              <w:bottom w:val="single" w:sz="4" w:space="0" w:color="auto"/>
              <w:right w:val="single" w:sz="4" w:space="0" w:color="auto"/>
            </w:tcBorders>
            <w:shd w:val="clear" w:color="auto" w:fill="auto"/>
            <w:vAlign w:val="bottom"/>
          </w:tcPr>
          <w:p w14:paraId="2824A6F8"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99</w:t>
            </w:r>
          </w:p>
        </w:tc>
        <w:tc>
          <w:tcPr>
            <w:tcW w:w="759" w:type="dxa"/>
            <w:tcBorders>
              <w:top w:val="single" w:sz="4" w:space="0" w:color="auto"/>
              <w:left w:val="single" w:sz="4" w:space="0" w:color="auto"/>
              <w:bottom w:val="single" w:sz="4" w:space="0" w:color="auto"/>
              <w:right w:val="single" w:sz="4" w:space="0" w:color="auto"/>
            </w:tcBorders>
            <w:shd w:val="clear" w:color="auto" w:fill="auto"/>
            <w:vAlign w:val="bottom"/>
          </w:tcPr>
          <w:p w14:paraId="21264426"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90</w:t>
            </w:r>
          </w:p>
        </w:tc>
        <w:tc>
          <w:tcPr>
            <w:tcW w:w="79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411274B"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1</w:t>
            </w:r>
            <w:r>
              <w:rPr>
                <w:rFonts w:ascii="Times New Roman" w:hAnsi="Times New Roman" w:cs="Times New Roman"/>
                <w:color w:val="000000"/>
              </w:rPr>
              <w:t>.</w:t>
            </w:r>
            <w:r w:rsidRPr="0060471C">
              <w:rPr>
                <w:rFonts w:ascii="Times New Roman" w:hAnsi="Times New Roman" w:cs="Times New Roman"/>
                <w:color w:val="000000"/>
              </w:rPr>
              <w:t>09</w:t>
            </w:r>
          </w:p>
        </w:tc>
      </w:tr>
      <w:tr w:rsidR="00C25C1C" w:rsidRPr="0060471C" w14:paraId="6951F965" w14:textId="77777777" w:rsidTr="002F6131">
        <w:trPr>
          <w:trHeight w:val="288"/>
        </w:trPr>
        <w:tc>
          <w:tcPr>
            <w:tcW w:w="704" w:type="dxa"/>
            <w:shd w:val="clear" w:color="auto" w:fill="auto"/>
            <w:noWrap/>
            <w:vAlign w:val="bottom"/>
            <w:hideMark/>
          </w:tcPr>
          <w:p w14:paraId="4912E7F5"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2010</w:t>
            </w:r>
          </w:p>
        </w:tc>
        <w:tc>
          <w:tcPr>
            <w:tcW w:w="1252" w:type="dxa"/>
            <w:shd w:val="clear" w:color="auto" w:fill="auto"/>
            <w:noWrap/>
            <w:vAlign w:val="bottom"/>
            <w:hideMark/>
          </w:tcPr>
          <w:p w14:paraId="75598FEC"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81</w:t>
            </w:r>
          </w:p>
        </w:tc>
        <w:tc>
          <w:tcPr>
            <w:tcW w:w="883" w:type="dxa"/>
            <w:shd w:val="clear" w:color="auto" w:fill="auto"/>
            <w:noWrap/>
            <w:vAlign w:val="bottom"/>
            <w:hideMark/>
          </w:tcPr>
          <w:p w14:paraId="07F33C7C"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10</w:t>
            </w:r>
          </w:p>
        </w:tc>
        <w:tc>
          <w:tcPr>
            <w:tcW w:w="882" w:type="dxa"/>
            <w:shd w:val="clear" w:color="auto" w:fill="auto"/>
            <w:noWrap/>
            <w:vAlign w:val="bottom"/>
            <w:hideMark/>
          </w:tcPr>
          <w:p w14:paraId="19641C51"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21</w:t>
            </w:r>
          </w:p>
        </w:tc>
        <w:tc>
          <w:tcPr>
            <w:tcW w:w="882" w:type="dxa"/>
            <w:shd w:val="clear" w:color="auto" w:fill="auto"/>
            <w:noWrap/>
            <w:vAlign w:val="bottom"/>
            <w:hideMark/>
          </w:tcPr>
          <w:p w14:paraId="309F1CE7"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47</w:t>
            </w:r>
          </w:p>
        </w:tc>
        <w:tc>
          <w:tcPr>
            <w:tcW w:w="882" w:type="dxa"/>
            <w:shd w:val="clear" w:color="auto" w:fill="auto"/>
            <w:noWrap/>
            <w:vAlign w:val="bottom"/>
            <w:hideMark/>
          </w:tcPr>
          <w:p w14:paraId="63249CB6"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64</w:t>
            </w:r>
          </w:p>
        </w:tc>
        <w:tc>
          <w:tcPr>
            <w:tcW w:w="1046" w:type="dxa"/>
            <w:tcBorders>
              <w:top w:val="single" w:sz="4" w:space="0" w:color="auto"/>
              <w:left w:val="nil"/>
              <w:bottom w:val="single" w:sz="4" w:space="0" w:color="auto"/>
              <w:right w:val="single" w:sz="4" w:space="0" w:color="auto"/>
            </w:tcBorders>
            <w:shd w:val="clear" w:color="auto" w:fill="auto"/>
            <w:vAlign w:val="bottom"/>
          </w:tcPr>
          <w:p w14:paraId="0E9CE74F"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76</w:t>
            </w:r>
          </w:p>
        </w:tc>
        <w:tc>
          <w:tcPr>
            <w:tcW w:w="759" w:type="dxa"/>
            <w:tcBorders>
              <w:top w:val="single" w:sz="4" w:space="0" w:color="auto"/>
              <w:left w:val="single" w:sz="4" w:space="0" w:color="auto"/>
              <w:bottom w:val="single" w:sz="4" w:space="0" w:color="auto"/>
              <w:right w:val="single" w:sz="4" w:space="0" w:color="auto"/>
            </w:tcBorders>
            <w:shd w:val="clear" w:color="auto" w:fill="auto"/>
            <w:vAlign w:val="bottom"/>
          </w:tcPr>
          <w:p w14:paraId="34627879"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63</w:t>
            </w:r>
          </w:p>
        </w:tc>
        <w:tc>
          <w:tcPr>
            <w:tcW w:w="79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0B48B54"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93</w:t>
            </w:r>
          </w:p>
        </w:tc>
      </w:tr>
      <w:tr w:rsidR="00C25C1C" w:rsidRPr="0060471C" w14:paraId="055A6EFD" w14:textId="77777777" w:rsidTr="002F6131">
        <w:trPr>
          <w:trHeight w:val="288"/>
        </w:trPr>
        <w:tc>
          <w:tcPr>
            <w:tcW w:w="704" w:type="dxa"/>
            <w:shd w:val="clear" w:color="auto" w:fill="auto"/>
            <w:noWrap/>
            <w:vAlign w:val="bottom"/>
            <w:hideMark/>
          </w:tcPr>
          <w:p w14:paraId="08D97668"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2011</w:t>
            </w:r>
          </w:p>
        </w:tc>
        <w:tc>
          <w:tcPr>
            <w:tcW w:w="1252" w:type="dxa"/>
            <w:shd w:val="clear" w:color="auto" w:fill="auto"/>
            <w:noWrap/>
            <w:vAlign w:val="bottom"/>
            <w:hideMark/>
          </w:tcPr>
          <w:p w14:paraId="19A017AD"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87</w:t>
            </w:r>
          </w:p>
        </w:tc>
        <w:tc>
          <w:tcPr>
            <w:tcW w:w="883" w:type="dxa"/>
            <w:shd w:val="clear" w:color="auto" w:fill="auto"/>
            <w:noWrap/>
            <w:vAlign w:val="bottom"/>
            <w:hideMark/>
          </w:tcPr>
          <w:p w14:paraId="2DB8FB8D"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20</w:t>
            </w:r>
          </w:p>
        </w:tc>
        <w:tc>
          <w:tcPr>
            <w:tcW w:w="882" w:type="dxa"/>
            <w:shd w:val="clear" w:color="auto" w:fill="auto"/>
            <w:noWrap/>
            <w:vAlign w:val="bottom"/>
            <w:hideMark/>
          </w:tcPr>
          <w:p w14:paraId="2C971070"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18</w:t>
            </w:r>
          </w:p>
        </w:tc>
        <w:tc>
          <w:tcPr>
            <w:tcW w:w="882" w:type="dxa"/>
            <w:shd w:val="clear" w:color="auto" w:fill="auto"/>
            <w:noWrap/>
            <w:vAlign w:val="bottom"/>
            <w:hideMark/>
          </w:tcPr>
          <w:p w14:paraId="3A5E65B7"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49</w:t>
            </w:r>
          </w:p>
        </w:tc>
        <w:tc>
          <w:tcPr>
            <w:tcW w:w="882" w:type="dxa"/>
            <w:shd w:val="clear" w:color="auto" w:fill="auto"/>
            <w:noWrap/>
            <w:vAlign w:val="bottom"/>
            <w:hideMark/>
          </w:tcPr>
          <w:p w14:paraId="5270ECD4"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73</w:t>
            </w:r>
          </w:p>
        </w:tc>
        <w:tc>
          <w:tcPr>
            <w:tcW w:w="1046" w:type="dxa"/>
            <w:tcBorders>
              <w:top w:val="single" w:sz="4" w:space="0" w:color="auto"/>
              <w:left w:val="nil"/>
              <w:bottom w:val="single" w:sz="4" w:space="0" w:color="auto"/>
              <w:right w:val="single" w:sz="4" w:space="0" w:color="auto"/>
            </w:tcBorders>
            <w:shd w:val="clear" w:color="auto" w:fill="auto"/>
            <w:vAlign w:val="bottom"/>
          </w:tcPr>
          <w:p w14:paraId="513A6891"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79</w:t>
            </w:r>
          </w:p>
        </w:tc>
        <w:tc>
          <w:tcPr>
            <w:tcW w:w="759" w:type="dxa"/>
            <w:tcBorders>
              <w:top w:val="single" w:sz="4" w:space="0" w:color="auto"/>
              <w:left w:val="single" w:sz="4" w:space="0" w:color="auto"/>
              <w:bottom w:val="single" w:sz="4" w:space="0" w:color="auto"/>
              <w:right w:val="single" w:sz="4" w:space="0" w:color="auto"/>
            </w:tcBorders>
            <w:shd w:val="clear" w:color="auto" w:fill="auto"/>
            <w:vAlign w:val="bottom"/>
          </w:tcPr>
          <w:p w14:paraId="48CA5D90"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66</w:t>
            </w:r>
          </w:p>
        </w:tc>
        <w:tc>
          <w:tcPr>
            <w:tcW w:w="79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67443D1"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95</w:t>
            </w:r>
          </w:p>
        </w:tc>
      </w:tr>
      <w:tr w:rsidR="00C25C1C" w:rsidRPr="0060471C" w14:paraId="05A5466C" w14:textId="77777777" w:rsidTr="002F6131">
        <w:trPr>
          <w:trHeight w:val="288"/>
        </w:trPr>
        <w:tc>
          <w:tcPr>
            <w:tcW w:w="704" w:type="dxa"/>
            <w:shd w:val="clear" w:color="auto" w:fill="auto"/>
            <w:noWrap/>
            <w:vAlign w:val="bottom"/>
            <w:hideMark/>
          </w:tcPr>
          <w:p w14:paraId="79608D04"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2012</w:t>
            </w:r>
          </w:p>
        </w:tc>
        <w:tc>
          <w:tcPr>
            <w:tcW w:w="1252" w:type="dxa"/>
            <w:shd w:val="clear" w:color="auto" w:fill="auto"/>
            <w:noWrap/>
            <w:vAlign w:val="bottom"/>
            <w:hideMark/>
          </w:tcPr>
          <w:p w14:paraId="080EB9A2"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82</w:t>
            </w:r>
          </w:p>
        </w:tc>
        <w:tc>
          <w:tcPr>
            <w:tcW w:w="883" w:type="dxa"/>
            <w:shd w:val="clear" w:color="auto" w:fill="auto"/>
            <w:noWrap/>
            <w:vAlign w:val="bottom"/>
            <w:hideMark/>
          </w:tcPr>
          <w:p w14:paraId="37F433F9"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16</w:t>
            </w:r>
          </w:p>
        </w:tc>
        <w:tc>
          <w:tcPr>
            <w:tcW w:w="882" w:type="dxa"/>
            <w:shd w:val="clear" w:color="auto" w:fill="auto"/>
            <w:noWrap/>
            <w:vAlign w:val="bottom"/>
            <w:hideMark/>
          </w:tcPr>
          <w:p w14:paraId="2E7AB32C"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14</w:t>
            </w:r>
          </w:p>
        </w:tc>
        <w:tc>
          <w:tcPr>
            <w:tcW w:w="882" w:type="dxa"/>
            <w:shd w:val="clear" w:color="auto" w:fill="auto"/>
            <w:noWrap/>
            <w:vAlign w:val="bottom"/>
            <w:hideMark/>
          </w:tcPr>
          <w:p w14:paraId="34385F0D"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22</w:t>
            </w:r>
          </w:p>
        </w:tc>
        <w:tc>
          <w:tcPr>
            <w:tcW w:w="882" w:type="dxa"/>
            <w:shd w:val="clear" w:color="auto" w:fill="auto"/>
            <w:noWrap/>
            <w:vAlign w:val="bottom"/>
            <w:hideMark/>
          </w:tcPr>
          <w:p w14:paraId="71A334CF"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74</w:t>
            </w:r>
          </w:p>
        </w:tc>
        <w:tc>
          <w:tcPr>
            <w:tcW w:w="1046" w:type="dxa"/>
            <w:tcBorders>
              <w:top w:val="single" w:sz="4" w:space="0" w:color="auto"/>
              <w:left w:val="nil"/>
              <w:bottom w:val="single" w:sz="4" w:space="0" w:color="auto"/>
              <w:right w:val="single" w:sz="4" w:space="0" w:color="auto"/>
            </w:tcBorders>
            <w:shd w:val="clear" w:color="auto" w:fill="auto"/>
            <w:vAlign w:val="bottom"/>
          </w:tcPr>
          <w:p w14:paraId="1D2DE728"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77</w:t>
            </w:r>
          </w:p>
        </w:tc>
        <w:tc>
          <w:tcPr>
            <w:tcW w:w="759" w:type="dxa"/>
            <w:tcBorders>
              <w:top w:val="single" w:sz="4" w:space="0" w:color="auto"/>
              <w:left w:val="single" w:sz="4" w:space="0" w:color="auto"/>
              <w:bottom w:val="single" w:sz="4" w:space="0" w:color="auto"/>
              <w:right w:val="single" w:sz="4" w:space="0" w:color="auto"/>
            </w:tcBorders>
            <w:shd w:val="clear" w:color="auto" w:fill="auto"/>
            <w:vAlign w:val="bottom"/>
          </w:tcPr>
          <w:p w14:paraId="0509AA0C"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64</w:t>
            </w:r>
          </w:p>
        </w:tc>
        <w:tc>
          <w:tcPr>
            <w:tcW w:w="79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ECD50E5"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92</w:t>
            </w:r>
          </w:p>
        </w:tc>
      </w:tr>
      <w:tr w:rsidR="00C25C1C" w:rsidRPr="0060471C" w14:paraId="0FADF20E" w14:textId="77777777" w:rsidTr="002F6131">
        <w:trPr>
          <w:trHeight w:val="288"/>
        </w:trPr>
        <w:tc>
          <w:tcPr>
            <w:tcW w:w="704" w:type="dxa"/>
            <w:shd w:val="clear" w:color="auto" w:fill="auto"/>
            <w:noWrap/>
            <w:vAlign w:val="bottom"/>
            <w:hideMark/>
          </w:tcPr>
          <w:p w14:paraId="308B5FEC"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2013</w:t>
            </w:r>
          </w:p>
        </w:tc>
        <w:tc>
          <w:tcPr>
            <w:tcW w:w="1252" w:type="dxa"/>
            <w:shd w:val="clear" w:color="auto" w:fill="auto"/>
            <w:noWrap/>
            <w:vAlign w:val="bottom"/>
            <w:hideMark/>
          </w:tcPr>
          <w:p w14:paraId="6DEBAD89"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97</w:t>
            </w:r>
          </w:p>
        </w:tc>
        <w:tc>
          <w:tcPr>
            <w:tcW w:w="883" w:type="dxa"/>
            <w:shd w:val="clear" w:color="auto" w:fill="auto"/>
            <w:noWrap/>
            <w:vAlign w:val="bottom"/>
            <w:hideMark/>
          </w:tcPr>
          <w:p w14:paraId="056D4195"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40</w:t>
            </w:r>
          </w:p>
        </w:tc>
        <w:tc>
          <w:tcPr>
            <w:tcW w:w="882" w:type="dxa"/>
            <w:shd w:val="clear" w:color="auto" w:fill="auto"/>
            <w:noWrap/>
            <w:vAlign w:val="bottom"/>
            <w:hideMark/>
          </w:tcPr>
          <w:p w14:paraId="4B799851"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10</w:t>
            </w:r>
          </w:p>
        </w:tc>
        <w:tc>
          <w:tcPr>
            <w:tcW w:w="882" w:type="dxa"/>
            <w:shd w:val="clear" w:color="auto" w:fill="auto"/>
            <w:noWrap/>
            <w:vAlign w:val="bottom"/>
            <w:hideMark/>
          </w:tcPr>
          <w:p w14:paraId="12D53531"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76</w:t>
            </w:r>
          </w:p>
        </w:tc>
        <w:tc>
          <w:tcPr>
            <w:tcW w:w="882" w:type="dxa"/>
            <w:shd w:val="clear" w:color="auto" w:fill="auto"/>
            <w:noWrap/>
            <w:vAlign w:val="bottom"/>
            <w:hideMark/>
          </w:tcPr>
          <w:p w14:paraId="18666382"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67</w:t>
            </w:r>
          </w:p>
        </w:tc>
        <w:tc>
          <w:tcPr>
            <w:tcW w:w="1046" w:type="dxa"/>
            <w:tcBorders>
              <w:top w:val="single" w:sz="4" w:space="0" w:color="auto"/>
              <w:left w:val="nil"/>
              <w:bottom w:val="single" w:sz="4" w:space="0" w:color="auto"/>
              <w:right w:val="single" w:sz="4" w:space="0" w:color="auto"/>
            </w:tcBorders>
            <w:shd w:val="clear" w:color="auto" w:fill="auto"/>
            <w:vAlign w:val="bottom"/>
          </w:tcPr>
          <w:p w14:paraId="2B042960"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83</w:t>
            </w:r>
          </w:p>
        </w:tc>
        <w:tc>
          <w:tcPr>
            <w:tcW w:w="759" w:type="dxa"/>
            <w:tcBorders>
              <w:top w:val="single" w:sz="4" w:space="0" w:color="auto"/>
              <w:left w:val="single" w:sz="4" w:space="0" w:color="auto"/>
              <w:bottom w:val="single" w:sz="4" w:space="0" w:color="auto"/>
              <w:right w:val="single" w:sz="4" w:space="0" w:color="auto"/>
            </w:tcBorders>
            <w:shd w:val="clear" w:color="auto" w:fill="auto"/>
            <w:vAlign w:val="bottom"/>
          </w:tcPr>
          <w:p w14:paraId="59B415B9"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59</w:t>
            </w:r>
          </w:p>
        </w:tc>
        <w:tc>
          <w:tcPr>
            <w:tcW w:w="79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CB24FD8"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1</w:t>
            </w:r>
            <w:r>
              <w:rPr>
                <w:rFonts w:ascii="Times New Roman" w:hAnsi="Times New Roman" w:cs="Times New Roman"/>
                <w:color w:val="000000"/>
              </w:rPr>
              <w:t>.</w:t>
            </w:r>
            <w:r w:rsidRPr="0060471C">
              <w:rPr>
                <w:rFonts w:ascii="Times New Roman" w:hAnsi="Times New Roman" w:cs="Times New Roman"/>
                <w:color w:val="000000"/>
              </w:rPr>
              <w:t>18</w:t>
            </w:r>
          </w:p>
        </w:tc>
      </w:tr>
      <w:tr w:rsidR="00C25C1C" w:rsidRPr="0060471C" w14:paraId="783D824A" w14:textId="77777777" w:rsidTr="002F6131">
        <w:trPr>
          <w:trHeight w:val="288"/>
        </w:trPr>
        <w:tc>
          <w:tcPr>
            <w:tcW w:w="704" w:type="dxa"/>
            <w:shd w:val="clear" w:color="auto" w:fill="auto"/>
            <w:noWrap/>
            <w:vAlign w:val="bottom"/>
            <w:hideMark/>
          </w:tcPr>
          <w:p w14:paraId="1F2BBBCF"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2014</w:t>
            </w:r>
          </w:p>
        </w:tc>
        <w:tc>
          <w:tcPr>
            <w:tcW w:w="1252" w:type="dxa"/>
            <w:shd w:val="clear" w:color="auto" w:fill="auto"/>
            <w:noWrap/>
            <w:vAlign w:val="bottom"/>
            <w:hideMark/>
          </w:tcPr>
          <w:p w14:paraId="6BD0BAEE"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69</w:t>
            </w:r>
          </w:p>
        </w:tc>
        <w:tc>
          <w:tcPr>
            <w:tcW w:w="883" w:type="dxa"/>
            <w:shd w:val="clear" w:color="auto" w:fill="auto"/>
            <w:noWrap/>
            <w:vAlign w:val="bottom"/>
            <w:hideMark/>
          </w:tcPr>
          <w:p w14:paraId="41A02848"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3</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16</w:t>
            </w:r>
          </w:p>
        </w:tc>
        <w:tc>
          <w:tcPr>
            <w:tcW w:w="882" w:type="dxa"/>
            <w:shd w:val="clear" w:color="auto" w:fill="auto"/>
            <w:noWrap/>
            <w:vAlign w:val="bottom"/>
            <w:hideMark/>
          </w:tcPr>
          <w:p w14:paraId="38363AAF"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08</w:t>
            </w:r>
          </w:p>
        </w:tc>
        <w:tc>
          <w:tcPr>
            <w:tcW w:w="882" w:type="dxa"/>
            <w:shd w:val="clear" w:color="auto" w:fill="auto"/>
            <w:noWrap/>
            <w:vAlign w:val="bottom"/>
            <w:hideMark/>
          </w:tcPr>
          <w:p w14:paraId="13760DF7"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32</w:t>
            </w:r>
          </w:p>
        </w:tc>
        <w:tc>
          <w:tcPr>
            <w:tcW w:w="882" w:type="dxa"/>
            <w:shd w:val="clear" w:color="auto" w:fill="auto"/>
            <w:noWrap/>
            <w:vAlign w:val="bottom"/>
            <w:hideMark/>
          </w:tcPr>
          <w:p w14:paraId="33026DA9"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0</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86</w:t>
            </w:r>
          </w:p>
        </w:tc>
        <w:tc>
          <w:tcPr>
            <w:tcW w:w="1046" w:type="dxa"/>
            <w:tcBorders>
              <w:top w:val="single" w:sz="4" w:space="0" w:color="auto"/>
              <w:left w:val="nil"/>
              <w:bottom w:val="single" w:sz="4" w:space="0" w:color="auto"/>
              <w:right w:val="single" w:sz="4" w:space="0" w:color="auto"/>
            </w:tcBorders>
            <w:shd w:val="clear" w:color="auto" w:fill="auto"/>
            <w:vAlign w:val="bottom"/>
          </w:tcPr>
          <w:p w14:paraId="7F35B752"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72</w:t>
            </w:r>
          </w:p>
        </w:tc>
        <w:tc>
          <w:tcPr>
            <w:tcW w:w="759" w:type="dxa"/>
            <w:tcBorders>
              <w:top w:val="single" w:sz="4" w:space="0" w:color="auto"/>
              <w:left w:val="single" w:sz="4" w:space="0" w:color="auto"/>
              <w:bottom w:val="single" w:sz="4" w:space="0" w:color="auto"/>
              <w:right w:val="single" w:sz="4" w:space="0" w:color="auto"/>
            </w:tcBorders>
            <w:shd w:val="clear" w:color="auto" w:fill="auto"/>
            <w:vAlign w:val="bottom"/>
          </w:tcPr>
          <w:p w14:paraId="4AC6B734"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53</w:t>
            </w:r>
          </w:p>
        </w:tc>
        <w:tc>
          <w:tcPr>
            <w:tcW w:w="79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46F2DD1" w14:textId="77777777" w:rsidR="00C25C1C" w:rsidRPr="0060471C" w:rsidRDefault="00C25C1C" w:rsidP="002F6131">
            <w:pPr>
              <w:spacing w:after="0" w:line="360" w:lineRule="auto"/>
              <w:jc w:val="right"/>
              <w:rPr>
                <w:rFonts w:ascii="Times New Roman" w:eastAsia="Times New Roman" w:hAnsi="Times New Roman" w:cs="Times New Roman"/>
                <w:color w:val="000000"/>
                <w:lang w:eastAsia="nb-NO"/>
              </w:rPr>
            </w:pPr>
            <w:r w:rsidRPr="0060471C">
              <w:rPr>
                <w:rFonts w:ascii="Times New Roman" w:hAnsi="Times New Roman" w:cs="Times New Roman"/>
                <w:color w:val="000000"/>
              </w:rPr>
              <w:t>0</w:t>
            </w:r>
            <w:r>
              <w:rPr>
                <w:rFonts w:ascii="Times New Roman" w:hAnsi="Times New Roman" w:cs="Times New Roman"/>
                <w:color w:val="000000"/>
              </w:rPr>
              <w:t>.</w:t>
            </w:r>
            <w:r w:rsidRPr="0060471C">
              <w:rPr>
                <w:rFonts w:ascii="Times New Roman" w:hAnsi="Times New Roman" w:cs="Times New Roman"/>
                <w:color w:val="000000"/>
              </w:rPr>
              <w:t>97</w:t>
            </w:r>
          </w:p>
        </w:tc>
      </w:tr>
      <w:tr w:rsidR="00C25C1C" w:rsidRPr="0071041F" w14:paraId="5D0A6919" w14:textId="77777777" w:rsidTr="002F6131">
        <w:trPr>
          <w:trHeight w:val="288"/>
        </w:trPr>
        <w:tc>
          <w:tcPr>
            <w:tcW w:w="704" w:type="dxa"/>
            <w:shd w:val="clear" w:color="auto" w:fill="auto"/>
            <w:noWrap/>
            <w:vAlign w:val="bottom"/>
            <w:hideMark/>
          </w:tcPr>
          <w:p w14:paraId="6ABC4924" w14:textId="77777777" w:rsidR="00C25C1C" w:rsidRPr="0071041F" w:rsidRDefault="00C25C1C" w:rsidP="002F6131">
            <w:pPr>
              <w:spacing w:after="0" w:line="360" w:lineRule="auto"/>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All years</w:t>
            </w:r>
          </w:p>
        </w:tc>
        <w:tc>
          <w:tcPr>
            <w:tcW w:w="1252" w:type="dxa"/>
            <w:shd w:val="clear" w:color="auto" w:fill="auto"/>
            <w:noWrap/>
            <w:vAlign w:val="bottom"/>
            <w:hideMark/>
          </w:tcPr>
          <w:p w14:paraId="544ED872"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11</w:t>
            </w:r>
          </w:p>
        </w:tc>
        <w:tc>
          <w:tcPr>
            <w:tcW w:w="883" w:type="dxa"/>
            <w:shd w:val="clear" w:color="auto" w:fill="auto"/>
            <w:noWrap/>
            <w:vAlign w:val="bottom"/>
            <w:hideMark/>
          </w:tcPr>
          <w:p w14:paraId="6FD27C9B"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53</w:t>
            </w:r>
          </w:p>
        </w:tc>
        <w:tc>
          <w:tcPr>
            <w:tcW w:w="882" w:type="dxa"/>
            <w:shd w:val="clear" w:color="auto" w:fill="auto"/>
            <w:noWrap/>
            <w:vAlign w:val="bottom"/>
            <w:hideMark/>
          </w:tcPr>
          <w:p w14:paraId="7903356D"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1</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32</w:t>
            </w:r>
          </w:p>
        </w:tc>
        <w:tc>
          <w:tcPr>
            <w:tcW w:w="882" w:type="dxa"/>
            <w:shd w:val="clear" w:color="auto" w:fill="auto"/>
            <w:noWrap/>
            <w:vAlign w:val="bottom"/>
            <w:hideMark/>
          </w:tcPr>
          <w:p w14:paraId="0B257ED4"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44</w:t>
            </w:r>
          </w:p>
        </w:tc>
        <w:tc>
          <w:tcPr>
            <w:tcW w:w="882" w:type="dxa"/>
            <w:shd w:val="clear" w:color="auto" w:fill="auto"/>
            <w:noWrap/>
            <w:vAlign w:val="bottom"/>
            <w:hideMark/>
          </w:tcPr>
          <w:p w14:paraId="387F319B"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r w:rsidRPr="0071041F">
              <w:rPr>
                <w:rFonts w:ascii="Times New Roman" w:eastAsia="Times New Roman" w:hAnsi="Times New Roman" w:cs="Times New Roman"/>
                <w:color w:val="000000"/>
                <w:lang w:eastAsia="nb-NO"/>
              </w:rPr>
              <w:t>2</w:t>
            </w:r>
            <w:r>
              <w:rPr>
                <w:rFonts w:ascii="Times New Roman" w:eastAsia="Times New Roman" w:hAnsi="Times New Roman" w:cs="Times New Roman"/>
                <w:color w:val="000000"/>
                <w:lang w:eastAsia="nb-NO"/>
              </w:rPr>
              <w:t>.</w:t>
            </w:r>
            <w:r w:rsidRPr="0071041F">
              <w:rPr>
                <w:rFonts w:ascii="Times New Roman" w:eastAsia="Times New Roman" w:hAnsi="Times New Roman" w:cs="Times New Roman"/>
                <w:color w:val="000000"/>
                <w:lang w:eastAsia="nb-NO"/>
              </w:rPr>
              <w:t>12</w:t>
            </w:r>
          </w:p>
        </w:tc>
        <w:tc>
          <w:tcPr>
            <w:tcW w:w="1046" w:type="dxa"/>
            <w:tcBorders>
              <w:top w:val="single" w:sz="4" w:space="0" w:color="auto"/>
            </w:tcBorders>
          </w:tcPr>
          <w:p w14:paraId="029ECFB2"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p>
        </w:tc>
        <w:tc>
          <w:tcPr>
            <w:tcW w:w="759" w:type="dxa"/>
            <w:tcBorders>
              <w:top w:val="single" w:sz="4" w:space="0" w:color="auto"/>
            </w:tcBorders>
          </w:tcPr>
          <w:p w14:paraId="21927E9D"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p>
        </w:tc>
        <w:tc>
          <w:tcPr>
            <w:tcW w:w="795" w:type="dxa"/>
            <w:gridSpan w:val="2"/>
            <w:tcBorders>
              <w:top w:val="single" w:sz="4" w:space="0" w:color="auto"/>
            </w:tcBorders>
          </w:tcPr>
          <w:p w14:paraId="0C100131" w14:textId="77777777" w:rsidR="00C25C1C" w:rsidRPr="0071041F" w:rsidRDefault="00C25C1C" w:rsidP="002F6131">
            <w:pPr>
              <w:spacing w:after="0" w:line="360" w:lineRule="auto"/>
              <w:jc w:val="right"/>
              <w:rPr>
                <w:rFonts w:ascii="Times New Roman" w:eastAsia="Times New Roman" w:hAnsi="Times New Roman" w:cs="Times New Roman"/>
                <w:color w:val="000000"/>
                <w:lang w:eastAsia="nb-NO"/>
              </w:rPr>
            </w:pPr>
          </w:p>
        </w:tc>
      </w:tr>
    </w:tbl>
    <w:p w14:paraId="07680BEB" w14:textId="736EDC0A" w:rsidR="00C25C1C" w:rsidRDefault="00C25C1C" w:rsidP="007356C6">
      <w:pPr>
        <w:spacing w:line="276" w:lineRule="auto"/>
        <w:rPr>
          <w:lang w:val="en-US"/>
        </w:rPr>
      </w:pPr>
    </w:p>
    <w:p w14:paraId="7EFC646A" w14:textId="2F9E92C5" w:rsidR="00C25C1C" w:rsidRDefault="00C25C1C">
      <w:pPr>
        <w:rPr>
          <w:lang w:val="en-US"/>
        </w:rPr>
      </w:pPr>
      <w:r>
        <w:rPr>
          <w:lang w:val="en-US"/>
        </w:rPr>
        <w:br w:type="page"/>
      </w:r>
    </w:p>
    <w:p w14:paraId="71716296" w14:textId="2CD13AB5" w:rsidR="00C25C1C" w:rsidRDefault="00C25C1C" w:rsidP="007356C6">
      <w:pPr>
        <w:spacing w:line="276" w:lineRule="auto"/>
        <w:rPr>
          <w:lang w:val="en-US"/>
        </w:rPr>
      </w:pPr>
      <w:r>
        <w:rPr>
          <w:noProof/>
          <w:lang w:eastAsia="nb-NO"/>
        </w:rPr>
        <w:lastRenderedPageBreak/>
        <w:drawing>
          <wp:inline distT="0" distB="0" distL="0" distR="0" wp14:anchorId="1C42738F" wp14:editId="3CDB8D33">
            <wp:extent cx="6197219" cy="3724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2897" cy="3727687"/>
                    </a:xfrm>
                    <a:prstGeom prst="rect">
                      <a:avLst/>
                    </a:prstGeom>
                    <a:noFill/>
                  </pic:spPr>
                </pic:pic>
              </a:graphicData>
            </a:graphic>
          </wp:inline>
        </w:drawing>
      </w:r>
    </w:p>
    <w:p w14:paraId="71C5FA6E" w14:textId="5B5AC75A" w:rsidR="00C25C1C" w:rsidRDefault="00C25C1C" w:rsidP="007356C6">
      <w:pPr>
        <w:spacing w:line="276" w:lineRule="auto"/>
        <w:rPr>
          <w:lang w:val="en-US"/>
        </w:rPr>
      </w:pPr>
    </w:p>
    <w:p w14:paraId="449EB517" w14:textId="1E301D01" w:rsidR="00C25C1C" w:rsidRDefault="00C25C1C" w:rsidP="00C25C1C">
      <w:pPr>
        <w:rPr>
          <w:lang w:val="en-US"/>
        </w:rPr>
      </w:pPr>
      <w:r>
        <w:rPr>
          <w:noProof/>
          <w:lang w:eastAsia="nb-NO"/>
        </w:rPr>
        <w:drawing>
          <wp:inline distT="0" distB="0" distL="0" distR="0" wp14:anchorId="73A47BE7" wp14:editId="1473D503">
            <wp:extent cx="6180944" cy="3667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568" cy="3670462"/>
                    </a:xfrm>
                    <a:prstGeom prst="rect">
                      <a:avLst/>
                    </a:prstGeom>
                    <a:noFill/>
                  </pic:spPr>
                </pic:pic>
              </a:graphicData>
            </a:graphic>
          </wp:inline>
        </w:drawing>
      </w:r>
    </w:p>
    <w:p w14:paraId="36D57D4A" w14:textId="77777777" w:rsidR="00C25C1C" w:rsidRDefault="00C25C1C" w:rsidP="00C25C1C">
      <w:pPr>
        <w:rPr>
          <w:lang w:val="en-US"/>
        </w:rPr>
      </w:pPr>
    </w:p>
    <w:p w14:paraId="1BBEEADC" w14:textId="04F155C1" w:rsidR="00C25C1C" w:rsidRDefault="00C25C1C" w:rsidP="00C25C1C">
      <w:pPr>
        <w:rPr>
          <w:lang w:val="en-US"/>
        </w:rPr>
      </w:pPr>
    </w:p>
    <w:p w14:paraId="39737A85" w14:textId="77777777" w:rsidR="00C25C1C" w:rsidRDefault="00C25C1C" w:rsidP="00C25C1C">
      <w:pPr>
        <w:rPr>
          <w:lang w:val="en-US"/>
        </w:rPr>
      </w:pPr>
    </w:p>
    <w:tbl>
      <w:tblPr>
        <w:tblStyle w:val="TableGrid"/>
        <w:tblW w:w="9776" w:type="dxa"/>
        <w:tblLayout w:type="fixed"/>
        <w:tblLook w:val="04A0" w:firstRow="1" w:lastRow="0" w:firstColumn="1" w:lastColumn="0" w:noHBand="0" w:noVBand="1"/>
      </w:tblPr>
      <w:tblGrid>
        <w:gridCol w:w="8075"/>
        <w:gridCol w:w="851"/>
        <w:gridCol w:w="850"/>
      </w:tblGrid>
      <w:tr w:rsidR="00BB5515" w:rsidRPr="0014753E" w14:paraId="22358CC8" w14:textId="77777777" w:rsidTr="00BB5515">
        <w:tc>
          <w:tcPr>
            <w:tcW w:w="8075" w:type="dxa"/>
          </w:tcPr>
          <w:p w14:paraId="3F94776B" w14:textId="03C3F2EE" w:rsidR="00BB5515" w:rsidRPr="00BB5515" w:rsidRDefault="00BB5515">
            <w:pPr>
              <w:rPr>
                <w:rFonts w:ascii="Times New Roman" w:hAnsi="Times New Roman" w:cs="Times New Roman"/>
                <w:lang w:val="en-US"/>
              </w:rPr>
            </w:pPr>
            <w:r>
              <w:rPr>
                <w:rFonts w:ascii="Times New Roman" w:hAnsi="Times New Roman" w:cs="Times New Roman"/>
                <w:lang w:val="en-US"/>
              </w:rPr>
              <w:lastRenderedPageBreak/>
              <w:t xml:space="preserve">Table 2: countries adopting each anti-femicide action </w:t>
            </w:r>
          </w:p>
        </w:tc>
        <w:tc>
          <w:tcPr>
            <w:tcW w:w="851" w:type="dxa"/>
          </w:tcPr>
          <w:p w14:paraId="3DB61000" w14:textId="77777777" w:rsidR="00BB5515" w:rsidRPr="00BB5515" w:rsidRDefault="00BB5515">
            <w:pPr>
              <w:rPr>
                <w:rFonts w:ascii="Times New Roman" w:hAnsi="Times New Roman" w:cs="Times New Roman"/>
                <w:lang w:val="en-US"/>
              </w:rPr>
            </w:pPr>
          </w:p>
        </w:tc>
        <w:tc>
          <w:tcPr>
            <w:tcW w:w="850" w:type="dxa"/>
          </w:tcPr>
          <w:p w14:paraId="0C909876" w14:textId="77777777" w:rsidR="00BB5515" w:rsidRPr="00BB5515" w:rsidRDefault="00BB5515">
            <w:pPr>
              <w:rPr>
                <w:rFonts w:ascii="Times New Roman" w:hAnsi="Times New Roman" w:cs="Times New Roman"/>
                <w:lang w:val="en-US"/>
              </w:rPr>
            </w:pPr>
          </w:p>
        </w:tc>
      </w:tr>
      <w:tr w:rsidR="00BB5515" w:rsidRPr="00BB5515" w14:paraId="11C31414" w14:textId="4D83553B" w:rsidTr="00BB5515">
        <w:tc>
          <w:tcPr>
            <w:tcW w:w="8075" w:type="dxa"/>
          </w:tcPr>
          <w:p w14:paraId="4D196887" w14:textId="07552BE7" w:rsidR="00BB5515" w:rsidRPr="00BB5515" w:rsidRDefault="00BB5515">
            <w:pPr>
              <w:rPr>
                <w:rFonts w:ascii="Times New Roman" w:hAnsi="Times New Roman" w:cs="Times New Roman"/>
                <w:lang w:val="en-US"/>
              </w:rPr>
            </w:pPr>
            <w:bookmarkStart w:id="2" w:name="_Hlk100753718"/>
          </w:p>
        </w:tc>
        <w:tc>
          <w:tcPr>
            <w:tcW w:w="851" w:type="dxa"/>
          </w:tcPr>
          <w:p w14:paraId="62CBEA8E" w14:textId="480DB252" w:rsidR="00BB5515" w:rsidRPr="00BB5515" w:rsidRDefault="00BB5515">
            <w:pPr>
              <w:rPr>
                <w:rFonts w:ascii="Times New Roman" w:hAnsi="Times New Roman" w:cs="Times New Roman"/>
                <w:lang w:val="en-US"/>
              </w:rPr>
            </w:pPr>
            <w:r w:rsidRPr="00BB5515">
              <w:rPr>
                <w:rFonts w:ascii="Times New Roman" w:hAnsi="Times New Roman" w:cs="Times New Roman"/>
                <w:lang w:val="en-US"/>
              </w:rPr>
              <w:t>N</w:t>
            </w:r>
          </w:p>
        </w:tc>
        <w:tc>
          <w:tcPr>
            <w:tcW w:w="850" w:type="dxa"/>
          </w:tcPr>
          <w:p w14:paraId="43F23422" w14:textId="507EC8E8" w:rsidR="00BB5515" w:rsidRPr="00BB5515" w:rsidRDefault="00BB5515">
            <w:pPr>
              <w:rPr>
                <w:rFonts w:ascii="Times New Roman" w:hAnsi="Times New Roman" w:cs="Times New Roman"/>
                <w:lang w:val="en-US"/>
              </w:rPr>
            </w:pPr>
            <w:r w:rsidRPr="00BB5515">
              <w:rPr>
                <w:rFonts w:ascii="Times New Roman" w:hAnsi="Times New Roman" w:cs="Times New Roman"/>
                <w:lang w:val="en-US"/>
              </w:rPr>
              <w:t>%</w:t>
            </w:r>
          </w:p>
        </w:tc>
      </w:tr>
      <w:tr w:rsidR="00BB5515" w:rsidRPr="00BB5515" w14:paraId="33E35A33" w14:textId="697EBDAF" w:rsidTr="00BB5515">
        <w:tc>
          <w:tcPr>
            <w:tcW w:w="8075" w:type="dxa"/>
          </w:tcPr>
          <w:p w14:paraId="03E5F1F3" w14:textId="14559B59" w:rsidR="00BB5515" w:rsidRPr="00BB5515" w:rsidRDefault="00BB5515">
            <w:pPr>
              <w:rPr>
                <w:rFonts w:ascii="Times New Roman" w:hAnsi="Times New Roman" w:cs="Times New Roman"/>
                <w:lang w:val="en-US"/>
              </w:rPr>
            </w:pPr>
            <w:r w:rsidRPr="00BB5515">
              <w:rPr>
                <w:rFonts w:ascii="Times New Roman" w:hAnsi="Times New Roman" w:cs="Times New Roman"/>
                <w:lang w:val="en-US"/>
              </w:rPr>
              <w:t>NAP for sexual violence</w:t>
            </w:r>
          </w:p>
        </w:tc>
        <w:tc>
          <w:tcPr>
            <w:tcW w:w="851" w:type="dxa"/>
          </w:tcPr>
          <w:p w14:paraId="277FB0F9" w14:textId="240C674D"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99</w:t>
            </w:r>
          </w:p>
        </w:tc>
        <w:tc>
          <w:tcPr>
            <w:tcW w:w="850" w:type="dxa"/>
          </w:tcPr>
          <w:p w14:paraId="68B5150D" w14:textId="68E52A03"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74.4</w:t>
            </w:r>
          </w:p>
        </w:tc>
      </w:tr>
      <w:tr w:rsidR="00BB5515" w:rsidRPr="00BB5515" w14:paraId="1F9F8106" w14:textId="2F6831F5" w:rsidTr="00BB5515">
        <w:tc>
          <w:tcPr>
            <w:tcW w:w="8075" w:type="dxa"/>
          </w:tcPr>
          <w:p w14:paraId="340830E4" w14:textId="4C628838" w:rsidR="00BB5515" w:rsidRPr="00BB5515" w:rsidRDefault="00BB5515">
            <w:pPr>
              <w:rPr>
                <w:rFonts w:ascii="Times New Roman" w:hAnsi="Times New Roman" w:cs="Times New Roman"/>
                <w:lang w:val="en-US"/>
              </w:rPr>
            </w:pPr>
            <w:r w:rsidRPr="00BB5515">
              <w:rPr>
                <w:rFonts w:ascii="Times New Roman" w:hAnsi="Times New Roman" w:cs="Times New Roman"/>
                <w:lang w:val="en-US"/>
              </w:rPr>
              <w:t>NAP for IPV</w:t>
            </w:r>
          </w:p>
        </w:tc>
        <w:tc>
          <w:tcPr>
            <w:tcW w:w="851" w:type="dxa"/>
          </w:tcPr>
          <w:p w14:paraId="394876EA" w14:textId="4AF509DB"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99</w:t>
            </w:r>
          </w:p>
        </w:tc>
        <w:tc>
          <w:tcPr>
            <w:tcW w:w="850" w:type="dxa"/>
          </w:tcPr>
          <w:p w14:paraId="2C06D1EA" w14:textId="4100C95A"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74.4</w:t>
            </w:r>
          </w:p>
        </w:tc>
      </w:tr>
      <w:tr w:rsidR="00BB5515" w:rsidRPr="00BB5515" w14:paraId="36625A0E" w14:textId="06C72FFB" w:rsidTr="00BB5515">
        <w:tc>
          <w:tcPr>
            <w:tcW w:w="8075" w:type="dxa"/>
          </w:tcPr>
          <w:p w14:paraId="45259860" w14:textId="4DC34BB6" w:rsidR="00BB5515" w:rsidRPr="00BB5515" w:rsidRDefault="00BB5515">
            <w:pPr>
              <w:rPr>
                <w:rFonts w:ascii="Times New Roman" w:hAnsi="Times New Roman" w:cs="Times New Roman"/>
                <w:lang w:val="en-US"/>
              </w:rPr>
            </w:pPr>
            <w:r w:rsidRPr="00BB5515">
              <w:rPr>
                <w:rFonts w:ascii="Times New Roman" w:hAnsi="Times New Roman" w:cs="Times New Roman"/>
                <w:lang w:val="en-US"/>
              </w:rPr>
              <w:t>Victim services: medico-legal services for sexual violence</w:t>
            </w:r>
          </w:p>
        </w:tc>
        <w:tc>
          <w:tcPr>
            <w:tcW w:w="851" w:type="dxa"/>
          </w:tcPr>
          <w:p w14:paraId="4E536282" w14:textId="7A0A9A6E"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124</w:t>
            </w:r>
          </w:p>
        </w:tc>
        <w:tc>
          <w:tcPr>
            <w:tcW w:w="850" w:type="dxa"/>
          </w:tcPr>
          <w:p w14:paraId="6FF6E193" w14:textId="5F49829F"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93.2</w:t>
            </w:r>
          </w:p>
        </w:tc>
      </w:tr>
      <w:tr w:rsidR="00BB5515" w:rsidRPr="00BB5515" w14:paraId="2B6CA39B" w14:textId="62B7FAD8" w:rsidTr="00BB5515">
        <w:tc>
          <w:tcPr>
            <w:tcW w:w="8075" w:type="dxa"/>
          </w:tcPr>
          <w:p w14:paraId="76258A3F" w14:textId="6D5BA37C" w:rsidR="00BB5515" w:rsidRPr="00BB5515" w:rsidRDefault="00BB5515">
            <w:pPr>
              <w:rPr>
                <w:rFonts w:ascii="Times New Roman" w:hAnsi="Times New Roman" w:cs="Times New Roman"/>
                <w:lang w:val="en-US"/>
              </w:rPr>
            </w:pPr>
            <w:r w:rsidRPr="00BB5515">
              <w:rPr>
                <w:rFonts w:ascii="Times New Roman" w:hAnsi="Times New Roman" w:cs="Times New Roman"/>
                <w:lang w:val="en-US"/>
              </w:rPr>
              <w:t>Programme for dating violence prevention in schools</w:t>
            </w:r>
          </w:p>
        </w:tc>
        <w:tc>
          <w:tcPr>
            <w:tcW w:w="851" w:type="dxa"/>
          </w:tcPr>
          <w:p w14:paraId="193597D0" w14:textId="453FB8DC"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70</w:t>
            </w:r>
          </w:p>
        </w:tc>
        <w:tc>
          <w:tcPr>
            <w:tcW w:w="850" w:type="dxa"/>
          </w:tcPr>
          <w:p w14:paraId="380DC308" w14:textId="79870E95"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52.6</w:t>
            </w:r>
          </w:p>
        </w:tc>
      </w:tr>
      <w:tr w:rsidR="00BB5515" w:rsidRPr="00BB5515" w14:paraId="75C93B8B" w14:textId="100BA5A5" w:rsidTr="00BB5515">
        <w:tc>
          <w:tcPr>
            <w:tcW w:w="8075" w:type="dxa"/>
          </w:tcPr>
          <w:p w14:paraId="01CD4622" w14:textId="15EDF811" w:rsidR="00BB5515" w:rsidRPr="00BB5515" w:rsidRDefault="00BB5515">
            <w:pPr>
              <w:rPr>
                <w:rFonts w:ascii="Times New Roman" w:hAnsi="Times New Roman" w:cs="Times New Roman"/>
                <w:lang w:val="en-US"/>
              </w:rPr>
            </w:pPr>
            <w:r w:rsidRPr="00BB5515">
              <w:rPr>
                <w:rFonts w:ascii="Times New Roman" w:hAnsi="Times New Roman" w:cs="Times New Roman"/>
                <w:lang w:val="en-US"/>
              </w:rPr>
              <w:t>Programme for microfinance and gender equity training</w:t>
            </w:r>
          </w:p>
        </w:tc>
        <w:tc>
          <w:tcPr>
            <w:tcW w:w="851" w:type="dxa"/>
          </w:tcPr>
          <w:p w14:paraId="3B084225" w14:textId="21F6BEFB"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77</w:t>
            </w:r>
          </w:p>
        </w:tc>
        <w:tc>
          <w:tcPr>
            <w:tcW w:w="850" w:type="dxa"/>
          </w:tcPr>
          <w:p w14:paraId="46DE5D56" w14:textId="29843908"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57.9</w:t>
            </w:r>
          </w:p>
        </w:tc>
      </w:tr>
      <w:tr w:rsidR="00BB5515" w:rsidRPr="00BB5515" w14:paraId="732C65EE" w14:textId="559C20BA" w:rsidTr="00BB5515">
        <w:tc>
          <w:tcPr>
            <w:tcW w:w="8075" w:type="dxa"/>
          </w:tcPr>
          <w:p w14:paraId="43FE2F2B" w14:textId="2506F808" w:rsidR="00BB5515" w:rsidRPr="00BB5515" w:rsidRDefault="00BB5515">
            <w:pPr>
              <w:rPr>
                <w:rFonts w:ascii="Times New Roman" w:hAnsi="Times New Roman" w:cs="Times New Roman"/>
                <w:lang w:val="en-US"/>
              </w:rPr>
            </w:pPr>
            <w:r w:rsidRPr="00BB5515">
              <w:rPr>
                <w:rFonts w:ascii="Times New Roman" w:hAnsi="Times New Roman" w:cs="Times New Roman"/>
                <w:lang w:val="en-US"/>
              </w:rPr>
              <w:t>Programme for social and cultural norms change – IPV</w:t>
            </w:r>
          </w:p>
        </w:tc>
        <w:tc>
          <w:tcPr>
            <w:tcW w:w="851" w:type="dxa"/>
          </w:tcPr>
          <w:p w14:paraId="09645F37" w14:textId="30A48134"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116</w:t>
            </w:r>
          </w:p>
        </w:tc>
        <w:tc>
          <w:tcPr>
            <w:tcW w:w="850" w:type="dxa"/>
          </w:tcPr>
          <w:p w14:paraId="6AA5653E" w14:textId="28B4974C"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87.2</w:t>
            </w:r>
          </w:p>
        </w:tc>
      </w:tr>
      <w:tr w:rsidR="00BB5515" w:rsidRPr="00BB5515" w14:paraId="1DD106D2" w14:textId="62CEBD92" w:rsidTr="00BB5515">
        <w:tc>
          <w:tcPr>
            <w:tcW w:w="8075" w:type="dxa"/>
          </w:tcPr>
          <w:p w14:paraId="094F50BA" w14:textId="2FB6FB6C" w:rsidR="00BB5515" w:rsidRPr="00BB5515" w:rsidRDefault="00BB5515">
            <w:pPr>
              <w:rPr>
                <w:rFonts w:ascii="Times New Roman" w:hAnsi="Times New Roman" w:cs="Times New Roman"/>
                <w:lang w:val="en-US"/>
              </w:rPr>
            </w:pPr>
            <w:r w:rsidRPr="00BB5515">
              <w:rPr>
                <w:rFonts w:ascii="Times New Roman" w:hAnsi="Times New Roman" w:cs="Times New Roman"/>
                <w:lang w:val="en-US"/>
              </w:rPr>
              <w:t xml:space="preserve">Programme for school and college – sexual violence prevention </w:t>
            </w:r>
          </w:p>
        </w:tc>
        <w:tc>
          <w:tcPr>
            <w:tcW w:w="851" w:type="dxa"/>
          </w:tcPr>
          <w:p w14:paraId="42D8AD63" w14:textId="1CA6CFAC"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107</w:t>
            </w:r>
          </w:p>
        </w:tc>
        <w:tc>
          <w:tcPr>
            <w:tcW w:w="850" w:type="dxa"/>
          </w:tcPr>
          <w:p w14:paraId="0D808330" w14:textId="31D9805A"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80.5</w:t>
            </w:r>
          </w:p>
        </w:tc>
      </w:tr>
      <w:tr w:rsidR="00BB5515" w:rsidRPr="00BB5515" w14:paraId="071B4F13" w14:textId="578E3D0C" w:rsidTr="00BB5515">
        <w:tc>
          <w:tcPr>
            <w:tcW w:w="8075" w:type="dxa"/>
          </w:tcPr>
          <w:p w14:paraId="76FF586A" w14:textId="2AB0CA17" w:rsidR="00BB5515" w:rsidRPr="00BB5515" w:rsidRDefault="00BB5515">
            <w:pPr>
              <w:rPr>
                <w:rFonts w:ascii="Times New Roman" w:hAnsi="Times New Roman" w:cs="Times New Roman"/>
                <w:lang w:val="en-US"/>
              </w:rPr>
            </w:pPr>
            <w:r w:rsidRPr="00BB5515">
              <w:rPr>
                <w:rFonts w:ascii="Times New Roman" w:hAnsi="Times New Roman" w:cs="Times New Roman"/>
                <w:lang w:val="en-US"/>
              </w:rPr>
              <w:t>Programme for physical environment change</w:t>
            </w:r>
          </w:p>
        </w:tc>
        <w:tc>
          <w:tcPr>
            <w:tcW w:w="851" w:type="dxa"/>
          </w:tcPr>
          <w:p w14:paraId="3CEFC834" w14:textId="19A05834"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99</w:t>
            </w:r>
          </w:p>
        </w:tc>
        <w:tc>
          <w:tcPr>
            <w:tcW w:w="850" w:type="dxa"/>
          </w:tcPr>
          <w:p w14:paraId="55E049BB" w14:textId="780DD493"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74.4</w:t>
            </w:r>
          </w:p>
        </w:tc>
      </w:tr>
      <w:tr w:rsidR="00BB5515" w:rsidRPr="00BB5515" w14:paraId="3316E890" w14:textId="61E11C44" w:rsidTr="00BB5515">
        <w:tc>
          <w:tcPr>
            <w:tcW w:w="8075" w:type="dxa"/>
          </w:tcPr>
          <w:p w14:paraId="3DB54B24" w14:textId="31384AF9" w:rsidR="00BB5515" w:rsidRPr="00BB5515" w:rsidRDefault="00BB5515">
            <w:pPr>
              <w:rPr>
                <w:rFonts w:ascii="Times New Roman" w:hAnsi="Times New Roman" w:cs="Times New Roman"/>
                <w:lang w:val="en-US"/>
              </w:rPr>
            </w:pPr>
            <w:r w:rsidRPr="00BB5515">
              <w:rPr>
                <w:rFonts w:ascii="Times New Roman" w:hAnsi="Times New Roman" w:cs="Times New Roman"/>
                <w:lang w:val="en-US"/>
              </w:rPr>
              <w:t>Programme for social and cultural norms change – sexual violence</w:t>
            </w:r>
          </w:p>
        </w:tc>
        <w:tc>
          <w:tcPr>
            <w:tcW w:w="851" w:type="dxa"/>
          </w:tcPr>
          <w:p w14:paraId="6F10899A" w14:textId="2BE2388C"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118</w:t>
            </w:r>
          </w:p>
        </w:tc>
        <w:tc>
          <w:tcPr>
            <w:tcW w:w="850" w:type="dxa"/>
          </w:tcPr>
          <w:p w14:paraId="687BDDDE" w14:textId="6FA49516"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88.7</w:t>
            </w:r>
          </w:p>
        </w:tc>
      </w:tr>
      <w:tr w:rsidR="00BB5515" w:rsidRPr="00BB5515" w14:paraId="496274BA" w14:textId="4ED173DF" w:rsidTr="00BB5515">
        <w:tc>
          <w:tcPr>
            <w:tcW w:w="8075" w:type="dxa"/>
          </w:tcPr>
          <w:p w14:paraId="10E4BA0D" w14:textId="323AD2FA" w:rsidR="00BB5515" w:rsidRPr="00BB5515" w:rsidRDefault="00BB5515">
            <w:pPr>
              <w:rPr>
                <w:rFonts w:ascii="Times New Roman" w:hAnsi="Times New Roman" w:cs="Times New Roman"/>
                <w:lang w:val="en-US"/>
              </w:rPr>
            </w:pPr>
            <w:r w:rsidRPr="00BB5515">
              <w:rPr>
                <w:rFonts w:ascii="Times New Roman" w:hAnsi="Times New Roman" w:cs="Times New Roman"/>
                <w:lang w:val="en-US"/>
              </w:rPr>
              <w:t>Law against child marriage</w:t>
            </w:r>
          </w:p>
        </w:tc>
        <w:tc>
          <w:tcPr>
            <w:tcW w:w="851" w:type="dxa"/>
          </w:tcPr>
          <w:p w14:paraId="31C2411E" w14:textId="043D6712"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120</w:t>
            </w:r>
          </w:p>
        </w:tc>
        <w:tc>
          <w:tcPr>
            <w:tcW w:w="850" w:type="dxa"/>
          </w:tcPr>
          <w:p w14:paraId="0448DED0" w14:textId="674F944A"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90.2</w:t>
            </w:r>
          </w:p>
        </w:tc>
      </w:tr>
      <w:tr w:rsidR="00BB5515" w:rsidRPr="00BB5515" w14:paraId="2925CDD0" w14:textId="2D095DDD" w:rsidTr="00BB5515">
        <w:tc>
          <w:tcPr>
            <w:tcW w:w="8075" w:type="dxa"/>
          </w:tcPr>
          <w:p w14:paraId="6124D251" w14:textId="12DC9995" w:rsidR="00BB5515" w:rsidRPr="00BB5515" w:rsidRDefault="00BB5515">
            <w:pPr>
              <w:rPr>
                <w:rFonts w:ascii="Times New Roman" w:hAnsi="Times New Roman" w:cs="Times New Roman"/>
                <w:lang w:val="en-US"/>
              </w:rPr>
            </w:pPr>
            <w:r w:rsidRPr="00BB5515">
              <w:rPr>
                <w:rFonts w:ascii="Times New Roman" w:hAnsi="Times New Roman" w:cs="Times New Roman"/>
                <w:lang w:val="en-US"/>
              </w:rPr>
              <w:t>Law against statutory rape</w:t>
            </w:r>
          </w:p>
        </w:tc>
        <w:tc>
          <w:tcPr>
            <w:tcW w:w="851" w:type="dxa"/>
          </w:tcPr>
          <w:p w14:paraId="5CA569F5" w14:textId="36ED08E2"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132</w:t>
            </w:r>
          </w:p>
        </w:tc>
        <w:tc>
          <w:tcPr>
            <w:tcW w:w="850" w:type="dxa"/>
          </w:tcPr>
          <w:p w14:paraId="50DEB17F" w14:textId="13367E0A"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99.2</w:t>
            </w:r>
          </w:p>
        </w:tc>
      </w:tr>
      <w:tr w:rsidR="00BB5515" w:rsidRPr="00BB5515" w14:paraId="38C59296" w14:textId="76F975E6" w:rsidTr="00BB5515">
        <w:tc>
          <w:tcPr>
            <w:tcW w:w="8075" w:type="dxa"/>
          </w:tcPr>
          <w:p w14:paraId="2A555D0F" w14:textId="28616851" w:rsidR="00BB5515" w:rsidRPr="00BB5515" w:rsidRDefault="00BB5515">
            <w:pPr>
              <w:rPr>
                <w:rFonts w:ascii="Times New Roman" w:hAnsi="Times New Roman" w:cs="Times New Roman"/>
                <w:lang w:val="en-US"/>
              </w:rPr>
            </w:pPr>
            <w:r w:rsidRPr="00BB5515">
              <w:rPr>
                <w:rFonts w:ascii="Times New Roman" w:hAnsi="Times New Roman" w:cs="Times New Roman"/>
                <w:lang w:val="en-US"/>
              </w:rPr>
              <w:t>Law against female genital mutilation</w:t>
            </w:r>
          </w:p>
        </w:tc>
        <w:tc>
          <w:tcPr>
            <w:tcW w:w="851" w:type="dxa"/>
          </w:tcPr>
          <w:p w14:paraId="27DFE0A4" w14:textId="5CDC4BD1"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67</w:t>
            </w:r>
          </w:p>
        </w:tc>
        <w:tc>
          <w:tcPr>
            <w:tcW w:w="850" w:type="dxa"/>
          </w:tcPr>
          <w:p w14:paraId="52B9C566" w14:textId="60381FA4"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50.4</w:t>
            </w:r>
          </w:p>
        </w:tc>
      </w:tr>
      <w:tr w:rsidR="00BB5515" w:rsidRPr="00BB5515" w14:paraId="7284C58F" w14:textId="637EA831" w:rsidTr="00BB5515">
        <w:tc>
          <w:tcPr>
            <w:tcW w:w="8075" w:type="dxa"/>
          </w:tcPr>
          <w:p w14:paraId="0E9550FF" w14:textId="66CA521D" w:rsidR="00BB5515" w:rsidRPr="00BB5515" w:rsidRDefault="00BB5515">
            <w:pPr>
              <w:rPr>
                <w:rFonts w:ascii="Times New Roman" w:hAnsi="Times New Roman" w:cs="Times New Roman"/>
                <w:lang w:val="en-US"/>
              </w:rPr>
            </w:pPr>
            <w:r w:rsidRPr="00BB5515">
              <w:rPr>
                <w:rFonts w:ascii="Times New Roman" w:hAnsi="Times New Roman" w:cs="Times New Roman"/>
                <w:lang w:val="en-US"/>
              </w:rPr>
              <w:t>Law against rape in marriage</w:t>
            </w:r>
          </w:p>
        </w:tc>
        <w:tc>
          <w:tcPr>
            <w:tcW w:w="851" w:type="dxa"/>
          </w:tcPr>
          <w:p w14:paraId="11510B93" w14:textId="3F838087"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91</w:t>
            </w:r>
          </w:p>
        </w:tc>
        <w:tc>
          <w:tcPr>
            <w:tcW w:w="850" w:type="dxa"/>
          </w:tcPr>
          <w:p w14:paraId="6D35BE12" w14:textId="2D0D6B0F"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68.4</w:t>
            </w:r>
          </w:p>
        </w:tc>
      </w:tr>
      <w:tr w:rsidR="00BB5515" w:rsidRPr="00BB5515" w14:paraId="600D9584" w14:textId="6D378C56" w:rsidTr="00BB5515">
        <w:tc>
          <w:tcPr>
            <w:tcW w:w="8075" w:type="dxa"/>
          </w:tcPr>
          <w:p w14:paraId="6A9BF017" w14:textId="0D28646B" w:rsidR="00BB5515" w:rsidRPr="00BB5515" w:rsidRDefault="00BB5515">
            <w:pPr>
              <w:rPr>
                <w:rFonts w:ascii="Times New Roman" w:hAnsi="Times New Roman" w:cs="Times New Roman"/>
                <w:lang w:val="en-US"/>
              </w:rPr>
            </w:pPr>
            <w:r w:rsidRPr="00BB5515">
              <w:rPr>
                <w:rFonts w:ascii="Times New Roman" w:hAnsi="Times New Roman" w:cs="Times New Roman"/>
                <w:lang w:val="en-US"/>
              </w:rPr>
              <w:t>Law allowing removal of violent spouse from home</w:t>
            </w:r>
          </w:p>
        </w:tc>
        <w:tc>
          <w:tcPr>
            <w:tcW w:w="851" w:type="dxa"/>
          </w:tcPr>
          <w:p w14:paraId="7B5686FB" w14:textId="19589B0A"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96</w:t>
            </w:r>
          </w:p>
        </w:tc>
        <w:tc>
          <w:tcPr>
            <w:tcW w:w="850" w:type="dxa"/>
          </w:tcPr>
          <w:p w14:paraId="41854937" w14:textId="6091527F"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72.2</w:t>
            </w:r>
          </w:p>
        </w:tc>
      </w:tr>
      <w:tr w:rsidR="00BB5515" w:rsidRPr="00BB5515" w14:paraId="5E08B2EF" w14:textId="0158B3CA" w:rsidTr="00BB5515">
        <w:tc>
          <w:tcPr>
            <w:tcW w:w="8075" w:type="dxa"/>
          </w:tcPr>
          <w:p w14:paraId="042DCA70" w14:textId="1801955D" w:rsidR="00BB5515" w:rsidRPr="00BB5515" w:rsidRDefault="00BB5515">
            <w:pPr>
              <w:rPr>
                <w:rFonts w:ascii="Times New Roman" w:hAnsi="Times New Roman" w:cs="Times New Roman"/>
                <w:lang w:val="en-US"/>
              </w:rPr>
            </w:pPr>
            <w:r w:rsidRPr="00BB5515">
              <w:rPr>
                <w:rFonts w:ascii="Times New Roman" w:hAnsi="Times New Roman" w:cs="Times New Roman"/>
                <w:lang w:val="en-US"/>
              </w:rPr>
              <w:t>Law against rape</w:t>
            </w:r>
          </w:p>
        </w:tc>
        <w:tc>
          <w:tcPr>
            <w:tcW w:w="851" w:type="dxa"/>
          </w:tcPr>
          <w:p w14:paraId="6BBBEA39" w14:textId="6DC01ED2"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131</w:t>
            </w:r>
          </w:p>
        </w:tc>
        <w:tc>
          <w:tcPr>
            <w:tcW w:w="850" w:type="dxa"/>
          </w:tcPr>
          <w:p w14:paraId="23158E1C" w14:textId="1CDD131F"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98.5</w:t>
            </w:r>
          </w:p>
        </w:tc>
      </w:tr>
      <w:tr w:rsidR="00BB5515" w:rsidRPr="00BB5515" w14:paraId="52C03271" w14:textId="72A7899E" w:rsidTr="00BB5515">
        <w:tc>
          <w:tcPr>
            <w:tcW w:w="8075" w:type="dxa"/>
          </w:tcPr>
          <w:p w14:paraId="0EC5714A" w14:textId="6610FBB7" w:rsidR="00BB5515" w:rsidRPr="00BB5515" w:rsidRDefault="00BB5515">
            <w:pPr>
              <w:rPr>
                <w:rFonts w:ascii="Times New Roman" w:hAnsi="Times New Roman" w:cs="Times New Roman"/>
                <w:lang w:val="en-US"/>
              </w:rPr>
            </w:pPr>
            <w:r w:rsidRPr="00BB5515">
              <w:rPr>
                <w:rFonts w:ascii="Times New Roman" w:hAnsi="Times New Roman" w:cs="Times New Roman"/>
                <w:lang w:val="en-US"/>
              </w:rPr>
              <w:t>Law against contact sexual violence without rape</w:t>
            </w:r>
          </w:p>
        </w:tc>
        <w:tc>
          <w:tcPr>
            <w:tcW w:w="851" w:type="dxa"/>
          </w:tcPr>
          <w:p w14:paraId="4797DE07" w14:textId="51391012"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126</w:t>
            </w:r>
          </w:p>
        </w:tc>
        <w:tc>
          <w:tcPr>
            <w:tcW w:w="850" w:type="dxa"/>
          </w:tcPr>
          <w:p w14:paraId="282D8A96" w14:textId="378CA426"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94.7</w:t>
            </w:r>
          </w:p>
        </w:tc>
      </w:tr>
      <w:tr w:rsidR="00BB5515" w:rsidRPr="00BB5515" w14:paraId="142790D0" w14:textId="54C61BD9" w:rsidTr="00BB5515">
        <w:tc>
          <w:tcPr>
            <w:tcW w:w="8075" w:type="dxa"/>
          </w:tcPr>
          <w:p w14:paraId="325C04B9" w14:textId="209B45FA" w:rsidR="00BB5515" w:rsidRPr="00BB5515" w:rsidRDefault="00BB5515">
            <w:pPr>
              <w:rPr>
                <w:rFonts w:ascii="Times New Roman" w:hAnsi="Times New Roman" w:cs="Times New Roman"/>
                <w:lang w:val="en-US"/>
              </w:rPr>
            </w:pPr>
            <w:r w:rsidRPr="00BB5515">
              <w:rPr>
                <w:rFonts w:ascii="Times New Roman" w:hAnsi="Times New Roman" w:cs="Times New Roman"/>
                <w:lang w:val="en-US"/>
              </w:rPr>
              <w:t>Law against non-contact sexual violence</w:t>
            </w:r>
          </w:p>
        </w:tc>
        <w:tc>
          <w:tcPr>
            <w:tcW w:w="851" w:type="dxa"/>
          </w:tcPr>
          <w:p w14:paraId="0F2E07B9" w14:textId="4B29DE03"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118</w:t>
            </w:r>
          </w:p>
        </w:tc>
        <w:tc>
          <w:tcPr>
            <w:tcW w:w="850" w:type="dxa"/>
          </w:tcPr>
          <w:p w14:paraId="73EB07DD" w14:textId="1AE82F23" w:rsidR="00BB5515" w:rsidRPr="00BB5515" w:rsidRDefault="00BB5515" w:rsidP="004D54CE">
            <w:pPr>
              <w:jc w:val="right"/>
              <w:rPr>
                <w:rFonts w:ascii="Times New Roman" w:hAnsi="Times New Roman" w:cs="Times New Roman"/>
                <w:lang w:val="en-US"/>
              </w:rPr>
            </w:pPr>
            <w:r w:rsidRPr="00BB5515">
              <w:rPr>
                <w:rFonts w:ascii="Times New Roman" w:hAnsi="Times New Roman" w:cs="Times New Roman"/>
                <w:lang w:val="en-US"/>
              </w:rPr>
              <w:t>88.7</w:t>
            </w:r>
          </w:p>
        </w:tc>
      </w:tr>
      <w:bookmarkEnd w:id="2"/>
    </w:tbl>
    <w:p w14:paraId="17DB7B2A" w14:textId="737A4140" w:rsidR="009A6FB1" w:rsidRDefault="009A6FB1">
      <w:pPr>
        <w:rPr>
          <w:lang w:val="en-US"/>
        </w:rPr>
      </w:pPr>
    </w:p>
    <w:p w14:paraId="6B184883" w14:textId="77777777" w:rsidR="007A6C3A" w:rsidRPr="007A6C3A" w:rsidRDefault="007A6C3A" w:rsidP="007A6C3A"/>
    <w:p w14:paraId="1C3E6529" w14:textId="77777777" w:rsidR="007A6C3A" w:rsidRPr="007A6C3A" w:rsidRDefault="007A6C3A" w:rsidP="007A6C3A">
      <w:pPr>
        <w:rPr>
          <w:lang w:val="en-US"/>
        </w:rPr>
      </w:pPr>
    </w:p>
    <w:p w14:paraId="3426379A" w14:textId="77777777" w:rsidR="009A6FB1" w:rsidRDefault="009A6FB1">
      <w:pPr>
        <w:rPr>
          <w:lang w:val="en-US"/>
        </w:rPr>
      </w:pPr>
      <w:r>
        <w:rPr>
          <w:lang w:val="en-US"/>
        </w:rPr>
        <w:br w:type="page"/>
      </w:r>
    </w:p>
    <w:p w14:paraId="6FB7A678" w14:textId="77777777" w:rsidR="00C25C1C" w:rsidRDefault="00C25C1C">
      <w:pPr>
        <w:rPr>
          <w:lang w:val="en-US"/>
        </w:rPr>
      </w:pPr>
    </w:p>
    <w:p w14:paraId="575ADAC6" w14:textId="77777777" w:rsidR="00C25C1C" w:rsidRDefault="00C25C1C" w:rsidP="00C25C1C">
      <w:pPr>
        <w:rPr>
          <w:lang w:val="en-US"/>
        </w:rPr>
      </w:pPr>
    </w:p>
    <w:p w14:paraId="661BC221" w14:textId="77777777" w:rsidR="003126F4" w:rsidRPr="003126F4" w:rsidRDefault="007356C6" w:rsidP="003126F4">
      <w:pPr>
        <w:pStyle w:val="EndNoteBibliography"/>
        <w:spacing w:after="240"/>
      </w:pPr>
      <w:r w:rsidRPr="003126F4">
        <w:fldChar w:fldCharType="begin"/>
      </w:r>
      <w:r w:rsidRPr="003126F4">
        <w:instrText xml:space="preserve"> ADDIN EN.REFLIST </w:instrText>
      </w:r>
      <w:r w:rsidRPr="003126F4">
        <w:fldChar w:fldCharType="separate"/>
      </w:r>
      <w:r w:rsidR="003126F4" w:rsidRPr="003126F4">
        <w:t xml:space="preserve">Abrahams, N., S. Mathews, L. J. Martin, C. Lombard and R. Jewkes (2013). "Intimate Partner Femicide in South Africa in 1999 and 2009." </w:t>
      </w:r>
      <w:r w:rsidR="003126F4" w:rsidRPr="003126F4">
        <w:rPr>
          <w:u w:val="single"/>
        </w:rPr>
        <w:t>PLOS Medicine</w:t>
      </w:r>
      <w:r w:rsidR="003126F4" w:rsidRPr="003126F4">
        <w:t xml:space="preserve"> </w:t>
      </w:r>
      <w:r w:rsidR="003126F4" w:rsidRPr="003126F4">
        <w:rPr>
          <w:b/>
        </w:rPr>
        <w:t>10</w:t>
      </w:r>
      <w:r w:rsidR="003126F4" w:rsidRPr="003126F4">
        <w:t>(4): e1001412.</w:t>
      </w:r>
    </w:p>
    <w:p w14:paraId="5F3CEB30" w14:textId="77777777" w:rsidR="003126F4" w:rsidRPr="003126F4" w:rsidRDefault="003126F4" w:rsidP="003126F4">
      <w:pPr>
        <w:pStyle w:val="EndNoteBibliography"/>
        <w:spacing w:after="240"/>
      </w:pPr>
      <w:r w:rsidRPr="003126F4">
        <w:t xml:space="preserve">Bourey, C., W. Williams, E. E. Bernstein and R. Stephenson (2015). "Systematic review of structural interventions for intimate partner violence in low- and middle-income countries: organizing evidence for prevention." </w:t>
      </w:r>
      <w:r w:rsidRPr="003126F4">
        <w:rPr>
          <w:u w:val="single"/>
        </w:rPr>
        <w:t>BMC Public Health</w:t>
      </w:r>
      <w:r w:rsidRPr="003126F4">
        <w:t xml:space="preserve"> </w:t>
      </w:r>
      <w:r w:rsidRPr="003126F4">
        <w:rPr>
          <w:b/>
        </w:rPr>
        <w:t>15</w:t>
      </w:r>
      <w:r w:rsidRPr="003126F4">
        <w:t>(1): 1165.</w:t>
      </w:r>
    </w:p>
    <w:p w14:paraId="2288C719" w14:textId="77777777" w:rsidR="003126F4" w:rsidRPr="003126F4" w:rsidRDefault="003126F4" w:rsidP="003126F4">
      <w:pPr>
        <w:pStyle w:val="EndNoteBibliography"/>
        <w:spacing w:after="240"/>
      </w:pPr>
      <w:r w:rsidRPr="003126F4">
        <w:t xml:space="preserve">Corradi, C., C. Marcuello-Servós, S. Boira and S. Weil (2016). "Theories of femicide and their significance for social research." </w:t>
      </w:r>
      <w:r w:rsidRPr="003126F4">
        <w:rPr>
          <w:u w:val="single"/>
        </w:rPr>
        <w:t>Current Sociology</w:t>
      </w:r>
      <w:r w:rsidRPr="003126F4">
        <w:t xml:space="preserve"> </w:t>
      </w:r>
      <w:r w:rsidRPr="003126F4">
        <w:rPr>
          <w:b/>
        </w:rPr>
        <w:t>64</w:t>
      </w:r>
      <w:r w:rsidRPr="003126F4">
        <w:t>(7): 975-995.</w:t>
      </w:r>
    </w:p>
    <w:p w14:paraId="64598F13" w14:textId="77777777" w:rsidR="003126F4" w:rsidRPr="003126F4" w:rsidRDefault="003126F4" w:rsidP="003126F4">
      <w:pPr>
        <w:pStyle w:val="EndNoteBibliography"/>
        <w:spacing w:after="240"/>
      </w:pPr>
      <w:r w:rsidRPr="003126F4">
        <w:t xml:space="preserve">Dawson, M. and M. Carrigan (2021). "Identifying femicide locally and globally: Understanding the utility and accessibility of sex/gender-related motives and indicators." </w:t>
      </w:r>
      <w:r w:rsidRPr="003126F4">
        <w:rPr>
          <w:u w:val="single"/>
        </w:rPr>
        <w:t>Current Sociology</w:t>
      </w:r>
      <w:r w:rsidRPr="003126F4">
        <w:t xml:space="preserve"> </w:t>
      </w:r>
      <w:r w:rsidRPr="003126F4">
        <w:rPr>
          <w:b/>
        </w:rPr>
        <w:t>69</w:t>
      </w:r>
      <w:r w:rsidRPr="003126F4">
        <w:t>(5): 682-704.</w:t>
      </w:r>
    </w:p>
    <w:p w14:paraId="6077A150" w14:textId="77777777" w:rsidR="003126F4" w:rsidRPr="0014753E" w:rsidRDefault="003126F4" w:rsidP="003126F4">
      <w:pPr>
        <w:pStyle w:val="EndNoteBibliography"/>
        <w:spacing w:after="240"/>
        <w:rPr>
          <w:lang w:val="es-ES"/>
        </w:rPr>
      </w:pPr>
      <w:r w:rsidRPr="003126F4">
        <w:t xml:space="preserve">Ferguson, C. J. and S. Smith (2021). "Examining homicides and suicides cross-nationally: Economic factors, guns and video games." </w:t>
      </w:r>
      <w:r w:rsidRPr="0014753E">
        <w:rPr>
          <w:u w:val="single"/>
          <w:lang w:val="es-ES"/>
        </w:rPr>
        <w:t>International Journal of Psychology</w:t>
      </w:r>
      <w:r w:rsidRPr="0014753E">
        <w:rPr>
          <w:lang w:val="es-ES"/>
        </w:rPr>
        <w:t xml:space="preserve"> </w:t>
      </w:r>
      <w:r w:rsidRPr="0014753E">
        <w:rPr>
          <w:b/>
          <w:lang w:val="es-ES"/>
        </w:rPr>
        <w:t>56</w:t>
      </w:r>
      <w:r w:rsidRPr="0014753E">
        <w:rPr>
          <w:lang w:val="es-ES"/>
        </w:rPr>
        <w:t>(5): 812-823.</w:t>
      </w:r>
    </w:p>
    <w:p w14:paraId="35E8B017" w14:textId="77777777" w:rsidR="003126F4" w:rsidRPr="003126F4" w:rsidRDefault="003126F4" w:rsidP="003126F4">
      <w:pPr>
        <w:pStyle w:val="EndNoteBibliography"/>
        <w:spacing w:after="240"/>
      </w:pPr>
      <w:r w:rsidRPr="0014753E">
        <w:rPr>
          <w:lang w:val="es-ES"/>
        </w:rPr>
        <w:t xml:space="preserve">Garcia-Vergara, E., N. Almeda, B. Martín Ríos, D. Becerra-Alonso and F. Fernández-Navarro (2022). </w:t>
      </w:r>
      <w:r w:rsidRPr="003126F4">
        <w:t xml:space="preserve">"A Comprehensive Analysis of Factors Associated with Intimate Partner Femicide: A Systematic Review." </w:t>
      </w:r>
      <w:r w:rsidRPr="003126F4">
        <w:rPr>
          <w:u w:val="single"/>
        </w:rPr>
        <w:t>International Journal of Environmental Research and Public Health</w:t>
      </w:r>
      <w:r w:rsidRPr="003126F4">
        <w:t xml:space="preserve"> </w:t>
      </w:r>
      <w:r w:rsidRPr="003126F4">
        <w:rPr>
          <w:b/>
        </w:rPr>
        <w:t>19</w:t>
      </w:r>
      <w:r w:rsidRPr="003126F4">
        <w:t>(12): 7336.</w:t>
      </w:r>
    </w:p>
    <w:p w14:paraId="53726FAC" w14:textId="77777777" w:rsidR="003126F4" w:rsidRPr="0014753E" w:rsidRDefault="003126F4" w:rsidP="003126F4">
      <w:pPr>
        <w:pStyle w:val="EndNoteBibliography"/>
        <w:spacing w:after="240"/>
        <w:rPr>
          <w:lang w:val="es-ES"/>
        </w:rPr>
      </w:pPr>
      <w:r w:rsidRPr="003126F4">
        <w:t xml:space="preserve">Jewkes, R., A. Gibbs, N. Jama-Shai, S. Willan, A. Misselhorn, M. Mushinga, L. Washington, N. Mbatha and Y. Skiweyiya (2014). "Stepping Stones and Creating Futures intervention: shortened interrupted time series evaluation of a behavioural and structural health promotion and violence prevention intervention for young people in informal settlements in Durban, South Africa." </w:t>
      </w:r>
      <w:r w:rsidRPr="0014753E">
        <w:rPr>
          <w:u w:val="single"/>
          <w:lang w:val="es-ES"/>
        </w:rPr>
        <w:t>BMC Public Health</w:t>
      </w:r>
      <w:r w:rsidRPr="0014753E">
        <w:rPr>
          <w:lang w:val="es-ES"/>
        </w:rPr>
        <w:t xml:space="preserve"> </w:t>
      </w:r>
      <w:r w:rsidRPr="0014753E">
        <w:rPr>
          <w:b/>
          <w:lang w:val="es-ES"/>
        </w:rPr>
        <w:t>14</w:t>
      </w:r>
      <w:r w:rsidRPr="0014753E">
        <w:rPr>
          <w:lang w:val="es-ES"/>
        </w:rPr>
        <w:t>(1): 1325.</w:t>
      </w:r>
    </w:p>
    <w:p w14:paraId="78D0386C" w14:textId="77777777" w:rsidR="003126F4" w:rsidRPr="0014753E" w:rsidRDefault="003126F4" w:rsidP="003126F4">
      <w:pPr>
        <w:pStyle w:val="EndNoteBibliography"/>
        <w:spacing w:after="240"/>
        <w:rPr>
          <w:lang w:val="es-ES"/>
        </w:rPr>
      </w:pPr>
      <w:r w:rsidRPr="0014753E">
        <w:rPr>
          <w:lang w:val="es-ES"/>
        </w:rPr>
        <w:t xml:space="preserve">Luque González, A., A. B. Apunte Guerra, J. E. Robles Briones, J. Á. Coronado Martín and J. C. Morales-Intriago (2022). </w:t>
      </w:r>
      <w:r w:rsidRPr="003126F4">
        <w:t xml:space="preserve">Analysis of the Concept of Femicide: A Study of 102 Concepts. </w:t>
      </w:r>
      <w:r w:rsidRPr="003126F4">
        <w:rPr>
          <w:u w:val="single"/>
        </w:rPr>
        <w:t>Handbook of Research on Digital Violence and Discrimination Studies</w:t>
      </w:r>
      <w:r w:rsidRPr="003126F4">
        <w:t xml:space="preserve">. F. Özsungur. </w:t>
      </w:r>
      <w:r w:rsidRPr="0014753E">
        <w:rPr>
          <w:lang w:val="es-ES"/>
        </w:rPr>
        <w:t>Hershey, PA, USA, IGI Global</w:t>
      </w:r>
      <w:r w:rsidRPr="0014753E">
        <w:rPr>
          <w:b/>
          <w:lang w:val="es-ES"/>
        </w:rPr>
        <w:t xml:space="preserve">: </w:t>
      </w:r>
      <w:r w:rsidRPr="0014753E">
        <w:rPr>
          <w:lang w:val="es-ES"/>
        </w:rPr>
        <w:t>44-71.</w:t>
      </w:r>
    </w:p>
    <w:p w14:paraId="4AEAA0A3" w14:textId="77777777" w:rsidR="003126F4" w:rsidRPr="003126F4" w:rsidRDefault="003126F4" w:rsidP="003126F4">
      <w:pPr>
        <w:pStyle w:val="EndNoteBibliography"/>
        <w:spacing w:after="240"/>
      </w:pPr>
      <w:r w:rsidRPr="0014753E">
        <w:rPr>
          <w:lang w:val="es-ES"/>
        </w:rPr>
        <w:t xml:space="preserve">Marcuello-Servós, C., C. Corradi, S. Weil and S. Boira (2016). </w:t>
      </w:r>
      <w:r w:rsidRPr="003126F4">
        <w:t xml:space="preserve">"Femicide: A social challenge." </w:t>
      </w:r>
      <w:r w:rsidRPr="003126F4">
        <w:rPr>
          <w:u w:val="single"/>
        </w:rPr>
        <w:t>Current Sociology</w:t>
      </w:r>
      <w:r w:rsidRPr="003126F4">
        <w:t xml:space="preserve"> </w:t>
      </w:r>
      <w:r w:rsidRPr="003126F4">
        <w:rPr>
          <w:b/>
        </w:rPr>
        <w:t>64</w:t>
      </w:r>
      <w:r w:rsidRPr="003126F4">
        <w:t>(7): 967-974.</w:t>
      </w:r>
    </w:p>
    <w:p w14:paraId="68EEA79A" w14:textId="77777777" w:rsidR="003126F4" w:rsidRPr="003126F4" w:rsidRDefault="003126F4" w:rsidP="003126F4">
      <w:pPr>
        <w:pStyle w:val="EndNoteBibliography"/>
        <w:spacing w:after="240"/>
      </w:pPr>
      <w:r w:rsidRPr="003126F4">
        <w:t xml:space="preserve">Matias, A., M. Gonçalves, C. Soeiro and M. Matos (2020). "Intimate partner homicide: A meta-analysis of risk factors." </w:t>
      </w:r>
      <w:r w:rsidRPr="003126F4">
        <w:rPr>
          <w:u w:val="single"/>
        </w:rPr>
        <w:t>Aggression and Violent Behavior</w:t>
      </w:r>
      <w:r w:rsidRPr="003126F4">
        <w:t xml:space="preserve"> </w:t>
      </w:r>
      <w:r w:rsidRPr="003126F4">
        <w:rPr>
          <w:b/>
        </w:rPr>
        <w:t>50</w:t>
      </w:r>
      <w:r w:rsidRPr="003126F4">
        <w:t>: 101358.</w:t>
      </w:r>
    </w:p>
    <w:p w14:paraId="581BFA34" w14:textId="77777777" w:rsidR="003126F4" w:rsidRPr="003126F4" w:rsidRDefault="003126F4" w:rsidP="003126F4">
      <w:pPr>
        <w:pStyle w:val="EndNoteBibliography"/>
        <w:spacing w:after="240"/>
      </w:pPr>
      <w:r w:rsidRPr="003126F4">
        <w:t xml:space="preserve">Nivette, A. E. (2011). "Cross-National Predictors of Crime: A Meta-Analysis." </w:t>
      </w:r>
      <w:r w:rsidRPr="003126F4">
        <w:rPr>
          <w:u w:val="single"/>
        </w:rPr>
        <w:t>Homicide Studies</w:t>
      </w:r>
      <w:r w:rsidRPr="003126F4">
        <w:t xml:space="preserve"> </w:t>
      </w:r>
      <w:r w:rsidRPr="003126F4">
        <w:rPr>
          <w:b/>
        </w:rPr>
        <w:t>15</w:t>
      </w:r>
      <w:r w:rsidRPr="003126F4">
        <w:t>(2): 103-131.</w:t>
      </w:r>
    </w:p>
    <w:p w14:paraId="61EAC32B" w14:textId="77777777" w:rsidR="003126F4" w:rsidRPr="003126F4" w:rsidRDefault="003126F4" w:rsidP="003126F4">
      <w:pPr>
        <w:pStyle w:val="EndNoteBibliography"/>
        <w:spacing w:after="240"/>
      </w:pPr>
      <w:r w:rsidRPr="003126F4">
        <w:t>Nowak, M. (2012). Femicide: A Global Problem (Research Note 14). Geneva.</w:t>
      </w:r>
    </w:p>
    <w:p w14:paraId="29DC9447" w14:textId="77777777" w:rsidR="003126F4" w:rsidRPr="003126F4" w:rsidRDefault="003126F4" w:rsidP="003126F4">
      <w:pPr>
        <w:pStyle w:val="EndNoteBibliography"/>
        <w:spacing w:after="240"/>
      </w:pPr>
      <w:r w:rsidRPr="003126F4">
        <w:t xml:space="preserve">Pickett, K. and R. Wilkinson (2011). </w:t>
      </w:r>
      <w:r w:rsidRPr="003126F4">
        <w:rPr>
          <w:u w:val="single"/>
        </w:rPr>
        <w:t>The Spirit Level: Why Greater Equality Makes Societies Stronger</w:t>
      </w:r>
      <w:r w:rsidRPr="003126F4">
        <w:t>. New York, Bloomsbury.</w:t>
      </w:r>
    </w:p>
    <w:p w14:paraId="0DE72C9F" w14:textId="77777777" w:rsidR="003126F4" w:rsidRPr="003126F4" w:rsidRDefault="003126F4" w:rsidP="003126F4">
      <w:pPr>
        <w:pStyle w:val="EndNoteBibliography"/>
        <w:spacing w:after="240"/>
      </w:pPr>
      <w:r w:rsidRPr="003126F4">
        <w:t xml:space="preserve">Shaw, D. O. and E. W. Young (2021). "Varieties of post-civil war violence." </w:t>
      </w:r>
      <w:r w:rsidRPr="003126F4">
        <w:rPr>
          <w:u w:val="single"/>
        </w:rPr>
        <w:t>Violence: An International Journal</w:t>
      </w:r>
      <w:r w:rsidRPr="003126F4">
        <w:t xml:space="preserve"> </w:t>
      </w:r>
      <w:r w:rsidRPr="003126F4">
        <w:rPr>
          <w:b/>
        </w:rPr>
        <w:t>2</w:t>
      </w:r>
      <w:r w:rsidRPr="003126F4">
        <w:t>(2): 227-252.</w:t>
      </w:r>
    </w:p>
    <w:p w14:paraId="358CAEEA" w14:textId="77777777" w:rsidR="003126F4" w:rsidRPr="003126F4" w:rsidRDefault="003126F4" w:rsidP="003126F4">
      <w:pPr>
        <w:pStyle w:val="EndNoteBibliography"/>
        <w:spacing w:after="240"/>
      </w:pPr>
      <w:r w:rsidRPr="003126F4">
        <w:t>UN (2012). Handbook for National Action Plans on Violence Against Women. New York, United Nations Entity for Gender Equality and the Empowerment of Women.</w:t>
      </w:r>
    </w:p>
    <w:p w14:paraId="5125230C" w14:textId="77777777" w:rsidR="003126F4" w:rsidRPr="003126F4" w:rsidRDefault="003126F4" w:rsidP="003126F4">
      <w:pPr>
        <w:pStyle w:val="EndNoteBibliography"/>
        <w:spacing w:after="240"/>
      </w:pPr>
      <w:r w:rsidRPr="003126F4">
        <w:lastRenderedPageBreak/>
        <w:t>UN Women (2020). Intensification of efforts to eliminate all forms of violence against women: Report of the Secretary-General. New York.</w:t>
      </w:r>
    </w:p>
    <w:p w14:paraId="4BEA3DF5" w14:textId="77777777" w:rsidR="003126F4" w:rsidRPr="003126F4" w:rsidRDefault="003126F4" w:rsidP="003126F4">
      <w:pPr>
        <w:pStyle w:val="EndNoteBibliography"/>
        <w:spacing w:after="240"/>
      </w:pPr>
      <w:r w:rsidRPr="003126F4">
        <w:t>UNODC (2015). International Classifciation of Crime for Staistical Purposes (ICCS) version 1.0. Vienna, United Nations Office on Drugs and Crime.</w:t>
      </w:r>
    </w:p>
    <w:p w14:paraId="630E95D2" w14:textId="77777777" w:rsidR="003126F4" w:rsidRPr="003126F4" w:rsidRDefault="003126F4" w:rsidP="003126F4">
      <w:pPr>
        <w:pStyle w:val="EndNoteBibliography"/>
        <w:spacing w:after="240"/>
      </w:pPr>
      <w:r w:rsidRPr="003126F4">
        <w:t>UNODC (2019). Global Study on Homicide. Vienna, United Nations Office on Drugs and Crime.</w:t>
      </w:r>
    </w:p>
    <w:p w14:paraId="65F2D354" w14:textId="77777777" w:rsidR="003126F4" w:rsidRPr="003126F4" w:rsidRDefault="003126F4" w:rsidP="003126F4">
      <w:pPr>
        <w:pStyle w:val="EndNoteBibliography"/>
        <w:spacing w:after="240"/>
      </w:pPr>
      <w:r w:rsidRPr="003126F4">
        <w:t>UNODC (2019). Global Study on Homicide. Gender-related killing of women and girls. Vienna, United Nations Office on Drugs and Crime,.</w:t>
      </w:r>
    </w:p>
    <w:p w14:paraId="70FC33F3" w14:textId="16ABFD20" w:rsidR="003126F4" w:rsidRPr="003126F4" w:rsidRDefault="003126F4" w:rsidP="003126F4">
      <w:pPr>
        <w:pStyle w:val="EndNoteBibliography"/>
        <w:spacing w:after="240"/>
      </w:pPr>
      <w:r w:rsidRPr="003126F4">
        <w:t xml:space="preserve">UNODC. (2022). "The 2018 United Nations Survey of Crime Trends and Operations of Criminal Justice Systems (2018 UN-CTS)."   Retrieved 06/04/22, 2022, from </w:t>
      </w:r>
      <w:hyperlink r:id="rId13" w:history="1">
        <w:r w:rsidRPr="003126F4">
          <w:rPr>
            <w:rStyle w:val="Hyperlink"/>
          </w:rPr>
          <w:t>https://www.unodc.org/unodc/en/data-and-analysis/statistics/crime/cts-data-collection.html</w:t>
        </w:r>
      </w:hyperlink>
      <w:r w:rsidRPr="003126F4">
        <w:t>.</w:t>
      </w:r>
    </w:p>
    <w:p w14:paraId="71C6784E" w14:textId="77777777" w:rsidR="003126F4" w:rsidRPr="003126F4" w:rsidRDefault="003126F4" w:rsidP="003126F4">
      <w:pPr>
        <w:pStyle w:val="EndNoteBibliography"/>
        <w:spacing w:after="240"/>
      </w:pPr>
      <w:r w:rsidRPr="003126F4">
        <w:t xml:space="preserve">Vives-Cases, C., I. Goicolea, A. Hernández, B. Sanz-Barbero, A. K. Gill, A. C. Baldry, M. Schröttle and H. Stoeckl (2016). "Expert Opinions on Improving Femicide Data Collection across Europe: A Concept Mapping Study." </w:t>
      </w:r>
      <w:r w:rsidRPr="003126F4">
        <w:rPr>
          <w:u w:val="single"/>
        </w:rPr>
        <w:t>PLOS ONE</w:t>
      </w:r>
      <w:r w:rsidRPr="003126F4">
        <w:t xml:space="preserve"> </w:t>
      </w:r>
      <w:r w:rsidRPr="003126F4">
        <w:rPr>
          <w:b/>
        </w:rPr>
        <w:t>11</w:t>
      </w:r>
      <w:r w:rsidRPr="003126F4">
        <w:t>(2): e0148364.</w:t>
      </w:r>
    </w:p>
    <w:p w14:paraId="7D920B50" w14:textId="77777777" w:rsidR="003126F4" w:rsidRPr="003126F4" w:rsidRDefault="003126F4" w:rsidP="003126F4">
      <w:pPr>
        <w:pStyle w:val="EndNoteBibliography"/>
        <w:spacing w:after="240"/>
      </w:pPr>
      <w:r w:rsidRPr="003126F4">
        <w:t xml:space="preserve">Whittington, R. and J. McGuire (2020). </w:t>
      </w:r>
      <w:r w:rsidRPr="003126F4">
        <w:rPr>
          <w:u w:val="single"/>
        </w:rPr>
        <w:t>Violence Rewired: Evidence and Strategies for Public Health Action</w:t>
      </w:r>
      <w:r w:rsidRPr="003126F4">
        <w:t>. Cambridge, Cambridge University Press.</w:t>
      </w:r>
    </w:p>
    <w:p w14:paraId="04C6DA77" w14:textId="77777777" w:rsidR="003126F4" w:rsidRPr="003126F4" w:rsidRDefault="003126F4" w:rsidP="003126F4">
      <w:pPr>
        <w:pStyle w:val="EndNoteBibliography"/>
        <w:spacing w:after="240"/>
      </w:pPr>
      <w:r w:rsidRPr="003126F4">
        <w:t xml:space="preserve">Wolf, A., R. Gray and S. Fazel (2014). "Violence as a public health problem: An ecological study of 169 countries." </w:t>
      </w:r>
      <w:r w:rsidRPr="003126F4">
        <w:rPr>
          <w:u w:val="single"/>
        </w:rPr>
        <w:t>Social Science &amp; Medicine</w:t>
      </w:r>
      <w:r w:rsidRPr="003126F4">
        <w:t xml:space="preserve"> </w:t>
      </w:r>
      <w:r w:rsidRPr="003126F4">
        <w:rPr>
          <w:b/>
        </w:rPr>
        <w:t>104</w:t>
      </w:r>
      <w:r w:rsidRPr="003126F4">
        <w:t>(0): 220-227.</w:t>
      </w:r>
    </w:p>
    <w:p w14:paraId="30DED64F" w14:textId="77777777" w:rsidR="003126F4" w:rsidRPr="003126F4" w:rsidRDefault="003126F4" w:rsidP="003126F4">
      <w:pPr>
        <w:pStyle w:val="EndNoteBibliography"/>
        <w:spacing w:after="240"/>
      </w:pPr>
      <w:r w:rsidRPr="003126F4">
        <w:t>World Bank (2022). Databank.</w:t>
      </w:r>
    </w:p>
    <w:p w14:paraId="284A8B88" w14:textId="77777777" w:rsidR="003126F4" w:rsidRPr="003126F4" w:rsidRDefault="003126F4" w:rsidP="003126F4">
      <w:pPr>
        <w:pStyle w:val="EndNoteBibliography"/>
        <w:spacing w:after="240"/>
      </w:pPr>
      <w:r w:rsidRPr="003126F4">
        <w:t>World Health Organisation (2002). World Report on Violence and Health. Geneva, WHO.</w:t>
      </w:r>
    </w:p>
    <w:p w14:paraId="4F379127" w14:textId="77777777" w:rsidR="003126F4" w:rsidRPr="003126F4" w:rsidRDefault="003126F4" w:rsidP="003126F4">
      <w:pPr>
        <w:pStyle w:val="EndNoteBibliography"/>
        <w:spacing w:after="240"/>
      </w:pPr>
      <w:r w:rsidRPr="003126F4">
        <w:t>World Health Organisation (2014). Global Status Report On Violence Prevention. Geneva, Switzerland.</w:t>
      </w:r>
    </w:p>
    <w:p w14:paraId="1E538884" w14:textId="77777777" w:rsidR="003126F4" w:rsidRPr="003126F4" w:rsidRDefault="003126F4" w:rsidP="003126F4">
      <w:pPr>
        <w:pStyle w:val="EndNoteBibliography"/>
        <w:spacing w:after="240"/>
      </w:pPr>
      <w:r w:rsidRPr="003126F4">
        <w:t>World Health Organisation (2014). Global Status Report on Violence Prevention 2014. Geneva.</w:t>
      </w:r>
    </w:p>
    <w:p w14:paraId="77D56808" w14:textId="406D07A5" w:rsidR="003126F4" w:rsidRPr="003126F4" w:rsidRDefault="003126F4" w:rsidP="003126F4">
      <w:pPr>
        <w:pStyle w:val="EndNoteBibliography"/>
        <w:spacing w:after="240"/>
      </w:pPr>
      <w:r w:rsidRPr="003126F4">
        <w:t xml:space="preserve">World Health Organisation. (2017). "Global Campaign for Violence Prevention." from </w:t>
      </w:r>
      <w:hyperlink r:id="rId14" w:history="1">
        <w:r w:rsidRPr="003126F4">
          <w:rPr>
            <w:rStyle w:val="Hyperlink"/>
          </w:rPr>
          <w:t>http://www.who.int/violence_injury_prevention/violence/global_campaign/en/</w:t>
        </w:r>
      </w:hyperlink>
      <w:r w:rsidRPr="003126F4">
        <w:t>.</w:t>
      </w:r>
    </w:p>
    <w:p w14:paraId="482AA705" w14:textId="77777777" w:rsidR="003126F4" w:rsidRPr="003126F4" w:rsidRDefault="003126F4" w:rsidP="003126F4">
      <w:pPr>
        <w:pStyle w:val="EndNoteBibliography"/>
      </w:pPr>
      <w:r w:rsidRPr="003126F4">
        <w:t>World Health Organisation (2022). Violence Prevention Information System (Violence Info). WHO.</w:t>
      </w:r>
    </w:p>
    <w:p w14:paraId="639D91C0" w14:textId="237244E0" w:rsidR="00AC0270" w:rsidRDefault="007356C6" w:rsidP="007356C6">
      <w:pPr>
        <w:spacing w:line="276" w:lineRule="auto"/>
        <w:rPr>
          <w:lang w:val="en-US"/>
        </w:rPr>
      </w:pPr>
      <w:r w:rsidRPr="003126F4">
        <w:rPr>
          <w:rFonts w:ascii="Times New Roman" w:hAnsi="Times New Roman" w:cs="Times New Roman"/>
          <w:lang w:val="en-US"/>
        </w:rPr>
        <w:fldChar w:fldCharType="end"/>
      </w:r>
    </w:p>
    <w:sectPr w:rsidR="00AC027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01F83" w14:textId="77777777" w:rsidR="00B7097E" w:rsidRDefault="00B7097E" w:rsidP="0098024A">
      <w:pPr>
        <w:spacing w:after="0" w:line="240" w:lineRule="auto"/>
      </w:pPr>
      <w:r>
        <w:separator/>
      </w:r>
    </w:p>
  </w:endnote>
  <w:endnote w:type="continuationSeparator" w:id="0">
    <w:p w14:paraId="5B68FA6E" w14:textId="77777777" w:rsidR="00B7097E" w:rsidRDefault="00B7097E" w:rsidP="0098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987981"/>
      <w:docPartObj>
        <w:docPartGallery w:val="Page Numbers (Bottom of Page)"/>
        <w:docPartUnique/>
      </w:docPartObj>
    </w:sdtPr>
    <w:sdtEndPr/>
    <w:sdtContent>
      <w:p w14:paraId="60365A1B" w14:textId="3E1B0230" w:rsidR="00407437" w:rsidRDefault="00407437">
        <w:pPr>
          <w:pStyle w:val="Footer"/>
          <w:jc w:val="center"/>
        </w:pPr>
        <w:r>
          <w:fldChar w:fldCharType="begin"/>
        </w:r>
        <w:r>
          <w:instrText>PAGE   \* MERGEFORMAT</w:instrText>
        </w:r>
        <w:r>
          <w:fldChar w:fldCharType="separate"/>
        </w:r>
        <w:r w:rsidR="0014753E">
          <w:rPr>
            <w:noProof/>
          </w:rPr>
          <w:t>3</w:t>
        </w:r>
        <w:r>
          <w:fldChar w:fldCharType="end"/>
        </w:r>
      </w:p>
    </w:sdtContent>
  </w:sdt>
  <w:p w14:paraId="66D0414E" w14:textId="77777777" w:rsidR="002F6131" w:rsidRDefault="002F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A8913" w14:textId="77777777" w:rsidR="00B7097E" w:rsidRDefault="00B7097E" w:rsidP="0098024A">
      <w:pPr>
        <w:spacing w:after="0" w:line="240" w:lineRule="auto"/>
      </w:pPr>
      <w:r>
        <w:separator/>
      </w:r>
    </w:p>
  </w:footnote>
  <w:footnote w:type="continuationSeparator" w:id="0">
    <w:p w14:paraId="1F917313" w14:textId="77777777" w:rsidR="00B7097E" w:rsidRDefault="00B7097E" w:rsidP="00980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43154"/>
    <w:multiLevelType w:val="hybridMultilevel"/>
    <w:tmpl w:val="D83404C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5CD64F9"/>
    <w:multiLevelType w:val="hybridMultilevel"/>
    <w:tmpl w:val="4FD8A13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4D50AD8"/>
    <w:multiLevelType w:val="hybridMultilevel"/>
    <w:tmpl w:val="50F8BA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A755B63"/>
    <w:multiLevelType w:val="hybridMultilevel"/>
    <w:tmpl w:val="42B0AA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nb-NO" w:vendorID="64" w:dllVersion="6" w:nlCheck="1" w:checkStyle="0"/>
  <w:activeWritingStyle w:appName="MSWord" w:lang="en-US" w:vendorID="64" w:dllVersion="0" w:nlCheck="1" w:checkStyle="0"/>
  <w:activeWritingStyle w:appName="MSWord" w:lang="fr-FR" w:vendorID="64" w:dllVersion="0" w:nlCheck="1" w:checkStyle="0"/>
  <w:activeWritingStyle w:appName="MSWord" w:lang="nb-NO" w:vendorID="64" w:dllVersion="0" w:nlCheck="1" w:checkStyle="0"/>
  <w:activeWritingStyle w:appName="MSWord" w:lang="es-ES" w:vendorID="64" w:dllVersion="6" w:nlCheck="1" w:checkStyle="0"/>
  <w:activeWritingStyle w:appName="MSWord" w:lang="en-US" w:vendorID="64" w:dllVersion="131078" w:nlCheck="1" w:checkStyle="1"/>
  <w:activeWritingStyle w:appName="MSWord" w:lang="fr-FR" w:vendorID="64" w:dllVersion="131078" w:nlCheck="1" w:checkStyle="0"/>
  <w:activeWritingStyle w:appName="MSWord" w:lang="nb-NO"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xeadttdpnf0vfgev2xzv2v9gvp92rp5tstes&quot;&gt;Endnote- Master Copy-Converted&lt;record-ids&gt;&lt;item&gt;822&lt;/item&gt;&lt;item&gt;1743&lt;/item&gt;&lt;item&gt;1744&lt;/item&gt;&lt;item&gt;1800&lt;/item&gt;&lt;item&gt;1801&lt;/item&gt;&lt;item&gt;2166&lt;/item&gt;&lt;item&gt;2168&lt;/item&gt;&lt;item&gt;2182&lt;/item&gt;&lt;item&gt;3305&lt;/item&gt;&lt;item&gt;3306&lt;/item&gt;&lt;item&gt;3307&lt;/item&gt;&lt;item&gt;3308&lt;/item&gt;&lt;item&gt;3309&lt;/item&gt;&lt;item&gt;3310&lt;/item&gt;&lt;item&gt;3311&lt;/item&gt;&lt;item&gt;3312&lt;/item&gt;&lt;item&gt;3313&lt;/item&gt;&lt;item&gt;3314&lt;/item&gt;&lt;item&gt;3315&lt;/item&gt;&lt;item&gt;3319&lt;/item&gt;&lt;item&gt;3320&lt;/item&gt;&lt;item&gt;3321&lt;/item&gt;&lt;item&gt;3322&lt;/item&gt;&lt;item&gt;3323&lt;/item&gt;&lt;item&gt;3334&lt;/item&gt;&lt;item&gt;3335&lt;/item&gt;&lt;item&gt;3336&lt;/item&gt;&lt;item&gt;3337&lt;/item&gt;&lt;item&gt;3338&lt;/item&gt;&lt;/record-ids&gt;&lt;/item&gt;&lt;/Libraries&gt;"/>
  </w:docVars>
  <w:rsids>
    <w:rsidRoot w:val="00CE4AC8"/>
    <w:rsid w:val="00001C43"/>
    <w:rsid w:val="0000473C"/>
    <w:rsid w:val="00021B98"/>
    <w:rsid w:val="00024F12"/>
    <w:rsid w:val="00034F16"/>
    <w:rsid w:val="000413AB"/>
    <w:rsid w:val="00041B83"/>
    <w:rsid w:val="00041BE8"/>
    <w:rsid w:val="00043AC9"/>
    <w:rsid w:val="000610B1"/>
    <w:rsid w:val="000633A2"/>
    <w:rsid w:val="00067AA8"/>
    <w:rsid w:val="000717B5"/>
    <w:rsid w:val="000955D0"/>
    <w:rsid w:val="000A112C"/>
    <w:rsid w:val="000A70F9"/>
    <w:rsid w:val="000C47E4"/>
    <w:rsid w:val="000D36F2"/>
    <w:rsid w:val="000E40EE"/>
    <w:rsid w:val="000F7F6D"/>
    <w:rsid w:val="00103FBC"/>
    <w:rsid w:val="00137EFF"/>
    <w:rsid w:val="00143108"/>
    <w:rsid w:val="00146CC9"/>
    <w:rsid w:val="0014753E"/>
    <w:rsid w:val="001652F8"/>
    <w:rsid w:val="00175224"/>
    <w:rsid w:val="001854B0"/>
    <w:rsid w:val="0019140A"/>
    <w:rsid w:val="00195CB0"/>
    <w:rsid w:val="001B3345"/>
    <w:rsid w:val="001E4AA1"/>
    <w:rsid w:val="001E5F32"/>
    <w:rsid w:val="001E67D5"/>
    <w:rsid w:val="00200541"/>
    <w:rsid w:val="002122B5"/>
    <w:rsid w:val="00213088"/>
    <w:rsid w:val="00222DE6"/>
    <w:rsid w:val="0024536A"/>
    <w:rsid w:val="00251EA6"/>
    <w:rsid w:val="002825C6"/>
    <w:rsid w:val="002B15E3"/>
    <w:rsid w:val="002C387E"/>
    <w:rsid w:val="002C3974"/>
    <w:rsid w:val="002D6294"/>
    <w:rsid w:val="002D71BC"/>
    <w:rsid w:val="002F4F38"/>
    <w:rsid w:val="002F6131"/>
    <w:rsid w:val="003126F4"/>
    <w:rsid w:val="00313936"/>
    <w:rsid w:val="00335508"/>
    <w:rsid w:val="0037418A"/>
    <w:rsid w:val="003A27F3"/>
    <w:rsid w:val="003A50BA"/>
    <w:rsid w:val="003C190B"/>
    <w:rsid w:val="003D1F6F"/>
    <w:rsid w:val="003D775F"/>
    <w:rsid w:val="003F718D"/>
    <w:rsid w:val="004067E2"/>
    <w:rsid w:val="00407437"/>
    <w:rsid w:val="00425A73"/>
    <w:rsid w:val="004269BE"/>
    <w:rsid w:val="004515D6"/>
    <w:rsid w:val="00464A0F"/>
    <w:rsid w:val="00470AC7"/>
    <w:rsid w:val="004845E2"/>
    <w:rsid w:val="004B0346"/>
    <w:rsid w:val="004B0688"/>
    <w:rsid w:val="004C241E"/>
    <w:rsid w:val="004D2C0B"/>
    <w:rsid w:val="004D54CE"/>
    <w:rsid w:val="004F1D6D"/>
    <w:rsid w:val="0050426D"/>
    <w:rsid w:val="00515F18"/>
    <w:rsid w:val="00532B45"/>
    <w:rsid w:val="0055439E"/>
    <w:rsid w:val="00567206"/>
    <w:rsid w:val="00570285"/>
    <w:rsid w:val="00570448"/>
    <w:rsid w:val="00581BF9"/>
    <w:rsid w:val="00594884"/>
    <w:rsid w:val="005A78D5"/>
    <w:rsid w:val="005C2792"/>
    <w:rsid w:val="005E765E"/>
    <w:rsid w:val="005F53A1"/>
    <w:rsid w:val="0060471C"/>
    <w:rsid w:val="006075DD"/>
    <w:rsid w:val="00616B3C"/>
    <w:rsid w:val="00617B2C"/>
    <w:rsid w:val="00632888"/>
    <w:rsid w:val="00641FBB"/>
    <w:rsid w:val="00655EC0"/>
    <w:rsid w:val="006660F3"/>
    <w:rsid w:val="0068540F"/>
    <w:rsid w:val="006A3F62"/>
    <w:rsid w:val="006B0B72"/>
    <w:rsid w:val="006B4CF6"/>
    <w:rsid w:val="006C1C09"/>
    <w:rsid w:val="006E5A6A"/>
    <w:rsid w:val="006F4718"/>
    <w:rsid w:val="006F71B0"/>
    <w:rsid w:val="00706620"/>
    <w:rsid w:val="0071041F"/>
    <w:rsid w:val="007356C6"/>
    <w:rsid w:val="007420EF"/>
    <w:rsid w:val="007559C2"/>
    <w:rsid w:val="007620C1"/>
    <w:rsid w:val="00771BC6"/>
    <w:rsid w:val="00791259"/>
    <w:rsid w:val="00792F35"/>
    <w:rsid w:val="00794AC6"/>
    <w:rsid w:val="00795360"/>
    <w:rsid w:val="007A6C3A"/>
    <w:rsid w:val="007C1CCC"/>
    <w:rsid w:val="007D139B"/>
    <w:rsid w:val="007D478B"/>
    <w:rsid w:val="00801813"/>
    <w:rsid w:val="008038DA"/>
    <w:rsid w:val="00806B24"/>
    <w:rsid w:val="0080779B"/>
    <w:rsid w:val="00815011"/>
    <w:rsid w:val="00820DCD"/>
    <w:rsid w:val="00827331"/>
    <w:rsid w:val="00831F87"/>
    <w:rsid w:val="00843B57"/>
    <w:rsid w:val="00844BEB"/>
    <w:rsid w:val="0086790E"/>
    <w:rsid w:val="00871CE2"/>
    <w:rsid w:val="00873803"/>
    <w:rsid w:val="00875543"/>
    <w:rsid w:val="008837EA"/>
    <w:rsid w:val="00883CE9"/>
    <w:rsid w:val="00883D8B"/>
    <w:rsid w:val="008F6C8D"/>
    <w:rsid w:val="00915CD7"/>
    <w:rsid w:val="0092170D"/>
    <w:rsid w:val="009233E1"/>
    <w:rsid w:val="00927BC4"/>
    <w:rsid w:val="00927EC7"/>
    <w:rsid w:val="0094308C"/>
    <w:rsid w:val="00947DAF"/>
    <w:rsid w:val="00951FF2"/>
    <w:rsid w:val="00964276"/>
    <w:rsid w:val="0096501A"/>
    <w:rsid w:val="0098005A"/>
    <w:rsid w:val="0098024A"/>
    <w:rsid w:val="009803B0"/>
    <w:rsid w:val="009837B5"/>
    <w:rsid w:val="00997953"/>
    <w:rsid w:val="009A6FB1"/>
    <w:rsid w:val="009B688D"/>
    <w:rsid w:val="009C32EB"/>
    <w:rsid w:val="009D5D4D"/>
    <w:rsid w:val="009D788C"/>
    <w:rsid w:val="00A00ADB"/>
    <w:rsid w:val="00A14D1E"/>
    <w:rsid w:val="00A2445C"/>
    <w:rsid w:val="00A27DC7"/>
    <w:rsid w:val="00A32D38"/>
    <w:rsid w:val="00A6631F"/>
    <w:rsid w:val="00A73477"/>
    <w:rsid w:val="00A97E35"/>
    <w:rsid w:val="00AA2260"/>
    <w:rsid w:val="00AC0270"/>
    <w:rsid w:val="00AC2DB9"/>
    <w:rsid w:val="00AD0BD1"/>
    <w:rsid w:val="00B06B2B"/>
    <w:rsid w:val="00B42517"/>
    <w:rsid w:val="00B469C1"/>
    <w:rsid w:val="00B51534"/>
    <w:rsid w:val="00B63154"/>
    <w:rsid w:val="00B7097E"/>
    <w:rsid w:val="00B74AF2"/>
    <w:rsid w:val="00BA0D05"/>
    <w:rsid w:val="00BB4A43"/>
    <w:rsid w:val="00BB5515"/>
    <w:rsid w:val="00BC0043"/>
    <w:rsid w:val="00BE70D8"/>
    <w:rsid w:val="00C04A04"/>
    <w:rsid w:val="00C13AE2"/>
    <w:rsid w:val="00C2135A"/>
    <w:rsid w:val="00C24C0F"/>
    <w:rsid w:val="00C25C1C"/>
    <w:rsid w:val="00C26809"/>
    <w:rsid w:val="00C558A2"/>
    <w:rsid w:val="00C72FA4"/>
    <w:rsid w:val="00C75FB3"/>
    <w:rsid w:val="00C842E9"/>
    <w:rsid w:val="00CA022B"/>
    <w:rsid w:val="00CA056F"/>
    <w:rsid w:val="00CB194B"/>
    <w:rsid w:val="00CB2506"/>
    <w:rsid w:val="00CD7CED"/>
    <w:rsid w:val="00CD7EAB"/>
    <w:rsid w:val="00CE4AC8"/>
    <w:rsid w:val="00CF66D0"/>
    <w:rsid w:val="00CF72EA"/>
    <w:rsid w:val="00D05E43"/>
    <w:rsid w:val="00D0610C"/>
    <w:rsid w:val="00D06A7A"/>
    <w:rsid w:val="00D10F1B"/>
    <w:rsid w:val="00D305F5"/>
    <w:rsid w:val="00D452DF"/>
    <w:rsid w:val="00D52E3C"/>
    <w:rsid w:val="00D53074"/>
    <w:rsid w:val="00D65A63"/>
    <w:rsid w:val="00D6762C"/>
    <w:rsid w:val="00D838F0"/>
    <w:rsid w:val="00D950F7"/>
    <w:rsid w:val="00D96219"/>
    <w:rsid w:val="00DA202D"/>
    <w:rsid w:val="00DA5869"/>
    <w:rsid w:val="00DA6C28"/>
    <w:rsid w:val="00DB0B23"/>
    <w:rsid w:val="00DC1E83"/>
    <w:rsid w:val="00DD0997"/>
    <w:rsid w:val="00DD30E3"/>
    <w:rsid w:val="00E017F0"/>
    <w:rsid w:val="00E1112C"/>
    <w:rsid w:val="00E12A6A"/>
    <w:rsid w:val="00E1444B"/>
    <w:rsid w:val="00E22634"/>
    <w:rsid w:val="00E31F28"/>
    <w:rsid w:val="00E35C02"/>
    <w:rsid w:val="00E37C83"/>
    <w:rsid w:val="00E60B03"/>
    <w:rsid w:val="00E640B8"/>
    <w:rsid w:val="00E719A7"/>
    <w:rsid w:val="00E87FDC"/>
    <w:rsid w:val="00E971FA"/>
    <w:rsid w:val="00EC110A"/>
    <w:rsid w:val="00EF6132"/>
    <w:rsid w:val="00F038DF"/>
    <w:rsid w:val="00F05137"/>
    <w:rsid w:val="00F7710D"/>
    <w:rsid w:val="00FB276A"/>
    <w:rsid w:val="00FC7670"/>
    <w:rsid w:val="00FD233E"/>
    <w:rsid w:val="00FE3B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4232E8C"/>
  <w15:chartTrackingRefBased/>
  <w15:docId w15:val="{80D29C76-7693-4EAF-B17E-999B3768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5A73"/>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425A73"/>
    <w:pPr>
      <w:keepNext/>
      <w:keepLines/>
      <w:spacing w:before="40" w:after="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AC8"/>
    <w:pPr>
      <w:ind w:left="720"/>
      <w:contextualSpacing/>
    </w:pPr>
  </w:style>
  <w:style w:type="paragraph" w:styleId="FootnoteText">
    <w:name w:val="footnote text"/>
    <w:basedOn w:val="Normal"/>
    <w:link w:val="FootnoteTextChar"/>
    <w:uiPriority w:val="99"/>
    <w:semiHidden/>
    <w:unhideWhenUsed/>
    <w:rsid w:val="009802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024A"/>
    <w:rPr>
      <w:sz w:val="20"/>
      <w:szCs w:val="20"/>
    </w:rPr>
  </w:style>
  <w:style w:type="character" w:styleId="FootnoteReference">
    <w:name w:val="footnote reference"/>
    <w:basedOn w:val="DefaultParagraphFont"/>
    <w:uiPriority w:val="99"/>
    <w:semiHidden/>
    <w:unhideWhenUsed/>
    <w:rsid w:val="0098024A"/>
    <w:rPr>
      <w:vertAlign w:val="superscript"/>
    </w:rPr>
  </w:style>
  <w:style w:type="character" w:customStyle="1" w:styleId="Heading1Char">
    <w:name w:val="Heading 1 Char"/>
    <w:basedOn w:val="DefaultParagraphFont"/>
    <w:link w:val="Heading1"/>
    <w:uiPriority w:val="9"/>
    <w:rsid w:val="00425A7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425A73"/>
    <w:rPr>
      <w:rFonts w:ascii="Times New Roman" w:eastAsiaTheme="majorEastAsia" w:hAnsi="Times New Roman" w:cstheme="majorBidi"/>
      <w:color w:val="000000" w:themeColor="text1"/>
      <w:sz w:val="26"/>
      <w:szCs w:val="26"/>
    </w:rPr>
  </w:style>
  <w:style w:type="paragraph" w:styleId="Header">
    <w:name w:val="header"/>
    <w:basedOn w:val="Normal"/>
    <w:link w:val="HeaderChar"/>
    <w:uiPriority w:val="99"/>
    <w:unhideWhenUsed/>
    <w:rsid w:val="00883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CE9"/>
  </w:style>
  <w:style w:type="paragraph" w:styleId="Footer">
    <w:name w:val="footer"/>
    <w:basedOn w:val="Normal"/>
    <w:link w:val="FooterChar"/>
    <w:uiPriority w:val="99"/>
    <w:unhideWhenUsed/>
    <w:rsid w:val="00883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CE9"/>
  </w:style>
  <w:style w:type="character" w:styleId="Hyperlink">
    <w:name w:val="Hyperlink"/>
    <w:basedOn w:val="DefaultParagraphFont"/>
    <w:uiPriority w:val="99"/>
    <w:unhideWhenUsed/>
    <w:rsid w:val="00DB0B23"/>
    <w:rPr>
      <w:color w:val="0563C1" w:themeColor="hyperlink"/>
      <w:u w:val="single"/>
    </w:rPr>
  </w:style>
  <w:style w:type="table" w:styleId="TableGrid">
    <w:name w:val="Table Grid"/>
    <w:basedOn w:val="TableNormal"/>
    <w:uiPriority w:val="39"/>
    <w:rsid w:val="007C1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9BE"/>
    <w:rPr>
      <w:sz w:val="16"/>
      <w:szCs w:val="16"/>
    </w:rPr>
  </w:style>
  <w:style w:type="paragraph" w:styleId="CommentText">
    <w:name w:val="annotation text"/>
    <w:basedOn w:val="Normal"/>
    <w:link w:val="CommentTextChar"/>
    <w:uiPriority w:val="99"/>
    <w:unhideWhenUsed/>
    <w:rsid w:val="004269BE"/>
    <w:pPr>
      <w:spacing w:line="240" w:lineRule="auto"/>
    </w:pPr>
    <w:rPr>
      <w:sz w:val="20"/>
      <w:szCs w:val="20"/>
    </w:rPr>
  </w:style>
  <w:style w:type="character" w:customStyle="1" w:styleId="CommentTextChar">
    <w:name w:val="Comment Text Char"/>
    <w:basedOn w:val="DefaultParagraphFont"/>
    <w:link w:val="CommentText"/>
    <w:uiPriority w:val="99"/>
    <w:rsid w:val="004269BE"/>
    <w:rPr>
      <w:sz w:val="20"/>
      <w:szCs w:val="20"/>
    </w:rPr>
  </w:style>
  <w:style w:type="paragraph" w:styleId="CommentSubject">
    <w:name w:val="annotation subject"/>
    <w:basedOn w:val="CommentText"/>
    <w:next w:val="CommentText"/>
    <w:link w:val="CommentSubjectChar"/>
    <w:uiPriority w:val="99"/>
    <w:semiHidden/>
    <w:unhideWhenUsed/>
    <w:rsid w:val="004269BE"/>
    <w:rPr>
      <w:b/>
      <w:bCs/>
    </w:rPr>
  </w:style>
  <w:style w:type="character" w:customStyle="1" w:styleId="CommentSubjectChar">
    <w:name w:val="Comment Subject Char"/>
    <w:basedOn w:val="CommentTextChar"/>
    <w:link w:val="CommentSubject"/>
    <w:uiPriority w:val="99"/>
    <w:semiHidden/>
    <w:rsid w:val="004269BE"/>
    <w:rPr>
      <w:b/>
      <w:bCs/>
      <w:sz w:val="20"/>
      <w:szCs w:val="20"/>
    </w:rPr>
  </w:style>
  <w:style w:type="paragraph" w:styleId="BalloonText">
    <w:name w:val="Balloon Text"/>
    <w:basedOn w:val="Normal"/>
    <w:link w:val="BalloonTextChar"/>
    <w:uiPriority w:val="99"/>
    <w:semiHidden/>
    <w:unhideWhenUsed/>
    <w:rsid w:val="004269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9BE"/>
    <w:rPr>
      <w:rFonts w:ascii="Segoe UI" w:hAnsi="Segoe UI" w:cs="Segoe UI"/>
      <w:sz w:val="18"/>
      <w:szCs w:val="18"/>
    </w:rPr>
  </w:style>
  <w:style w:type="character" w:customStyle="1" w:styleId="UnresolvedMention1">
    <w:name w:val="Unresolved Mention1"/>
    <w:basedOn w:val="DefaultParagraphFont"/>
    <w:uiPriority w:val="99"/>
    <w:semiHidden/>
    <w:unhideWhenUsed/>
    <w:rsid w:val="007356C6"/>
    <w:rPr>
      <w:color w:val="605E5C"/>
      <w:shd w:val="clear" w:color="auto" w:fill="E1DFDD"/>
    </w:rPr>
  </w:style>
  <w:style w:type="paragraph" w:customStyle="1" w:styleId="EndNoteBibliographyTitle">
    <w:name w:val="EndNote Bibliography Title"/>
    <w:basedOn w:val="Normal"/>
    <w:link w:val="EndNoteBibliographyTitleChar"/>
    <w:rsid w:val="007356C6"/>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DefaultParagraphFont"/>
    <w:link w:val="EndNoteBibliographyTitle"/>
    <w:rsid w:val="007356C6"/>
    <w:rPr>
      <w:rFonts w:ascii="Times New Roman" w:hAnsi="Times New Roman" w:cs="Times New Roman"/>
      <w:noProof/>
      <w:lang w:val="en-US"/>
    </w:rPr>
  </w:style>
  <w:style w:type="paragraph" w:customStyle="1" w:styleId="EndNoteBibliography">
    <w:name w:val="EndNote Bibliography"/>
    <w:basedOn w:val="Normal"/>
    <w:link w:val="EndNoteBibliographyChar"/>
    <w:rsid w:val="007356C6"/>
    <w:pPr>
      <w:spacing w:line="240" w:lineRule="auto"/>
    </w:pPr>
    <w:rPr>
      <w:rFonts w:ascii="Times New Roman" w:hAnsi="Times New Roman" w:cs="Times New Roman"/>
      <w:noProof/>
      <w:lang w:val="en-US"/>
    </w:rPr>
  </w:style>
  <w:style w:type="character" w:customStyle="1" w:styleId="EndNoteBibliographyChar">
    <w:name w:val="EndNote Bibliography Char"/>
    <w:basedOn w:val="DefaultParagraphFont"/>
    <w:link w:val="EndNoteBibliography"/>
    <w:rsid w:val="007356C6"/>
    <w:rPr>
      <w:rFonts w:ascii="Times New Roman" w:hAnsi="Times New Roman" w:cs="Times New Roman"/>
      <w:noProof/>
      <w:lang w:val="en-US"/>
    </w:rPr>
  </w:style>
  <w:style w:type="character" w:styleId="FollowedHyperlink">
    <w:name w:val="FollowedHyperlink"/>
    <w:basedOn w:val="DefaultParagraphFont"/>
    <w:uiPriority w:val="99"/>
    <w:semiHidden/>
    <w:unhideWhenUsed/>
    <w:rsid w:val="007356C6"/>
    <w:rPr>
      <w:color w:val="954F72" w:themeColor="followedHyperlink"/>
      <w:u w:val="single"/>
    </w:rPr>
  </w:style>
  <w:style w:type="character" w:styleId="PlaceholderText">
    <w:name w:val="Placeholder Text"/>
    <w:basedOn w:val="DefaultParagraphFont"/>
    <w:uiPriority w:val="99"/>
    <w:semiHidden/>
    <w:rsid w:val="003F718D"/>
    <w:rPr>
      <w:color w:val="808080"/>
    </w:rPr>
  </w:style>
  <w:style w:type="character" w:customStyle="1" w:styleId="UnresolvedMention">
    <w:name w:val="Unresolved Mention"/>
    <w:basedOn w:val="DefaultParagraphFont"/>
    <w:uiPriority w:val="99"/>
    <w:semiHidden/>
    <w:unhideWhenUsed/>
    <w:rsid w:val="000E4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7041">
      <w:bodyDiv w:val="1"/>
      <w:marLeft w:val="0"/>
      <w:marRight w:val="0"/>
      <w:marTop w:val="0"/>
      <w:marBottom w:val="0"/>
      <w:divBdr>
        <w:top w:val="none" w:sz="0" w:space="0" w:color="auto"/>
        <w:left w:val="none" w:sz="0" w:space="0" w:color="auto"/>
        <w:bottom w:val="none" w:sz="0" w:space="0" w:color="auto"/>
        <w:right w:val="none" w:sz="0" w:space="0" w:color="auto"/>
      </w:divBdr>
    </w:div>
    <w:div w:id="302010260">
      <w:bodyDiv w:val="1"/>
      <w:marLeft w:val="0"/>
      <w:marRight w:val="0"/>
      <w:marTop w:val="0"/>
      <w:marBottom w:val="0"/>
      <w:divBdr>
        <w:top w:val="none" w:sz="0" w:space="0" w:color="auto"/>
        <w:left w:val="none" w:sz="0" w:space="0" w:color="auto"/>
        <w:bottom w:val="none" w:sz="0" w:space="0" w:color="auto"/>
        <w:right w:val="none" w:sz="0" w:space="0" w:color="auto"/>
      </w:divBdr>
    </w:div>
    <w:div w:id="921643978">
      <w:bodyDiv w:val="1"/>
      <w:marLeft w:val="0"/>
      <w:marRight w:val="0"/>
      <w:marTop w:val="0"/>
      <w:marBottom w:val="0"/>
      <w:divBdr>
        <w:top w:val="none" w:sz="0" w:space="0" w:color="auto"/>
        <w:left w:val="none" w:sz="0" w:space="0" w:color="auto"/>
        <w:bottom w:val="none" w:sz="0" w:space="0" w:color="auto"/>
        <w:right w:val="none" w:sz="0" w:space="0" w:color="auto"/>
      </w:divBdr>
    </w:div>
    <w:div w:id="1389717948">
      <w:bodyDiv w:val="1"/>
      <w:marLeft w:val="0"/>
      <w:marRight w:val="0"/>
      <w:marTop w:val="0"/>
      <w:marBottom w:val="0"/>
      <w:divBdr>
        <w:top w:val="none" w:sz="0" w:space="0" w:color="auto"/>
        <w:left w:val="none" w:sz="0" w:space="0" w:color="auto"/>
        <w:bottom w:val="none" w:sz="0" w:space="0" w:color="auto"/>
        <w:right w:val="none" w:sz="0" w:space="0" w:color="auto"/>
      </w:divBdr>
    </w:div>
    <w:div w:id="151738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whittington@ntnu.no" TargetMode="External"/><Relationship Id="rId13" Type="http://schemas.openxmlformats.org/officeDocument/2006/relationships/hyperlink" Target="https://www.unodc.org/unodc/en/data-and-analysis/statistics/crime/cts-data-collec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ohan.h.bjorngaard@ntnu.no" TargetMode="External"/><Relationship Id="rId14" Type="http://schemas.openxmlformats.org/officeDocument/2006/relationships/hyperlink" Target="http://www.who.int/violence_injury_prevention/violence/global_campaig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112B1-A12B-4C56-958D-A9A91895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10947</Words>
  <Characters>58021</Characters>
  <Application>Microsoft Office Word</Application>
  <DocSecurity>0</DocSecurity>
  <Lines>483</Lines>
  <Paragraphs>137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68831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Whittington</dc:creator>
  <cp:keywords/>
  <dc:description/>
  <cp:lastModifiedBy>Richard Whittington</cp:lastModifiedBy>
  <cp:revision>2</cp:revision>
  <cp:lastPrinted>2022-04-13T13:54:00Z</cp:lastPrinted>
  <dcterms:created xsi:type="dcterms:W3CDTF">2022-12-14T16:56:00Z</dcterms:created>
  <dcterms:modified xsi:type="dcterms:W3CDTF">2022-12-14T16:56:00Z</dcterms:modified>
</cp:coreProperties>
</file>