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EB238">
      <w:pPr>
        <w:keepNext w:val="0"/>
        <w:spacing w:after="40" w:line="312" w:lineRule="auto"/>
        <w:jc w:val="both"/>
        <w:rPr>
          <w:rFonts w:ascii="Times New Roman" w:hAnsi="Times New Roman" w:eastAsia="宋体" w:cs="Times New Roman"/>
          <w:color w:val="auto"/>
        </w:rPr>
      </w:pPr>
      <w:bookmarkStart w:id="0" w:name="_GoBack"/>
      <w:bookmarkEnd w:id="0"/>
    </w:p>
    <w:p w14:paraId="35A7F419">
      <w:pPr>
        <w:keepNext w:val="0"/>
        <w:spacing w:after="40" w:line="312" w:lineRule="auto"/>
        <w:jc w:val="center"/>
        <w:rPr>
          <w:rFonts w:ascii="Times New Roman" w:hAnsi="Times New Roman" w:eastAsia="宋体" w:cs="Times New Roman"/>
          <w:color w:val="auto"/>
        </w:rPr>
      </w:pPr>
    </w:p>
    <w:p w14:paraId="074C3056">
      <w:pPr>
        <w:keepNext w:val="0"/>
        <w:spacing w:after="40" w:line="312" w:lineRule="auto"/>
        <w:jc w:val="center"/>
        <w:rPr>
          <w:rFonts w:ascii="Times New Roman" w:hAnsi="Times New Roman" w:eastAsia="宋体" w:cs="Times New Roman"/>
          <w:color w:val="auto"/>
          <w:sz w:val="30"/>
          <w:szCs w:val="30"/>
        </w:rPr>
      </w:pPr>
    </w:p>
    <w:p w14:paraId="10E71123">
      <w:pPr>
        <w:keepNext w:val="0"/>
        <w:spacing w:before="280" w:after="40" w:line="312" w:lineRule="auto"/>
        <w:jc w:val="center"/>
        <w:rPr>
          <w:rFonts w:ascii="Times New Roman" w:hAnsi="Times New Roman" w:eastAsia="宋体" w:cs="Times New Roman"/>
          <w:b/>
          <w:bCs/>
          <w:color w:val="auto"/>
          <w:sz w:val="48"/>
          <w:szCs w:val="48"/>
        </w:rPr>
      </w:pPr>
      <w:r>
        <w:rPr>
          <w:rFonts w:ascii="Times New Roman" w:hAnsi="Times New Roman" w:eastAsia="宋体" w:cs="Times New Roman"/>
          <w:b/>
          <w:bCs/>
          <w:color w:val="auto"/>
          <w:sz w:val="40"/>
          <w:szCs w:val="48"/>
        </w:rPr>
        <w:t>长安大学人工智能创新大赛</w:t>
      </w:r>
    </w:p>
    <w:p w14:paraId="0B89208B">
      <w:pPr>
        <w:keepNext w:val="0"/>
        <w:spacing w:after="40" w:line="312" w:lineRule="auto"/>
        <w:jc w:val="center"/>
        <w:rPr>
          <w:rFonts w:ascii="Times New Roman" w:hAnsi="Times New Roman" w:eastAsia="宋体" w:cs="Times New Roman"/>
          <w:b/>
          <w:bCs/>
          <w:color w:val="auto"/>
          <w:sz w:val="48"/>
          <w:szCs w:val="48"/>
        </w:rPr>
      </w:pPr>
    </w:p>
    <w:p w14:paraId="26B22A26">
      <w:pPr>
        <w:keepNext w:val="0"/>
        <w:spacing w:before="500" w:after="40" w:line="312" w:lineRule="auto"/>
        <w:jc w:val="center"/>
        <w:rPr>
          <w:rFonts w:ascii="Times New Roman" w:hAnsi="Times New Roman" w:eastAsia="宋体" w:cs="Times New Roman"/>
          <w:b/>
          <w:bCs/>
          <w:color w:val="auto"/>
          <w:sz w:val="44"/>
          <w:szCs w:val="44"/>
        </w:rPr>
      </w:pPr>
      <w:r>
        <w:rPr>
          <w:rFonts w:hint="eastAsia" w:ascii="Times New Roman" w:hAnsi="Times New Roman" w:eastAsia="宋体" w:cs="Times New Roman"/>
          <w:b/>
          <w:bCs/>
          <w:color w:val="auto"/>
          <w:sz w:val="50"/>
          <w:szCs w:val="44"/>
        </w:rPr>
        <w:t>技     术     报     告</w:t>
      </w:r>
    </w:p>
    <w:p w14:paraId="1C07A962">
      <w:pPr>
        <w:keepNext w:val="0"/>
        <w:spacing w:after="140" w:line="312" w:lineRule="auto"/>
        <w:rPr>
          <w:rFonts w:ascii="Times New Roman" w:hAnsi="Times New Roman" w:eastAsia="宋体" w:cs="Times New Roman"/>
          <w:color w:val="auto"/>
          <w:sz w:val="30"/>
          <w:szCs w:val="30"/>
        </w:rPr>
      </w:pPr>
    </w:p>
    <w:p w14:paraId="6CF9C334">
      <w:pPr>
        <w:keepNext w:val="0"/>
        <w:spacing w:after="140" w:line="312" w:lineRule="auto"/>
        <w:ind w:left="1394" w:leftChars="664"/>
        <w:rPr>
          <w:rFonts w:ascii="Times New Roman" w:hAnsi="Times New Roman" w:eastAsia="宋体" w:cs="Times New Roman"/>
          <w:color w:val="auto"/>
          <w:sz w:val="30"/>
          <w:szCs w:val="30"/>
        </w:rPr>
      </w:pPr>
      <w:r>
        <w:rPr>
          <w:rFonts w:hint="eastAsia" w:ascii="Times New Roman" w:hAnsi="Times New Roman" w:eastAsia="Noto Serif CJK SC" w:cs="Times New Roman"/>
          <w:color w:val="auto"/>
          <w:sz w:val="26"/>
          <w:szCs w:val="30"/>
        </w:rPr>
        <w:t>团队</w:t>
      </w:r>
      <w:r>
        <w:rPr>
          <w:rFonts w:ascii="Times New Roman" w:hAnsi="Times New Roman" w:eastAsia="Noto Serif CJK SC" w:cs="Times New Roman"/>
          <w:color w:val="auto"/>
          <w:sz w:val="26"/>
          <w:szCs w:val="30"/>
        </w:rPr>
        <w:t>名称： __________________________</w:t>
      </w:r>
    </w:p>
    <w:p w14:paraId="44C2A158">
      <w:pPr>
        <w:keepNext w:val="0"/>
        <w:spacing w:after="140" w:line="312" w:lineRule="auto"/>
        <w:ind w:left="1394" w:leftChars="664"/>
        <w:rPr>
          <w:rFonts w:hint="default" w:ascii="Times New Roman" w:hAnsi="Times New Roman" w:eastAsia="宋体" w:cs="Times New Roman"/>
          <w:color w:val="auto"/>
          <w:sz w:val="30"/>
          <w:szCs w:val="30"/>
          <w:lang w:val="en-US" w:eastAsia="zh-CN"/>
        </w:rPr>
      </w:pPr>
      <w:r>
        <w:rPr>
          <w:rFonts w:ascii="Times New Roman" w:hAnsi="Times New Roman" w:eastAsia="Noto Serif CJK SC" w:cs="Times New Roman"/>
          <w:color w:val="auto"/>
          <w:sz w:val="26"/>
          <w:szCs w:val="30"/>
        </w:rPr>
        <w:t>参赛赛道：专项命题挑战赛道</w:t>
      </w:r>
      <w:r>
        <w:rPr>
          <w:rFonts w:hint="eastAsia" w:ascii="Times New Roman" w:hAnsi="Times New Roman" w:eastAsia="Noto Serif CJK SC" w:cs="Times New Roman"/>
          <w:color w:val="auto"/>
          <w:sz w:val="26"/>
          <w:szCs w:val="30"/>
        </w:rPr>
        <w:t xml:space="preserve">  赛道A/B/C/D</w:t>
      </w:r>
      <w:r>
        <w:rPr>
          <w:rFonts w:hint="eastAsia" w:ascii="Times New Roman" w:hAnsi="Times New Roman" w:eastAsia="Noto Serif CJK SC" w:cs="Times New Roman"/>
          <w:color w:val="auto"/>
          <w:sz w:val="26"/>
          <w:szCs w:val="30"/>
          <w:lang w:val="en-US" w:eastAsia="zh-CN"/>
        </w:rPr>
        <w:t>/E/F</w:t>
      </w:r>
    </w:p>
    <w:p w14:paraId="79B485C1">
      <w:pPr>
        <w:keepNext w:val="0"/>
        <w:spacing w:after="140" w:line="312" w:lineRule="auto"/>
        <w:ind w:left="1394" w:leftChars="664"/>
        <w:rPr>
          <w:rFonts w:ascii="Times New Roman" w:hAnsi="Times New Roman" w:eastAsia="宋体" w:cs="Times New Roman"/>
          <w:color w:val="auto"/>
          <w:sz w:val="30"/>
          <w:szCs w:val="30"/>
        </w:rPr>
      </w:pPr>
      <w:r>
        <w:rPr>
          <w:rFonts w:hint="eastAsia" w:ascii="Times New Roman" w:hAnsi="Times New Roman" w:eastAsia="Noto Serif CJK SC" w:cs="Times New Roman"/>
          <w:color w:val="auto"/>
          <w:sz w:val="26"/>
          <w:szCs w:val="30"/>
        </w:rPr>
        <w:t>项目负责人：</w:t>
      </w:r>
      <w:r>
        <w:rPr>
          <w:rFonts w:ascii="Times New Roman" w:hAnsi="Times New Roman" w:eastAsia="Noto Serif CJK SC" w:cs="Times New Roman"/>
          <w:color w:val="auto"/>
          <w:sz w:val="26"/>
          <w:szCs w:val="30"/>
        </w:rPr>
        <w:t>_________________________</w:t>
      </w:r>
    </w:p>
    <w:p w14:paraId="1D7C46AF">
      <w:pPr>
        <w:keepNext w:val="0"/>
        <w:spacing w:after="140" w:line="312" w:lineRule="auto"/>
        <w:ind w:left="1394" w:leftChars="664"/>
        <w:rPr>
          <w:rFonts w:ascii="Times New Roman" w:hAnsi="Times New Roman" w:eastAsia="宋体" w:cs="Times New Roman"/>
          <w:color w:val="auto"/>
          <w:sz w:val="30"/>
          <w:szCs w:val="30"/>
        </w:rPr>
      </w:pPr>
      <w:r>
        <w:rPr>
          <w:rFonts w:hint="eastAsia" w:ascii="Times New Roman" w:hAnsi="Times New Roman" w:eastAsia="Noto Serif CJK SC" w:cs="Times New Roman"/>
          <w:color w:val="auto"/>
          <w:sz w:val="26"/>
          <w:szCs w:val="30"/>
        </w:rPr>
        <w:t xml:space="preserve">所属学院： </w:t>
      </w:r>
      <w:r>
        <w:rPr>
          <w:rFonts w:ascii="Times New Roman" w:hAnsi="Times New Roman" w:eastAsia="Noto Serif CJK SC" w:cs="Times New Roman"/>
          <w:color w:val="auto"/>
          <w:sz w:val="26"/>
          <w:szCs w:val="30"/>
        </w:rPr>
        <w:t>__________________________</w:t>
      </w:r>
    </w:p>
    <w:p w14:paraId="43B06DEF">
      <w:pPr>
        <w:keepNext w:val="0"/>
        <w:spacing w:after="140" w:line="312" w:lineRule="auto"/>
        <w:ind w:left="1394" w:leftChars="664"/>
        <w:rPr>
          <w:rFonts w:ascii="Times New Roman" w:hAnsi="Times New Roman" w:eastAsia="宋体" w:cs="Times New Roman"/>
          <w:color w:val="auto"/>
          <w:sz w:val="30"/>
          <w:szCs w:val="30"/>
        </w:rPr>
      </w:pPr>
      <w:r>
        <w:rPr>
          <w:rFonts w:ascii="Times New Roman" w:hAnsi="Times New Roman" w:eastAsia="Noto Serif CJK SC" w:cs="Times New Roman"/>
          <w:color w:val="auto"/>
          <w:sz w:val="26"/>
          <w:szCs w:val="30"/>
        </w:rPr>
        <w:t>联系电话： __________________________</w:t>
      </w:r>
    </w:p>
    <w:p w14:paraId="627632CD">
      <w:pPr>
        <w:keepNext w:val="0"/>
        <w:spacing w:after="140" w:line="312" w:lineRule="auto"/>
        <w:ind w:left="1394" w:leftChars="664"/>
        <w:rPr>
          <w:rFonts w:ascii="Times New Roman" w:hAnsi="Times New Roman" w:eastAsia="宋体" w:cs="Times New Roman"/>
          <w:color w:val="auto"/>
          <w:sz w:val="30"/>
          <w:szCs w:val="30"/>
        </w:rPr>
      </w:pPr>
      <w:r>
        <w:rPr>
          <w:rFonts w:ascii="Times New Roman" w:hAnsi="Times New Roman" w:eastAsia="Noto Serif CJK SC" w:cs="Times New Roman"/>
          <w:color w:val="auto"/>
          <w:sz w:val="26"/>
          <w:szCs w:val="30"/>
        </w:rPr>
        <w:t>团队成员： __________________________</w:t>
      </w:r>
    </w:p>
    <w:p w14:paraId="6B87DF87">
      <w:pPr>
        <w:keepNext w:val="0"/>
        <w:spacing w:after="140" w:line="312" w:lineRule="auto"/>
        <w:ind w:left="1394" w:leftChars="664"/>
        <w:rPr>
          <w:rFonts w:ascii="Times New Roman" w:hAnsi="Times New Roman" w:eastAsia="宋体" w:cs="Times New Roman"/>
          <w:color w:val="auto"/>
          <w:sz w:val="30"/>
          <w:szCs w:val="30"/>
        </w:rPr>
      </w:pPr>
      <w:r>
        <w:rPr>
          <w:rFonts w:hint="eastAsia" w:ascii="Times New Roman" w:hAnsi="Times New Roman" w:eastAsia="Noto Serif CJK SC" w:cs="Times New Roman"/>
          <w:color w:val="auto"/>
          <w:sz w:val="26"/>
          <w:szCs w:val="30"/>
        </w:rPr>
        <w:t>开源代码地址</w:t>
      </w:r>
      <w:r>
        <w:rPr>
          <w:rFonts w:ascii="Times New Roman" w:hAnsi="Times New Roman" w:eastAsia="Noto Serif CJK SC" w:cs="Times New Roman"/>
          <w:color w:val="auto"/>
          <w:sz w:val="26"/>
          <w:szCs w:val="30"/>
        </w:rPr>
        <w:t>：</w:t>
      </w:r>
      <w:r>
        <w:rPr>
          <w:rFonts w:hint="eastAsia" w:ascii="Times New Roman" w:hAnsi="Times New Roman" w:eastAsia="Noto Serif CJK SC" w:cs="Times New Roman"/>
          <w:color w:val="auto"/>
          <w:sz w:val="26"/>
          <w:szCs w:val="30"/>
        </w:rPr>
        <w:t xml:space="preserve"> </w:t>
      </w:r>
      <w:r>
        <w:rPr>
          <w:rFonts w:ascii="Times New Roman" w:hAnsi="Times New Roman" w:eastAsia="Noto Serif CJK SC" w:cs="Times New Roman"/>
          <w:color w:val="auto"/>
          <w:sz w:val="26"/>
          <w:szCs w:val="30"/>
        </w:rPr>
        <w:t>______________________</w:t>
      </w:r>
    </w:p>
    <w:p w14:paraId="56971DF3">
      <w:pPr>
        <w:keepNext w:val="0"/>
        <w:spacing w:after="140" w:line="312" w:lineRule="auto"/>
        <w:ind w:left="1394" w:leftChars="664"/>
        <w:rPr>
          <w:rFonts w:ascii="Times New Roman" w:hAnsi="Times New Roman" w:eastAsia="宋体" w:cs="Times New Roman"/>
          <w:color w:val="auto"/>
          <w:sz w:val="30"/>
          <w:szCs w:val="30"/>
        </w:rPr>
      </w:pPr>
      <w:r>
        <w:rPr>
          <w:rFonts w:hint="eastAsia" w:ascii="Times New Roman" w:hAnsi="Times New Roman" w:eastAsia="Noto Serif CJK SC" w:cs="Times New Roman"/>
          <w:color w:val="auto"/>
          <w:sz w:val="26"/>
          <w:szCs w:val="30"/>
        </w:rPr>
        <w:t>指导教师</w:t>
      </w:r>
      <w:r>
        <w:rPr>
          <w:rFonts w:ascii="Times New Roman" w:hAnsi="Times New Roman" w:eastAsia="Noto Serif CJK SC" w:cs="Times New Roman"/>
          <w:color w:val="auto"/>
          <w:sz w:val="26"/>
          <w:szCs w:val="30"/>
        </w:rPr>
        <w:t>： __________________________</w:t>
      </w:r>
    </w:p>
    <w:p w14:paraId="7EFDA876">
      <w:pPr>
        <w:keepNext w:val="0"/>
        <w:spacing w:after="140" w:line="312" w:lineRule="auto"/>
        <w:ind w:left="1394" w:leftChars="664"/>
        <w:rPr>
          <w:rFonts w:ascii="Times New Roman" w:hAnsi="Times New Roman" w:eastAsia="宋体" w:cs="Times New Roman"/>
          <w:color w:val="auto"/>
        </w:rPr>
      </w:pPr>
      <w:r>
        <w:rPr>
          <w:rFonts w:hint="eastAsia" w:ascii="Times New Roman" w:hAnsi="Times New Roman" w:eastAsia="Noto Serif CJK SC" w:cs="Times New Roman"/>
          <w:color w:val="auto"/>
          <w:sz w:val="26"/>
          <w:szCs w:val="30"/>
        </w:rPr>
        <w:t>填写</w:t>
      </w:r>
      <w:r>
        <w:rPr>
          <w:rFonts w:ascii="Times New Roman" w:hAnsi="Times New Roman" w:eastAsia="Noto Serif CJK SC" w:cs="Times New Roman"/>
          <w:color w:val="auto"/>
          <w:sz w:val="26"/>
          <w:szCs w:val="30"/>
        </w:rPr>
        <w:t>日期： __________________________</w:t>
      </w:r>
    </w:p>
    <w:p w14:paraId="0073D236">
      <w:pPr>
        <w:rPr>
          <w:rFonts w:ascii="Times New Roman" w:hAnsi="Times New Roman"/>
          <w:color w:val="auto"/>
        </w:rPr>
      </w:pPr>
      <w:r>
        <w:rPr>
          <w:rFonts w:ascii="Times New Roman" w:hAnsi="Times New Roman"/>
          <w:color w:val="auto"/>
        </w:rPr>
        <w:br w:type="page"/>
      </w:r>
    </w:p>
    <w:p w14:paraId="68BC5797">
      <w:pPr>
        <w:pStyle w:val="45"/>
        <w:rPr>
          <w:rFonts w:ascii="Times New Roman" w:hAnsi="Times New Roman"/>
          <w:color w:val="auto"/>
        </w:rPr>
      </w:pPr>
      <w:r>
        <w:rPr>
          <w:rFonts w:ascii="Times New Roman" w:hAnsi="Times New Roman"/>
          <w:color w:val="auto"/>
        </w:rPr>
        <w:t>一、榜单成绩</w:t>
      </w:r>
    </w:p>
    <w:p w14:paraId="4A63F701">
      <w:pPr>
        <w:pStyle w:val="48"/>
        <w:ind w:firstLine="0"/>
        <w:rPr>
          <w:rFonts w:ascii="Times New Roman" w:hAnsi="Times New Roman"/>
          <w:color w:val="auto"/>
        </w:rPr>
      </w:pPr>
      <w:r>
        <w:rPr>
          <w:rFonts w:ascii="Times New Roman" w:hAnsi="Times New Roman"/>
          <w:color w:val="auto"/>
        </w:rPr>
        <w:t>VLP 平台用户名：________________________    方法名称：ResNet34-UNet 五模型概率集成与两级后处理</w:t>
      </w:r>
    </w:p>
    <w:p w14:paraId="0F5A9416">
      <w:pPr>
        <w:pStyle w:val="48"/>
        <w:ind w:firstLine="0"/>
        <w:rPr>
          <w:rFonts w:ascii="Times New Roman" w:hAnsi="Times New Roman"/>
          <w:color w:val="auto"/>
        </w:rPr>
      </w:pPr>
      <w:r>
        <w:rPr>
          <w:rFonts w:ascii="Times New Roman" w:hAnsi="Times New Roman"/>
          <w:color w:val="auto"/>
        </w:rPr>
        <w:t>专项命题挑战赛道：________    当前排名：________    平台指标得分：________</w:t>
      </w:r>
    </w:p>
    <w:p w14:paraId="41FA895B">
      <w:pPr>
        <w:spacing w:before="120" w:after="260"/>
        <w:rPr>
          <w:rFonts w:ascii="Times New Roman" w:hAnsi="Times New Roman"/>
          <w:color w:val="auto"/>
        </w:rPr>
      </w:pPr>
      <w:r>
        <w:rPr>
          <w:rFonts w:ascii="Times New Roman" w:hAnsi="Times New Roman"/>
          <w:i/>
          <w:color w:val="auto"/>
        </w:rPr>
        <w:t>平台榜单截图及排名标注区</w:t>
      </w:r>
    </w:p>
    <w:p w14:paraId="6F56CBCA">
      <w:pPr>
        <w:pStyle w:val="45"/>
        <w:rPr>
          <w:rFonts w:ascii="Times New Roman" w:hAnsi="Times New Roman"/>
          <w:color w:val="auto"/>
        </w:rPr>
      </w:pPr>
      <w:r>
        <w:rPr>
          <w:rFonts w:ascii="Times New Roman" w:hAnsi="Times New Roman"/>
          <w:color w:val="auto"/>
        </w:rPr>
        <w:t>二、技术方案与核心创新点</w:t>
      </w:r>
    </w:p>
    <w:p w14:paraId="71C00566">
      <w:pPr>
        <w:pStyle w:val="46"/>
        <w:rPr>
          <w:rFonts w:ascii="Times New Roman" w:hAnsi="Times New Roman"/>
          <w:color w:val="auto"/>
        </w:rPr>
      </w:pPr>
      <w:r>
        <w:rPr>
          <w:rFonts w:ascii="Times New Roman" w:hAnsi="Times New Roman"/>
          <w:color w:val="auto"/>
        </w:rPr>
        <w:t>2.1 任务定位与总体设计</w:t>
      </w:r>
    </w:p>
    <w:p w14:paraId="5D60ED96">
      <w:pPr>
        <w:ind w:firstLine="420"/>
        <w:rPr>
          <w:rFonts w:ascii="Times New Roman" w:hAnsi="Times New Roman"/>
          <w:color w:val="auto"/>
        </w:rPr>
      </w:pPr>
      <w:r>
        <w:rPr>
          <w:rFonts w:ascii="Times New Roman" w:hAnsi="Times New Roman"/>
          <w:color w:val="auto"/>
        </w:rPr>
        <w:t>本项目面向无人机高空航拍条件下的路面裂缝语义分割，建立从视觉特征提取、像素级概率推断到结构化结果修正的完整技术链路。输入为 378×672 的 RGB 路面图像，输出与原图严格对齐的裂缝二值掩膜，使裂缝分布、走向及细部轮廓能够以像素级形式表达。与一般面状目标相比，裂缝具有显著的细长结构特征：局部宽度仅数个像素，空间延展性强；背景纹理复杂，正负类比例悬殊。</w:t>
      </w:r>
    </w:p>
    <w:p w14:paraId="037B4CE0">
      <w:pPr>
        <w:pStyle w:val="49"/>
        <w:jc w:val="center"/>
        <w:rPr>
          <w:rFonts w:ascii="Times New Roman" w:hAnsi="Times New Roman"/>
          <w:color w:val="auto"/>
        </w:rPr>
      </w:pPr>
      <m:oMathPara>
        <m:oMath>
          <m:r>
            <m:rPr/>
            <w:rPr>
              <w:rFonts w:ascii="Times New Roman" w:hAnsi="Times New Roman"/>
              <w:color w:val="auto"/>
            </w:rPr>
            <m:t>I</m:t>
          </m:r>
          <m:r>
            <m:rPr>
              <m:sty m:val="p"/>
            </m:rPr>
            <w:rPr>
              <w:rFonts w:hint="default" w:ascii="Times New Roman" w:hAnsi="Times New Roman" w:cs="Times New Roman"/>
              <w:color w:val="auto"/>
            </w:rPr>
            <m:t>∈</m:t>
          </m:r>
          <m:sSup>
            <m:sSupPr>
              <m:ctrlPr>
                <w:rPr>
                  <w:rFonts w:hint="default" w:ascii="Cambria Math" w:hAnsi="Cambria Math" w:cs="Times New Roman"/>
                  <w:b w:val="0"/>
                  <w:i w:val="0"/>
                  <w:color w:val="auto"/>
                </w:rPr>
              </m:ctrlPr>
            </m:sSupPr>
            <m:e>
              <m:r>
                <m:rPr>
                  <m:sty m:val="p"/>
                  <m:scr m:val="double-struck"/>
                </m:rPr>
                <w:rPr>
                  <w:rFonts w:hint="default" w:ascii="Times New Roman" w:hAnsi="Times New Roman" w:eastAsia="MS Mincho" w:cs="MS Mincho"/>
                  <w:color w:val="auto"/>
                </w:rPr>
                <m:t>ℝ</m:t>
              </m:r>
              <m:ctrlPr>
                <w:rPr>
                  <w:rFonts w:hint="default" w:ascii="Cambria Math" w:hAnsi="Cambria Math" w:cs="Times New Roman"/>
                  <w:b w:val="0"/>
                  <w:i w:val="0"/>
                  <w:color w:val="auto"/>
                </w:rPr>
              </m:ctrlPr>
            </m:e>
            <m:sup>
              <m:r>
                <m:rPr>
                  <m:sty m:val="p"/>
                </m:rPr>
                <w:rPr>
                  <w:rFonts w:hint="default" w:ascii="Times New Roman" w:hAnsi="Times New Roman" w:cs="Times New Roman"/>
                  <w:color w:val="auto"/>
                </w:rPr>
                <m:t>378×672×3</m:t>
              </m:r>
              <m:ctrlPr>
                <w:rPr>
                  <w:rFonts w:hint="default" w:ascii="Cambria Math" w:hAnsi="Cambria Math" w:cs="Times New Roman"/>
                  <w:b w:val="0"/>
                  <w:i w:val="0"/>
                  <w:color w:val="auto"/>
                </w:rPr>
              </m:ctrlPr>
            </m:sup>
          </m:sSup>
          <m:r>
            <m:rPr>
              <m:sty m:val="p"/>
            </m:rPr>
            <w:rPr>
              <w:rFonts w:hint="default" w:ascii="Times New Roman" w:hAnsi="Times New Roman" w:cs="Times New Roman"/>
              <w:color w:val="auto"/>
            </w:rPr>
            <m:t>, </m:t>
          </m:r>
          <m:acc>
            <m:accPr>
              <m:ctrlPr>
                <w:rPr>
                  <w:rFonts w:hint="default" w:ascii="Cambria Math" w:hAnsi="Cambria Math" w:cs="Times New Roman"/>
                  <w:b w:val="0"/>
                  <w:i w:val="0"/>
                  <w:color w:val="auto"/>
                </w:rPr>
              </m:ctrlPr>
            </m:accPr>
            <m:e>
              <m:r>
                <m:rPr>
                  <m:sty m:val="p"/>
                </m:rPr>
                <w:rPr>
                  <w:rFonts w:hint="default" w:ascii="Times New Roman" w:hAnsi="Times New Roman" w:cs="Times New Roman"/>
                  <w:color w:val="auto"/>
                </w:rPr>
                <m:t>Y</m:t>
              </m:r>
              <m:ctrlPr>
                <w:rPr>
                  <w:rFonts w:hint="default" w:ascii="Cambria Math" w:hAnsi="Cambria Math" w:cs="Times New Roman"/>
                  <w:b w:val="0"/>
                  <w:i w:val="0"/>
                  <w:color w:val="auto"/>
                </w:rPr>
              </m:ctrlPr>
            </m:e>
          </m:acc>
          <m:r>
            <m:rPr>
              <m:sty m:val="p"/>
            </m:rPr>
            <w:rPr>
              <w:rFonts w:hint="default" w:ascii="Times New Roman" w:hAnsi="Times New Roman" w:cs="Times New Roman"/>
              <w:color w:val="auto"/>
            </w:rPr>
            <m:t>∈</m:t>
          </m:r>
          <m:r>
            <m:rPr>
              <m:nor/>
              <m:sty m:val="p"/>
            </m:rPr>
            <w:rPr>
              <w:rFonts w:hint="default" w:ascii="Times New Roman" w:hAnsi="Times New Roman" w:cs="Times New Roman"/>
              <w:color w:val="auto"/>
            </w:rPr>
            <m:t>{0,1</m:t>
          </m:r>
          <m:sSup>
            <m:sSupPr>
              <m:ctrlPr>
                <w:rPr>
                  <w:rFonts w:hint="default" w:ascii="Cambria Math" w:hAnsi="Cambria Math" w:cs="Times New Roman"/>
                  <w:color w:val="auto"/>
                </w:rPr>
              </m:ctrlPr>
            </m:sSupPr>
            <m:e>
              <m:r>
                <m:rPr>
                  <m:nor/>
                  <m:sty m:val="p"/>
                </m:rPr>
                <w:rPr>
                  <w:rFonts w:hint="default" w:ascii="Times New Roman" w:hAnsi="Times New Roman" w:cs="Times New Roman"/>
                  <w:b w:val="0"/>
                  <w:i w:val="0"/>
                  <w:color w:val="auto"/>
                </w:rPr>
                <m:t>}</m:t>
              </m:r>
              <m:ctrlPr>
                <w:rPr>
                  <w:rFonts w:hint="default" w:ascii="Cambria Math" w:hAnsi="Cambria Math" w:cs="Times New Roman"/>
                  <w:color w:val="auto"/>
                </w:rPr>
              </m:ctrlPr>
            </m:e>
            <m:sup>
              <m:r>
                <m:rPr>
                  <m:nor/>
                  <m:sty m:val="p"/>
                </m:rPr>
                <w:rPr>
                  <w:rFonts w:hint="default" w:ascii="Times New Roman" w:hAnsi="Times New Roman" w:cs="Times New Roman"/>
                  <w:b w:val="0"/>
                  <w:i w:val="0"/>
                  <w:color w:val="auto"/>
                </w:rPr>
                <m:t>378×672</m:t>
              </m:r>
              <m:ctrlPr>
                <w:rPr>
                  <w:rFonts w:hint="default" w:ascii="Cambria Math" w:hAnsi="Cambria Math" w:cs="Times New Roman"/>
                  <w:color w:val="auto"/>
                </w:rPr>
              </m:ctrlPr>
            </m:sup>
          </m:sSup>
        </m:oMath>
      </m:oMathPara>
    </w:p>
    <w:p w14:paraId="614B1C1C">
      <w:pPr>
        <w:ind w:firstLine="420"/>
        <w:rPr>
          <w:rFonts w:ascii="Times New Roman" w:hAnsi="Times New Roman"/>
          <w:color w:val="auto"/>
        </w:rPr>
      </w:pPr>
      <w:r>
        <w:rPr>
          <w:rFonts w:ascii="Times New Roman" w:hAnsi="Times New Roman"/>
          <w:color w:val="auto"/>
        </w:rPr>
        <w:t>围绕上述任务特性，方案采用“高质量样本组织—多尺度特征编码—类别不平衡目标优化—多模型概率融合—边界精细校正”的协同设计思路。其着力点并非简单增加网络深度，而是围绕裂缝的尺度差异与像素边界特性，逐层建立具有明确物理直觉、统计依据和工程可执行性的技术约束。</w:t>
      </w:r>
    </w:p>
    <w:p w14:paraId="3182539E">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989320" cy="147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89320" cy="1473308"/>
                    </a:xfrm>
                    <a:prstGeom prst="rect">
                      <a:avLst/>
                    </a:prstGeom>
                  </pic:spPr>
                </pic:pic>
              </a:graphicData>
            </a:graphic>
          </wp:inline>
        </w:drawing>
      </w:r>
    </w:p>
    <w:p w14:paraId="40E839C6">
      <w:pPr>
        <w:pStyle w:val="47"/>
        <w:keepNext w:val="0"/>
        <w:jc w:val="center"/>
        <w:rPr>
          <w:rFonts w:ascii="Times New Roman" w:hAnsi="Times New Roman"/>
          <w:color w:val="auto"/>
        </w:rPr>
      </w:pPr>
      <w:r>
        <w:rPr>
          <w:rFonts w:ascii="Times New Roman" w:hAnsi="Times New Roman"/>
          <w:color w:val="auto"/>
        </w:rPr>
        <w:t>图 2-1  UAV 航拍路面裂缝分割算法整体流程</w:t>
      </w:r>
    </w:p>
    <w:p w14:paraId="56A82359">
      <w:pPr>
        <w:pStyle w:val="46"/>
        <w:rPr>
          <w:rFonts w:ascii="Times New Roman" w:hAnsi="Times New Roman"/>
          <w:color w:val="auto"/>
        </w:rPr>
      </w:pPr>
      <w:r>
        <w:rPr>
          <w:rFonts w:ascii="Times New Roman" w:hAnsi="Times New Roman"/>
          <w:color w:val="auto"/>
        </w:rPr>
        <w:t>2.2 数据组织与多视角样本增强</w:t>
      </w:r>
    </w:p>
    <w:p w14:paraId="46FC0D26">
      <w:pPr>
        <w:ind w:firstLine="420"/>
        <w:rPr>
          <w:rFonts w:ascii="Times New Roman" w:hAnsi="Times New Roman"/>
          <w:color w:val="auto"/>
        </w:rPr>
      </w:pPr>
      <w:r>
        <w:rPr>
          <w:rFonts w:ascii="Times New Roman" w:hAnsi="Times New Roman"/>
          <w:color w:val="auto"/>
        </w:rPr>
        <w:t>项目使用 UAV-CrackX 航拍路面数据，覆盖 X4、X8、X16 三类变焦场景。原始有标注图像共 1200 张，经标签质量核验形成 1177 张高质量有标注样本。训练与效果验证均以原始航拍帧为基本组织单位，对同一飞行帧生成的图像切片实施统一分组管理，构建 831 张训练图像、153 张参数验证图像和 193 张留出评估图像的实验协议。该设计提升了不同参数配置之间的比较一致性，也使性能评价更贴近航拍影像的真实空间关联结构。 最终全量训练阶段将 1177 张有标注图像用于独立成员的监督训练。</w:t>
      </w:r>
    </w:p>
    <w:p w14:paraId="45A292A6">
      <w:pPr>
        <w:pStyle w:val="50"/>
        <w:rPr>
          <w:rFonts w:ascii="Times New Roman" w:hAnsi="Times New Roman"/>
          <w:color w:val="auto"/>
        </w:rPr>
      </w:pPr>
      <w:r>
        <w:rPr>
          <w:rFonts w:ascii="Times New Roman" w:hAnsi="Times New Roman"/>
          <w:color w:val="auto"/>
        </w:rPr>
        <w:t>表 2-1  数据集与分组评估方案</w:t>
      </w:r>
    </w:p>
    <w:tbl>
      <w:tblPr>
        <w:tblStyle w:val="17"/>
        <w:tblW w:w="0" w:type="auto"/>
        <w:jc w:val="center"/>
        <w:tblLayout w:type="fixed"/>
        <w:tblCellMar>
          <w:top w:w="0" w:type="dxa"/>
          <w:left w:w="108" w:type="dxa"/>
          <w:bottom w:w="0" w:type="dxa"/>
          <w:right w:w="108" w:type="dxa"/>
        </w:tblCellMar>
      </w:tblPr>
      <w:tblGrid>
        <w:gridCol w:w="1886"/>
        <w:gridCol w:w="1886"/>
        <w:gridCol w:w="1886"/>
        <w:gridCol w:w="1886"/>
        <w:gridCol w:w="1886"/>
      </w:tblGrid>
      <w:tr w14:paraId="0BFCFBEE">
        <w:tblPrEx>
          <w:tblCellMar>
            <w:top w:w="0" w:type="dxa"/>
            <w:left w:w="108" w:type="dxa"/>
            <w:bottom w:w="0" w:type="dxa"/>
            <w:right w:w="108" w:type="dxa"/>
          </w:tblCellMar>
        </w:tblPrEx>
        <w:trPr>
          <w:cantSplit/>
          <w:tblHeader/>
          <w:jc w:val="center"/>
        </w:trPr>
        <w:tc>
          <w:tcPr>
            <w:tcW w:w="1886" w:type="dxa"/>
            <w:tcBorders>
              <w:top w:val="single" w:color="222222" w:sz="10" w:space="0"/>
              <w:left w:val="nil"/>
              <w:bottom w:val="single" w:color="222222" w:sz="6" w:space="0"/>
              <w:right w:val="nil"/>
              <w:insideH w:val="nil"/>
              <w:insideV w:val="nil"/>
            </w:tcBorders>
            <w:vAlign w:val="center"/>
          </w:tcPr>
          <w:p w14:paraId="52E4D6E0">
            <w:pPr>
              <w:spacing w:before="60" w:after="60" w:line="300" w:lineRule="auto"/>
              <w:jc w:val="center"/>
              <w:rPr>
                <w:rFonts w:ascii="Times New Roman" w:hAnsi="Times New Roman"/>
                <w:color w:val="auto"/>
              </w:rPr>
            </w:pPr>
            <w:r>
              <w:rPr>
                <w:rFonts w:ascii="Times New Roman" w:hAnsi="Times New Roman" w:eastAsia="Noto Serif CJK SC"/>
                <w:b/>
                <w:color w:val="auto"/>
                <w:sz w:val="17"/>
              </w:rPr>
              <w:t>变焦倍率</w:t>
            </w:r>
          </w:p>
        </w:tc>
        <w:tc>
          <w:tcPr>
            <w:tcW w:w="1886" w:type="dxa"/>
            <w:tcBorders>
              <w:top w:val="single" w:color="222222" w:sz="10" w:space="0"/>
              <w:left w:val="nil"/>
              <w:bottom w:val="single" w:color="222222" w:sz="6" w:space="0"/>
              <w:right w:val="nil"/>
              <w:insideH w:val="nil"/>
              <w:insideV w:val="nil"/>
            </w:tcBorders>
            <w:vAlign w:val="center"/>
          </w:tcPr>
          <w:p w14:paraId="47002EB4">
            <w:pPr>
              <w:spacing w:before="60" w:after="60" w:line="300" w:lineRule="auto"/>
              <w:jc w:val="center"/>
              <w:rPr>
                <w:rFonts w:ascii="Times New Roman" w:hAnsi="Times New Roman"/>
                <w:color w:val="auto"/>
              </w:rPr>
            </w:pPr>
            <w:r>
              <w:rPr>
                <w:rFonts w:ascii="Times New Roman" w:hAnsi="Times New Roman" w:eastAsia="Noto Serif CJK SC"/>
                <w:b/>
                <w:color w:val="auto"/>
                <w:sz w:val="17"/>
              </w:rPr>
              <w:t>训练样本</w:t>
            </w:r>
          </w:p>
        </w:tc>
        <w:tc>
          <w:tcPr>
            <w:tcW w:w="1886" w:type="dxa"/>
            <w:tcBorders>
              <w:top w:val="single" w:color="222222" w:sz="10" w:space="0"/>
              <w:left w:val="nil"/>
              <w:bottom w:val="single" w:color="222222" w:sz="6" w:space="0"/>
              <w:right w:val="nil"/>
              <w:insideH w:val="nil"/>
              <w:insideV w:val="nil"/>
            </w:tcBorders>
            <w:vAlign w:val="center"/>
          </w:tcPr>
          <w:p w14:paraId="124F1F55">
            <w:pPr>
              <w:spacing w:before="60" w:after="60" w:line="300" w:lineRule="auto"/>
              <w:jc w:val="center"/>
              <w:rPr>
                <w:rFonts w:ascii="Times New Roman" w:hAnsi="Times New Roman"/>
                <w:color w:val="auto"/>
              </w:rPr>
            </w:pPr>
            <w:r>
              <w:rPr>
                <w:rFonts w:ascii="Times New Roman" w:hAnsi="Times New Roman" w:eastAsia="Noto Serif CJK SC"/>
                <w:b/>
                <w:color w:val="auto"/>
                <w:sz w:val="17"/>
              </w:rPr>
              <w:t>参数验证</w:t>
            </w:r>
          </w:p>
        </w:tc>
        <w:tc>
          <w:tcPr>
            <w:tcW w:w="1886" w:type="dxa"/>
            <w:tcBorders>
              <w:top w:val="single" w:color="222222" w:sz="10" w:space="0"/>
              <w:left w:val="nil"/>
              <w:bottom w:val="single" w:color="222222" w:sz="6" w:space="0"/>
              <w:right w:val="nil"/>
              <w:insideH w:val="nil"/>
              <w:insideV w:val="nil"/>
            </w:tcBorders>
            <w:vAlign w:val="center"/>
          </w:tcPr>
          <w:p w14:paraId="0324E875">
            <w:pPr>
              <w:spacing w:before="60" w:after="60" w:line="300" w:lineRule="auto"/>
              <w:jc w:val="center"/>
              <w:rPr>
                <w:rFonts w:ascii="Times New Roman" w:hAnsi="Times New Roman"/>
                <w:color w:val="auto"/>
              </w:rPr>
            </w:pPr>
            <w:r>
              <w:rPr>
                <w:rFonts w:ascii="Times New Roman" w:hAnsi="Times New Roman" w:eastAsia="Noto Serif CJK SC"/>
                <w:b/>
                <w:color w:val="auto"/>
                <w:sz w:val="17"/>
              </w:rPr>
              <w:t>留出评估</w:t>
            </w:r>
          </w:p>
        </w:tc>
        <w:tc>
          <w:tcPr>
            <w:tcW w:w="1886" w:type="dxa"/>
            <w:tcBorders>
              <w:top w:val="single" w:color="222222" w:sz="10" w:space="0"/>
              <w:left w:val="nil"/>
              <w:bottom w:val="single" w:color="222222" w:sz="6" w:space="0"/>
              <w:right w:val="nil"/>
              <w:insideH w:val="nil"/>
              <w:insideV w:val="nil"/>
            </w:tcBorders>
            <w:vAlign w:val="center"/>
          </w:tcPr>
          <w:p w14:paraId="4123111E">
            <w:pPr>
              <w:spacing w:before="60" w:after="60" w:line="300" w:lineRule="auto"/>
              <w:jc w:val="center"/>
              <w:rPr>
                <w:rFonts w:ascii="Times New Roman" w:hAnsi="Times New Roman"/>
                <w:color w:val="auto"/>
              </w:rPr>
            </w:pPr>
            <w:r>
              <w:rPr>
                <w:rFonts w:ascii="Times New Roman" w:hAnsi="Times New Roman" w:eastAsia="Noto Serif CJK SC"/>
                <w:b/>
                <w:color w:val="auto"/>
                <w:sz w:val="17"/>
              </w:rPr>
              <w:t>合计</w:t>
            </w:r>
          </w:p>
        </w:tc>
      </w:tr>
      <w:tr w14:paraId="527EB92C">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0AAD8C80">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X4</w:t>
            </w:r>
          </w:p>
        </w:tc>
        <w:tc>
          <w:tcPr>
            <w:tcW w:w="1886" w:type="dxa"/>
            <w:tcBorders>
              <w:top w:val="nil"/>
              <w:left w:val="nil"/>
              <w:bottom w:val="nil"/>
              <w:right w:val="nil"/>
              <w:insideH w:val="nil"/>
              <w:insideV w:val="nil"/>
            </w:tcBorders>
            <w:vAlign w:val="center"/>
          </w:tcPr>
          <w:p w14:paraId="2334DEA1">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277</w:t>
            </w:r>
          </w:p>
        </w:tc>
        <w:tc>
          <w:tcPr>
            <w:tcW w:w="1886" w:type="dxa"/>
            <w:tcBorders>
              <w:top w:val="nil"/>
              <w:left w:val="nil"/>
              <w:bottom w:val="nil"/>
              <w:right w:val="nil"/>
              <w:insideH w:val="nil"/>
              <w:insideV w:val="nil"/>
            </w:tcBorders>
            <w:vAlign w:val="center"/>
          </w:tcPr>
          <w:p w14:paraId="5A66C4FE">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51</w:t>
            </w:r>
          </w:p>
        </w:tc>
        <w:tc>
          <w:tcPr>
            <w:tcW w:w="1886" w:type="dxa"/>
            <w:tcBorders>
              <w:top w:val="nil"/>
              <w:left w:val="nil"/>
              <w:bottom w:val="nil"/>
              <w:right w:val="nil"/>
              <w:insideH w:val="nil"/>
              <w:insideV w:val="nil"/>
            </w:tcBorders>
            <w:vAlign w:val="center"/>
          </w:tcPr>
          <w:p w14:paraId="73ACB63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62</w:t>
            </w:r>
          </w:p>
        </w:tc>
        <w:tc>
          <w:tcPr>
            <w:tcW w:w="1886" w:type="dxa"/>
            <w:tcBorders>
              <w:top w:val="nil"/>
              <w:left w:val="nil"/>
              <w:bottom w:val="nil"/>
              <w:right w:val="nil"/>
              <w:insideH w:val="nil"/>
              <w:insideV w:val="nil"/>
            </w:tcBorders>
            <w:vAlign w:val="center"/>
          </w:tcPr>
          <w:p w14:paraId="7833770C">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390</w:t>
            </w:r>
          </w:p>
        </w:tc>
      </w:tr>
      <w:tr w14:paraId="3443317E">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4FA39DF0">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X8</w:t>
            </w:r>
          </w:p>
        </w:tc>
        <w:tc>
          <w:tcPr>
            <w:tcW w:w="1886" w:type="dxa"/>
            <w:tcBorders>
              <w:top w:val="nil"/>
              <w:left w:val="nil"/>
              <w:bottom w:val="nil"/>
              <w:right w:val="nil"/>
              <w:insideH w:val="nil"/>
              <w:insideV w:val="nil"/>
            </w:tcBorders>
            <w:vAlign w:val="center"/>
          </w:tcPr>
          <w:p w14:paraId="75B038A5">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278</w:t>
            </w:r>
          </w:p>
        </w:tc>
        <w:tc>
          <w:tcPr>
            <w:tcW w:w="1886" w:type="dxa"/>
            <w:tcBorders>
              <w:top w:val="nil"/>
              <w:left w:val="nil"/>
              <w:bottom w:val="nil"/>
              <w:right w:val="nil"/>
              <w:insideH w:val="nil"/>
              <w:insideV w:val="nil"/>
            </w:tcBorders>
            <w:vAlign w:val="center"/>
          </w:tcPr>
          <w:p w14:paraId="2157014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51</w:t>
            </w:r>
          </w:p>
        </w:tc>
        <w:tc>
          <w:tcPr>
            <w:tcW w:w="1886" w:type="dxa"/>
            <w:tcBorders>
              <w:top w:val="nil"/>
              <w:left w:val="nil"/>
              <w:bottom w:val="nil"/>
              <w:right w:val="nil"/>
              <w:insideH w:val="nil"/>
              <w:insideV w:val="nil"/>
            </w:tcBorders>
            <w:vAlign w:val="center"/>
          </w:tcPr>
          <w:p w14:paraId="2EB8318E">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65</w:t>
            </w:r>
          </w:p>
        </w:tc>
        <w:tc>
          <w:tcPr>
            <w:tcW w:w="1886" w:type="dxa"/>
            <w:tcBorders>
              <w:top w:val="nil"/>
              <w:left w:val="nil"/>
              <w:bottom w:val="nil"/>
              <w:right w:val="nil"/>
              <w:insideH w:val="nil"/>
              <w:insideV w:val="nil"/>
            </w:tcBorders>
            <w:vAlign w:val="center"/>
          </w:tcPr>
          <w:p w14:paraId="2AC12DC0">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394</w:t>
            </w:r>
          </w:p>
        </w:tc>
      </w:tr>
      <w:tr w14:paraId="29D15C85">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714E2AE9">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X16</w:t>
            </w:r>
          </w:p>
        </w:tc>
        <w:tc>
          <w:tcPr>
            <w:tcW w:w="1886" w:type="dxa"/>
            <w:tcBorders>
              <w:top w:val="nil"/>
              <w:left w:val="nil"/>
              <w:bottom w:val="nil"/>
              <w:right w:val="nil"/>
              <w:insideH w:val="nil"/>
              <w:insideV w:val="nil"/>
            </w:tcBorders>
            <w:vAlign w:val="center"/>
          </w:tcPr>
          <w:p w14:paraId="645780B8">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276</w:t>
            </w:r>
          </w:p>
        </w:tc>
        <w:tc>
          <w:tcPr>
            <w:tcW w:w="1886" w:type="dxa"/>
            <w:tcBorders>
              <w:top w:val="nil"/>
              <w:left w:val="nil"/>
              <w:bottom w:val="nil"/>
              <w:right w:val="nil"/>
              <w:insideH w:val="nil"/>
              <w:insideV w:val="nil"/>
            </w:tcBorders>
            <w:vAlign w:val="center"/>
          </w:tcPr>
          <w:p w14:paraId="2AD7CE2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51</w:t>
            </w:r>
          </w:p>
        </w:tc>
        <w:tc>
          <w:tcPr>
            <w:tcW w:w="1886" w:type="dxa"/>
            <w:tcBorders>
              <w:top w:val="nil"/>
              <w:left w:val="nil"/>
              <w:bottom w:val="nil"/>
              <w:right w:val="nil"/>
              <w:insideH w:val="nil"/>
              <w:insideV w:val="nil"/>
            </w:tcBorders>
            <w:vAlign w:val="center"/>
          </w:tcPr>
          <w:p w14:paraId="3F1BCEA2">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66</w:t>
            </w:r>
          </w:p>
        </w:tc>
        <w:tc>
          <w:tcPr>
            <w:tcW w:w="1886" w:type="dxa"/>
            <w:tcBorders>
              <w:top w:val="nil"/>
              <w:left w:val="nil"/>
              <w:bottom w:val="nil"/>
              <w:right w:val="nil"/>
              <w:insideH w:val="nil"/>
              <w:insideV w:val="nil"/>
            </w:tcBorders>
            <w:vAlign w:val="center"/>
          </w:tcPr>
          <w:p w14:paraId="7846B192">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393</w:t>
            </w:r>
          </w:p>
        </w:tc>
      </w:tr>
      <w:tr w14:paraId="7539DCA6">
        <w:tblPrEx>
          <w:tblCellMar>
            <w:top w:w="0" w:type="dxa"/>
            <w:left w:w="108" w:type="dxa"/>
            <w:bottom w:w="0" w:type="dxa"/>
            <w:right w:w="108" w:type="dxa"/>
          </w:tblCellMar>
        </w:tblPrEx>
        <w:trPr>
          <w:cantSplit/>
          <w:jc w:val="center"/>
        </w:trPr>
        <w:tc>
          <w:tcPr>
            <w:tcW w:w="1886" w:type="dxa"/>
            <w:tcBorders>
              <w:top w:val="nil"/>
              <w:left w:val="nil"/>
              <w:bottom w:val="single" w:color="222222" w:sz="10" w:space="0"/>
              <w:right w:val="nil"/>
              <w:insideH w:val="nil"/>
              <w:insideV w:val="nil"/>
            </w:tcBorders>
            <w:vAlign w:val="center"/>
          </w:tcPr>
          <w:p w14:paraId="37319DC2">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合计</w:t>
            </w:r>
          </w:p>
        </w:tc>
        <w:tc>
          <w:tcPr>
            <w:tcW w:w="1886" w:type="dxa"/>
            <w:tcBorders>
              <w:top w:val="nil"/>
              <w:left w:val="nil"/>
              <w:bottom w:val="single" w:color="222222" w:sz="10" w:space="0"/>
              <w:right w:val="nil"/>
              <w:insideH w:val="nil"/>
              <w:insideV w:val="nil"/>
            </w:tcBorders>
            <w:vAlign w:val="center"/>
          </w:tcPr>
          <w:p w14:paraId="538F22EC">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831</w:t>
            </w:r>
          </w:p>
        </w:tc>
        <w:tc>
          <w:tcPr>
            <w:tcW w:w="1886" w:type="dxa"/>
            <w:tcBorders>
              <w:top w:val="nil"/>
              <w:left w:val="nil"/>
              <w:bottom w:val="single" w:color="222222" w:sz="10" w:space="0"/>
              <w:right w:val="nil"/>
              <w:insideH w:val="nil"/>
              <w:insideV w:val="nil"/>
            </w:tcBorders>
            <w:vAlign w:val="center"/>
          </w:tcPr>
          <w:p w14:paraId="04A31FCB">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153</w:t>
            </w:r>
          </w:p>
        </w:tc>
        <w:tc>
          <w:tcPr>
            <w:tcW w:w="1886" w:type="dxa"/>
            <w:tcBorders>
              <w:top w:val="nil"/>
              <w:left w:val="nil"/>
              <w:bottom w:val="single" w:color="222222" w:sz="10" w:space="0"/>
              <w:right w:val="nil"/>
              <w:insideH w:val="nil"/>
              <w:insideV w:val="nil"/>
            </w:tcBorders>
            <w:vAlign w:val="center"/>
          </w:tcPr>
          <w:p w14:paraId="7049D735">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193</w:t>
            </w:r>
          </w:p>
        </w:tc>
        <w:tc>
          <w:tcPr>
            <w:tcW w:w="1886" w:type="dxa"/>
            <w:tcBorders>
              <w:top w:val="nil"/>
              <w:left w:val="nil"/>
              <w:bottom w:val="single" w:color="222222" w:sz="10" w:space="0"/>
              <w:right w:val="nil"/>
              <w:insideH w:val="nil"/>
              <w:insideV w:val="nil"/>
            </w:tcBorders>
            <w:vAlign w:val="center"/>
          </w:tcPr>
          <w:p w14:paraId="3209A656">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1177</w:t>
            </w:r>
          </w:p>
        </w:tc>
      </w:tr>
    </w:tbl>
    <w:p w14:paraId="02ABD529">
      <w:pPr>
        <w:spacing w:after="0"/>
        <w:rPr>
          <w:rFonts w:ascii="Times New Roman" w:hAnsi="Times New Roman"/>
          <w:color w:val="auto"/>
        </w:rPr>
      </w:pPr>
    </w:p>
    <w:p w14:paraId="55DAC486">
      <w:pPr>
        <w:ind w:firstLine="420"/>
        <w:rPr>
          <w:rFonts w:ascii="Times New Roman" w:hAnsi="Times New Roman"/>
          <w:color w:val="auto"/>
        </w:rPr>
      </w:pPr>
      <w:r>
        <w:rPr>
          <w:rFonts w:ascii="Times New Roman" w:hAnsi="Times New Roman"/>
          <w:color w:val="auto"/>
        </w:rPr>
        <w:t>针对镜头倍率变化带来的表观尺寸差异，训练阶段采用五视角确定性几何增强：原视角、0.85 倍缩放与负向旋转、1.15 倍缩放与正向旋转、水平翻转，以及 0.90 倍缩放与轻度旋转的复合变换。在此基础上叠加小范围随机缩放、角度、翻转及亮度对比度扰动。确定性视角目录提供稳定的尺度覆盖，随机扰动则拓展局部纹理和成像条件的变化空间；二者相结合，有助于模型在不同视场尺度下形成更一致的裂缝响应。</w:t>
      </w:r>
    </w:p>
    <w:p w14:paraId="22600831">
      <w:pPr>
        <w:pStyle w:val="49"/>
        <w:jc w:val="center"/>
        <w:rPr>
          <w:rFonts w:ascii="Times New Roman" w:hAnsi="Times New Roman"/>
          <w:color w:val="auto"/>
        </w:rPr>
      </w:pPr>
      <m:oMathPara>
        <m:oMath>
          <m:r>
            <m:rPr>
              <m:sty m:val="p"/>
              <m:scr m:val="script"/>
            </m:rPr>
            <w:rPr>
              <w:rFonts w:ascii="Times New Roman" w:hAnsi="Times New Roman" w:eastAsia="MS Mincho"/>
              <w:color w:val="auto"/>
            </w:rPr>
            <m:t>G</m:t>
          </m:r>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0</m:t>
                  </m:r>
                  <m:ctrlPr>
                    <w:rPr>
                      <w:rFonts w:ascii="Cambria Math" w:hAnsi="Cambria Math"/>
                      <w:color w:val="auto"/>
                    </w:rPr>
                  </m:ctrlPr>
                </m:e>
                <m:sup>
                  <m:r>
                    <m:rPr>
                      <m:sty m:val="p"/>
                    </m:rPr>
                    <w:rPr>
                      <w:rFonts w:ascii="Times New Roman" w:hAnsi="Times New Roman"/>
                      <w:color w:val="auto"/>
                    </w:rPr>
                    <m:t>∘</m:t>
                  </m:r>
                  <m:ctrlPr>
                    <w:rPr>
                      <w:rFonts w:ascii="Cambria Math" w:hAnsi="Cambria Math"/>
                      <w:color w:val="auto"/>
                    </w:rPr>
                  </m:ctrlPr>
                </m:sup>
              </m:sSup>
              <m:ctrlPr>
                <w:rPr>
                  <w:rFonts w:ascii="Cambria Math" w:hAnsi="Cambria Math"/>
                  <w:color w:val="auto"/>
                </w:rPr>
              </m:ctrlPr>
            </m:e>
          </m:d>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0.85</m:t>
              </m:r>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10</m:t>
                  </m:r>
                  <m:ctrlPr>
                    <w:rPr>
                      <w:rFonts w:ascii="Cambria Math" w:hAnsi="Cambria Math"/>
                      <w:color w:val="auto"/>
                    </w:rPr>
                  </m:ctrlPr>
                </m:e>
                <m:sup>
                  <m:r>
                    <m:rPr>
                      <m:sty m:val="p"/>
                    </m:rPr>
                    <w:rPr>
                      <w:rFonts w:ascii="Times New Roman" w:hAnsi="Times New Roman"/>
                      <w:color w:val="auto"/>
                    </w:rPr>
                    <m:t>∘</m:t>
                  </m:r>
                  <m:ctrlPr>
                    <w:rPr>
                      <w:rFonts w:ascii="Cambria Math" w:hAnsi="Cambria Math"/>
                      <w:color w:val="auto"/>
                    </w:rPr>
                  </m:ctrlPr>
                </m:sup>
              </m:sSup>
              <m:ctrlPr>
                <w:rPr>
                  <w:rFonts w:ascii="Cambria Math" w:hAnsi="Cambria Math"/>
                  <w:color w:val="auto"/>
                </w:rPr>
              </m:ctrlPr>
            </m:e>
          </m:d>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1.15</m:t>
              </m:r>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10</m:t>
                  </m:r>
                  <m:ctrlPr>
                    <w:rPr>
                      <w:rFonts w:ascii="Cambria Math" w:hAnsi="Cambria Math"/>
                      <w:color w:val="auto"/>
                    </w:rPr>
                  </m:ctrlPr>
                </m:e>
                <m:sup>
                  <m:r>
                    <m:rPr>
                      <m:sty m:val="p"/>
                    </m:rPr>
                    <w:rPr>
                      <w:rFonts w:ascii="Times New Roman" w:hAnsi="Times New Roman"/>
                      <w:color w:val="auto"/>
                    </w:rPr>
                    <m:t>∘</m:t>
                  </m:r>
                  <m:ctrlPr>
                    <w:rPr>
                      <w:rFonts w:ascii="Cambria Math" w:hAnsi="Cambria Math"/>
                      <w:color w:val="auto"/>
                    </w:rPr>
                  </m:ctrlPr>
                </m:sup>
              </m:sSup>
              <m:ctrlPr>
                <w:rPr>
                  <w:rFonts w:ascii="Cambria Math" w:hAnsi="Cambria Math"/>
                  <w:color w:val="auto"/>
                </w:rPr>
              </m:ctrlPr>
            </m:e>
          </m:d>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0</m:t>
                  </m:r>
                  <m:ctrlPr>
                    <w:rPr>
                      <w:rFonts w:ascii="Cambria Math" w:hAnsi="Cambria Math"/>
                      <w:color w:val="auto"/>
                    </w:rPr>
                  </m:ctrlPr>
                </m:e>
                <m:sup>
                  <m:r>
                    <m:rPr>
                      <m:sty m:val="p"/>
                    </m:rPr>
                    <w:rPr>
                      <w:rFonts w:ascii="Times New Roman" w:hAnsi="Times New Roman"/>
                      <w:color w:val="auto"/>
                    </w:rPr>
                    <m:t>∘</m:t>
                  </m:r>
                  <m:ctrlPr>
                    <w:rPr>
                      <w:rFonts w:ascii="Cambria Math" w:hAnsi="Cambria Math"/>
                      <w:color w:val="auto"/>
                    </w:rPr>
                  </m:ctrlPr>
                </m:sup>
              </m:sSup>
              <m:r>
                <m:rPr>
                  <m:sty m:val="p"/>
                </m:rPr>
                <w:rPr>
                  <w:rFonts w:ascii="Times New Roman" w:hAnsi="Times New Roman"/>
                  <w:color w:val="auto"/>
                </w:rPr>
                <m:t>,H</m:t>
              </m:r>
              <m:ctrlPr>
                <w:rPr>
                  <w:rFonts w:ascii="Cambria Math" w:hAnsi="Cambria Math"/>
                  <w:color w:val="auto"/>
                </w:rPr>
              </m:ctrlPr>
            </m:e>
          </m:d>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0.90</m:t>
              </m:r>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5</m:t>
                  </m:r>
                  <m:ctrlPr>
                    <w:rPr>
                      <w:rFonts w:ascii="Cambria Math" w:hAnsi="Cambria Math"/>
                      <w:color w:val="auto"/>
                    </w:rPr>
                  </m:ctrlPr>
                </m:e>
                <m:sup>
                  <m:r>
                    <m:rPr>
                      <m:sty m:val="p"/>
                    </m:rPr>
                    <w:rPr>
                      <w:rFonts w:ascii="Times New Roman" w:hAnsi="Times New Roman"/>
                      <w:color w:val="auto"/>
                    </w:rPr>
                    <m:t>∘</m:t>
                  </m:r>
                  <m:ctrlPr>
                    <w:rPr>
                      <w:rFonts w:ascii="Cambria Math" w:hAnsi="Cambria Math"/>
                      <w:color w:val="auto"/>
                    </w:rPr>
                  </m:ctrlPr>
                </m:sup>
              </m:sSup>
              <m:r>
                <m:rPr>
                  <m:sty m:val="p"/>
                </m:rPr>
                <w:rPr>
                  <w:rFonts w:ascii="Times New Roman" w:hAnsi="Times New Roman"/>
                  <w:color w:val="auto"/>
                </w:rPr>
                <m:t>,H</m:t>
              </m:r>
              <m:ctrlPr>
                <w:rPr>
                  <w:rFonts w:ascii="Cambria Math" w:hAnsi="Cambria Math"/>
                  <w:color w:val="auto"/>
                </w:rPr>
              </m:ctrlPr>
            </m:e>
          </m:d>
          <m:r>
            <m:rPr>
              <m:sty m:val="p"/>
            </m:rPr>
            <w:rPr>
              <w:rFonts w:ascii="Times New Roman" w:hAnsi="Times New Roman"/>
              <w:color w:val="auto"/>
            </w:rPr>
            <m:t>}</m:t>
          </m:r>
        </m:oMath>
      </m:oMathPara>
    </w:p>
    <w:p w14:paraId="2241B61D">
      <w:pPr>
        <w:ind w:firstLine="420"/>
        <w:rPr>
          <w:rFonts w:ascii="Times New Roman" w:hAnsi="Times New Roman"/>
          <w:color w:val="auto"/>
        </w:rPr>
      </w:pPr>
      <w:r>
        <w:rPr>
          <w:rFonts w:ascii="Times New Roman" w:hAnsi="Times New Roman"/>
          <w:color w:val="auto"/>
        </w:rPr>
        <w:t>几何映射对图像采用双线性插值，对标签采用最近邻插值，以保持二值裂缝标签的离散语义。输入进一步按照 ImageNet 统计量标准化，与预训练编码器的特征分布相衔接。</w:t>
      </w:r>
    </w:p>
    <w:p w14:paraId="6758BE20">
      <w:pPr>
        <w:pStyle w:val="46"/>
        <w:rPr>
          <w:rFonts w:ascii="Times New Roman" w:hAnsi="Times New Roman"/>
          <w:color w:val="auto"/>
        </w:rPr>
      </w:pPr>
      <w:r>
        <w:rPr>
          <w:rFonts w:ascii="Times New Roman" w:hAnsi="Times New Roman"/>
          <w:color w:val="auto"/>
        </w:rPr>
        <w:t>2.3 ResNet34-UNet 多尺度分割主干</w:t>
      </w:r>
    </w:p>
    <w:p w14:paraId="5B6FF41D">
      <w:pPr>
        <w:ind w:firstLine="420"/>
        <w:rPr>
          <w:rFonts w:ascii="Times New Roman" w:hAnsi="Times New Roman"/>
          <w:color w:val="auto"/>
        </w:rPr>
      </w:pPr>
      <w:r>
        <w:rPr>
          <w:rFonts w:ascii="Times New Roman" w:hAnsi="Times New Roman"/>
          <w:color w:val="auto"/>
        </w:rPr>
        <w:t>网络采用 ResNet-34 作为编码器，借助其多层残差结构获取从浅层路面纹理到高层裂缝语义的分级表征；解码器遵循 U-Net 的跨层融合思路，通过双线性插值与卷积组合逐级恢复空间分辨率。浅层特征提供裂缝边缘与纹理定位信息，深层特征增强道路表面复杂背景下的结构判别。跨层连接将两者有机结合，使语义辨识和几何定位能够在同一预测过程中协调发挥作用。</w:t>
      </w:r>
    </w:p>
    <w:p w14:paraId="58979C3D">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897880" cy="1743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97880" cy="1743216"/>
                    </a:xfrm>
                    <a:prstGeom prst="rect">
                      <a:avLst/>
                    </a:prstGeom>
                  </pic:spPr>
                </pic:pic>
              </a:graphicData>
            </a:graphic>
          </wp:inline>
        </w:drawing>
      </w:r>
    </w:p>
    <w:p w14:paraId="22D1CEB4">
      <w:pPr>
        <w:pStyle w:val="47"/>
        <w:keepNext w:val="0"/>
        <w:jc w:val="center"/>
        <w:rPr>
          <w:rFonts w:ascii="Times New Roman" w:hAnsi="Times New Roman"/>
          <w:color w:val="auto"/>
        </w:rPr>
      </w:pPr>
      <w:r>
        <w:rPr>
          <w:rFonts w:ascii="Times New Roman" w:hAnsi="Times New Roman"/>
          <w:color w:val="auto"/>
        </w:rPr>
        <w:t>图 2-2  ResNet34-UNet 的多尺度特征编码与解码示意</w:t>
      </w:r>
    </w:p>
    <w:p w14:paraId="4E44371D">
      <w:pPr>
        <w:ind w:firstLine="420"/>
        <w:rPr>
          <w:rFonts w:ascii="Times New Roman" w:hAnsi="Times New Roman"/>
          <w:color w:val="auto"/>
        </w:rPr>
      </w:pPr>
      <w:r>
        <w:rPr>
          <w:rFonts w:ascii="Times New Roman" w:hAnsi="Times New Roman"/>
          <w:color w:val="auto"/>
        </w:rPr>
        <w:t>模型包含约 2443 万个参数，输出端采用单通道分割头，经 Sigmoid 将 logits 映射为裂缝概率。为适配低前景占比的任务先验，输出层偏置初始化为 −4.0，初始概率约为 0.018；与此同时，输入高度在前向传播前反射补齐至 384 像素，预测完成后裁剪还原为 378×672。上述处理在模型初始化、特征尺寸匹配和结果空间配准三个环节形成连续配合。</w:t>
      </w:r>
    </w:p>
    <w:p w14:paraId="1F8C4E2F">
      <w:pPr>
        <w:pStyle w:val="49"/>
        <w:jc w:val="center"/>
        <w:rPr>
          <w:rFonts w:ascii="Times New Roman" w:hAnsi="Times New Roman"/>
          <w:color w:val="auto"/>
        </w:rPr>
      </w:pPr>
      <m:oMathPara>
        <m:oMath>
          <m:sSub>
            <m:sSubPr>
              <m:ctrlPr>
                <w:rPr>
                  <w:rFonts w:ascii="Cambria Math" w:hAnsi="Cambria Math"/>
                  <w:color w:val="auto"/>
                </w:rPr>
              </m:ctrlPr>
            </m:sSubPr>
            <m:e>
              <m:r>
                <m:rPr/>
                <w:rPr>
                  <w:rFonts w:ascii="Times New Roman" w:hAnsi="Times New Roman"/>
                  <w:color w:val="auto"/>
                </w:rPr>
                <m:t>p</m:t>
              </m:r>
              <m:ctrlPr>
                <w:rPr>
                  <w:rFonts w:ascii="Cambria Math" w:hAnsi="Cambria Math"/>
                  <w:color w:val="auto"/>
                </w:rPr>
              </m:ctrlPr>
            </m:e>
            <m:sub>
              <m:r>
                <m:rPr/>
                <w:rPr>
                  <w:rFonts w:ascii="Times New Roman" w:hAnsi="Times New Roman"/>
                  <w:color w:val="auto"/>
                </w:rPr>
                <m:t>θ</m:t>
              </m:r>
              <m:ctrlPr>
                <w:rPr>
                  <w:rFonts w:ascii="Cambria Math" w:hAnsi="Cambria Math"/>
                  <w:color w:val="auto"/>
                </w:rPr>
              </m:ctrlPr>
            </m:sub>
          </m:sSub>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r>
            <m:rPr>
              <m:sty m:val="p"/>
            </m:rPr>
            <w:rPr>
              <w:rFonts w:ascii="Times New Roman" w:hAnsi="Times New Roman"/>
              <w:color w:val="auto"/>
            </w:rPr>
            <m:t>=</m:t>
          </m:r>
          <m:r>
            <m:rPr/>
            <w:rPr>
              <w:rFonts w:ascii="Times New Roman" w:hAnsi="Times New Roman"/>
              <w:color w:val="auto"/>
            </w:rPr>
            <m:t>σ​</m:t>
          </m:r>
          <m:d>
            <m:dPr>
              <m:sepChr m:val=""/>
              <m:ctrlPr>
                <w:rPr>
                  <w:rFonts w:ascii="Cambria Math" w:hAnsi="Cambria Math"/>
                  <w:color w:val="auto"/>
                </w:rPr>
              </m:ctrlPr>
            </m:dPr>
            <m:e>
              <m:sSub>
                <m:sSubPr>
                  <m:ctrlPr>
                    <w:rPr>
                      <w:rFonts w:ascii="Cambria Math" w:hAnsi="Cambria Math"/>
                      <w:color w:val="auto"/>
                    </w:rPr>
                  </m:ctrlPr>
                </m:sSubPr>
                <m:e>
                  <m:r>
                    <m:rPr/>
                    <w:rPr>
                      <w:rFonts w:ascii="Times New Roman" w:hAnsi="Times New Roman"/>
                      <w:color w:val="auto"/>
                    </w:rPr>
                    <m:t>f</m:t>
                  </m:r>
                  <m:ctrlPr>
                    <w:rPr>
                      <w:rFonts w:ascii="Cambria Math" w:hAnsi="Cambria Math"/>
                      <w:color w:val="auto"/>
                    </w:rPr>
                  </m:ctrlPr>
                </m:e>
                <m:sub>
                  <m:r>
                    <m:rPr/>
                    <w:rPr>
                      <w:rFonts w:ascii="Times New Roman" w:hAnsi="Times New Roman"/>
                      <w:color w:val="auto"/>
                    </w:rPr>
                    <m:t>θ</m:t>
                  </m:r>
                  <m:ctrlPr>
                    <w:rPr>
                      <w:rFonts w:ascii="Cambria Math" w:hAnsi="Cambria Math"/>
                      <w:color w:val="auto"/>
                    </w:rPr>
                  </m:ctrlPr>
                </m:sub>
              </m:sSub>
              <m:d>
                <m:dPr>
                  <m:sepChr m:val=""/>
                  <m:ctrlPr>
                    <w:rPr>
                      <w:rFonts w:ascii="Cambria Math" w:hAnsi="Cambria Math"/>
                      <w:color w:val="auto"/>
                    </w:rPr>
                  </m:ctrlPr>
                </m:dPr>
                <m:e>
                  <m:r>
                    <m:rPr/>
                    <w:rPr>
                      <w:rFonts w:ascii="Times New Roman" w:hAnsi="Times New Roman"/>
                      <w:color w:val="auto"/>
                    </w:rPr>
                    <m:t>I</m:t>
                  </m:r>
                  <m:ctrlPr>
                    <w:rPr>
                      <w:rFonts w:ascii="Cambria Math" w:hAnsi="Cambria Math"/>
                      <w:color w:val="auto"/>
                    </w:rPr>
                  </m:ctrlPr>
                </m:e>
              </m:d>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ctrlPr>
                <w:rPr>
                  <w:rFonts w:ascii="Cambria Math" w:hAnsi="Cambria Math"/>
                  <w:color w:val="auto"/>
                </w:rPr>
              </m:ctrlPr>
            </m:e>
          </m:d>
        </m:oMath>
      </m:oMathPara>
    </w:p>
    <w:p w14:paraId="74251D83">
      <w:pPr>
        <w:pStyle w:val="46"/>
        <w:rPr>
          <w:rFonts w:ascii="Times New Roman" w:hAnsi="Times New Roman"/>
          <w:color w:val="auto"/>
        </w:rPr>
      </w:pPr>
      <w:r>
        <w:rPr>
          <w:rFonts w:ascii="Times New Roman" w:hAnsi="Times New Roman"/>
          <w:color w:val="auto"/>
        </w:rPr>
        <w:t>2.4 CAL 与 Dice 协同驱动的细结构优化</w:t>
      </w:r>
    </w:p>
    <w:p w14:paraId="7FBD927F">
      <w:pPr>
        <w:ind w:firstLine="420"/>
        <w:rPr>
          <w:rFonts w:ascii="Times New Roman" w:hAnsi="Times New Roman"/>
          <w:color w:val="auto"/>
        </w:rPr>
      </w:pPr>
      <w:r>
        <w:rPr>
          <w:rFonts w:ascii="Times New Roman" w:hAnsi="Times New Roman"/>
          <w:color w:val="auto"/>
        </w:rPr>
        <w:t>裂缝像素在整幅路面图像中所占比例较低，单纯以逐像素分类误差驱动训练，难以充分表达长条状目标的整体连续性与轮廓重合要求。本项目采用 CAL 与 Dice 的加权组合：CAL 将基于 Tversky 指数的集合级前景优化和概率加权的背景判别结合，Dice 则直接约束预测区域与真值区域的重叠程度。两项损失相互补充，既关注裂缝区域的整体结构，也关注背景误检的精细抑制。 CAL 的方法依据来源于 Shan 等发表于 IEEE Transactions on Intelligent Transportation Systems（2024）的 UAV 航拍路面裂缝研究。</w:t>
      </w:r>
    </w:p>
    <w:p w14:paraId="37AD0D29">
      <w:pPr>
        <w:pStyle w:val="49"/>
        <w:jc w:val="center"/>
        <w:rPr>
          <w:rFonts w:ascii="Times New Roman" w:hAnsi="Times New Roman"/>
          <w:color w:val="auto"/>
        </w:rPr>
      </w:pPr>
      <m:oMathPara>
        <m:oMath>
          <m:r>
            <m:rPr>
              <m:sty m:val="p"/>
              <m:scr m:val="script"/>
            </m:rPr>
            <w:rPr>
              <w:rFonts w:ascii="Times New Roman" w:hAnsi="Times New Roman" w:eastAsia="MS Mincho"/>
              <w:color w:val="auto"/>
            </w:rPr>
            <m:t>ℒ</m:t>
          </m:r>
          <m:r>
            <m:rPr>
              <m:sty m:val="p"/>
            </m:rPr>
            <w:rPr>
              <w:rFonts w:ascii="Times New Roman" w:hAnsi="Times New Roman"/>
              <w:color w:val="auto"/>
            </w:rPr>
            <m:t>=</m:t>
          </m:r>
          <m:sSub>
            <m:sSubPr>
              <m:ctrlPr>
                <w:rPr>
                  <w:rFonts w:ascii="Cambria Math" w:hAnsi="Cambria Math"/>
                  <w:color w:val="auto"/>
                </w:rPr>
              </m:ctrlPr>
            </m:sSubPr>
            <m:e>
              <m:r>
                <m:rPr>
                  <m:sty m:val="p"/>
                  <m:scr m:val="script"/>
                </m:rPr>
                <w:rPr>
                  <w:rFonts w:ascii="Times New Roman" w:hAnsi="Times New Roman" w:eastAsia="MS Mincho"/>
                  <w:color w:val="auto"/>
                </w:rPr>
                <m:t>ℒ</m:t>
              </m:r>
              <m:ctrlPr>
                <w:rPr>
                  <w:rFonts w:ascii="Cambria Math" w:hAnsi="Cambria Math"/>
                  <w:color w:val="auto"/>
                </w:rPr>
              </m:ctrlPr>
            </m:e>
            <m:sub>
              <m:r>
                <m:rPr>
                  <m:sty m:val="p"/>
                </m:rPr>
                <w:rPr>
                  <w:rFonts w:ascii="Times New Roman" w:hAnsi="Times New Roman"/>
                  <w:color w:val="auto"/>
                </w:rPr>
                <m:t>CAL</m:t>
              </m:r>
              <m:ctrlPr>
                <w:rPr>
                  <w:rFonts w:ascii="Cambria Math" w:hAnsi="Cambria Math"/>
                  <w:color w:val="auto"/>
                </w:rPr>
              </m:ctrlPr>
            </m:sub>
          </m:sSub>
          <m:r>
            <m:rPr>
              <m:sty m:val="p"/>
            </m:rPr>
            <w:rPr>
              <w:rFonts w:ascii="Times New Roman" w:hAnsi="Times New Roman"/>
              <w:color w:val="auto"/>
            </w:rPr>
            <m:t>+</m:t>
          </m:r>
          <m:r>
            <m:rPr/>
            <w:rPr>
              <w:rFonts w:ascii="Times New Roman" w:hAnsi="Times New Roman"/>
              <w:color w:val="auto"/>
            </w:rPr>
            <m:t>0.5</m:t>
          </m:r>
          <m:sSub>
            <m:sSubPr>
              <m:ctrlPr>
                <w:rPr>
                  <w:rFonts w:ascii="Cambria Math" w:hAnsi="Cambria Math"/>
                  <w:color w:val="auto"/>
                </w:rPr>
              </m:ctrlPr>
            </m:sSubPr>
            <m:e>
              <m:r>
                <m:rPr>
                  <m:sty m:val="p"/>
                  <m:scr m:val="script"/>
                </m:rPr>
                <w:rPr>
                  <w:rFonts w:ascii="Times New Roman" w:hAnsi="Times New Roman" w:eastAsia="MS Mincho"/>
                  <w:color w:val="auto"/>
                </w:rPr>
                <m:t>ℒ</m:t>
              </m:r>
              <m:ctrlPr>
                <w:rPr>
                  <w:rFonts w:ascii="Cambria Math" w:hAnsi="Cambria Math"/>
                  <w:color w:val="auto"/>
                </w:rPr>
              </m:ctrlPr>
            </m:e>
            <m:sub>
              <m:r>
                <m:rPr>
                  <m:sty m:val="p"/>
                </m:rPr>
                <w:rPr>
                  <w:rFonts w:ascii="Times New Roman" w:hAnsi="Times New Roman"/>
                  <w:color w:val="auto"/>
                </w:rPr>
                <m:t>Dice</m:t>
              </m:r>
              <m:ctrlPr>
                <w:rPr>
                  <w:rFonts w:ascii="Cambria Math" w:hAnsi="Cambria Math"/>
                  <w:color w:val="auto"/>
                </w:rPr>
              </m:ctrlPr>
            </m:sub>
          </m:sSub>
        </m:oMath>
      </m:oMathPara>
    </w:p>
    <w:p w14:paraId="3D3A6E21">
      <w:pPr>
        <w:pStyle w:val="49"/>
        <w:jc w:val="center"/>
        <w:rPr>
          <w:rFonts w:ascii="Times New Roman" w:hAnsi="Times New Roman"/>
          <w:color w:val="auto"/>
        </w:rPr>
      </w:pPr>
      <m:oMathPara>
        <m:oMath>
          <m:r>
            <m:rPr>
              <m:sty m:val="p"/>
            </m:rPr>
            <w:rPr>
              <w:rFonts w:ascii="Times New Roman" w:hAnsi="Times New Roman"/>
              <w:color w:val="auto"/>
            </w:rPr>
            <m:t>TI=</m:t>
          </m:r>
          <m:f>
            <m:fPr>
              <m:ctrlPr>
                <w:rPr>
                  <w:rFonts w:ascii="Cambria Math" w:hAnsi="Cambria Math"/>
                  <w:color w:val="auto"/>
                </w:rPr>
              </m:ctrlPr>
            </m:fPr>
            <m:num>
              <m:r>
                <m:rPr>
                  <m:sty m:val="p"/>
                </m:rPr>
                <w:rPr>
                  <w:rFonts w:ascii="Times New Roman" w:hAnsi="Times New Roman"/>
                  <w:color w:val="auto"/>
                </w:rPr>
                <m:t>TP+</m:t>
              </m:r>
              <m:r>
                <m:rPr/>
                <w:rPr>
                  <w:rFonts w:ascii="Times New Roman" w:hAnsi="Times New Roman"/>
                  <w:color w:val="auto"/>
                </w:rPr>
                <m:t>ε</m:t>
              </m:r>
              <m:ctrlPr>
                <w:rPr>
                  <w:rFonts w:ascii="Cambria Math" w:hAnsi="Cambria Math"/>
                  <w:color w:val="auto"/>
                </w:rPr>
              </m:ctrlPr>
            </m:num>
            <m:den>
              <m:r>
                <m:rPr>
                  <m:sty m:val="p"/>
                </m:rPr>
                <w:rPr>
                  <w:rFonts w:ascii="Times New Roman" w:hAnsi="Times New Roman"/>
                  <w:color w:val="auto"/>
                </w:rPr>
                <m:t>TP+</m:t>
              </m:r>
              <m:r>
                <m:rPr/>
                <w:rPr>
                  <w:rFonts w:ascii="Times New Roman" w:hAnsi="Times New Roman"/>
                  <w:color w:val="auto"/>
                </w:rPr>
                <m:t>δ </m:t>
              </m:r>
              <m:r>
                <m:rPr>
                  <m:sty m:val="p"/>
                </m:rPr>
                <w:rPr>
                  <w:rFonts w:ascii="Times New Roman" w:hAnsi="Times New Roman"/>
                  <w:color w:val="auto"/>
                </w:rPr>
                <m:t>FN+</m:t>
              </m:r>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r>
                    <m:rPr/>
                    <w:rPr>
                      <w:rFonts w:ascii="Times New Roman" w:hAnsi="Times New Roman"/>
                      <w:color w:val="auto"/>
                    </w:rPr>
                    <m:t>δ</m:t>
                  </m:r>
                  <m:ctrlPr>
                    <w:rPr>
                      <w:rFonts w:ascii="Cambria Math" w:hAnsi="Cambria Math"/>
                      <w:color w:val="auto"/>
                    </w:rPr>
                  </m:ctrlPr>
                </m:e>
              </m:d>
              <m:r>
                <m:rPr/>
                <w:rPr>
                  <w:rFonts w:ascii="Times New Roman" w:hAnsi="Times New Roman"/>
                  <w:color w:val="auto"/>
                </w:rPr>
                <m:t> </m:t>
              </m:r>
              <m:r>
                <m:rPr>
                  <m:sty m:val="p"/>
                </m:rPr>
                <w:rPr>
                  <w:rFonts w:ascii="Times New Roman" w:hAnsi="Times New Roman"/>
                  <w:color w:val="auto"/>
                </w:rPr>
                <m:t>FP+</m:t>
              </m:r>
              <m:r>
                <m:rPr/>
                <w:rPr>
                  <w:rFonts w:ascii="Times New Roman" w:hAnsi="Times New Roman"/>
                  <w:color w:val="auto"/>
                </w:rPr>
                <m:t>ε</m:t>
              </m:r>
              <m:ctrlPr>
                <w:rPr>
                  <w:rFonts w:ascii="Cambria Math" w:hAnsi="Cambria Math"/>
                  <w:color w:val="auto"/>
                </w:rPr>
              </m:ctrlPr>
            </m:den>
          </m:f>
        </m:oMath>
      </m:oMathPara>
    </w:p>
    <w:p w14:paraId="028075D3">
      <w:pPr>
        <w:pStyle w:val="49"/>
        <w:jc w:val="center"/>
        <w:rPr>
          <w:rFonts w:ascii="Times New Roman" w:hAnsi="Times New Roman"/>
          <w:color w:val="auto"/>
        </w:rPr>
      </w:pPr>
      <m:oMathPara>
        <m:oMath>
          <m:sSub>
            <m:sSubPr>
              <m:ctrlPr>
                <w:rPr>
                  <w:rFonts w:ascii="Cambria Math" w:hAnsi="Cambria Math"/>
                  <w:color w:val="auto"/>
                </w:rPr>
              </m:ctrlPr>
            </m:sSubPr>
            <m:e>
              <m:r>
                <m:rPr>
                  <m:sty m:val="p"/>
                  <m:scr m:val="script"/>
                </m:rPr>
                <w:rPr>
                  <w:rFonts w:ascii="Times New Roman" w:hAnsi="Times New Roman" w:eastAsia="MS Mincho"/>
                  <w:color w:val="auto"/>
                </w:rPr>
                <m:t>ℒ</m:t>
              </m:r>
              <m:ctrlPr>
                <w:rPr>
                  <w:rFonts w:ascii="Cambria Math" w:hAnsi="Cambria Math"/>
                  <w:color w:val="auto"/>
                </w:rPr>
              </m:ctrlPr>
            </m:e>
            <m:sub>
              <m:r>
                <m:rPr>
                  <m:sty m:val="p"/>
                </m:rPr>
                <w:rPr>
                  <w:rFonts w:ascii="Times New Roman" w:hAnsi="Times New Roman"/>
                  <w:color w:val="auto"/>
                </w:rPr>
                <m:t>CAL</m:t>
              </m:r>
              <m:ctrlPr>
                <w:rPr>
                  <w:rFonts w:ascii="Cambria Math" w:hAnsi="Cambria Math"/>
                  <w:color w:val="auto"/>
                </w:rPr>
              </m:ctrlPr>
            </m:sub>
          </m:sSub>
          <m:r>
            <m:rPr>
              <m:sty m:val="p"/>
            </m:rPr>
            <w:rPr>
              <w:rFonts w:ascii="Times New Roman" w:hAnsi="Times New Roman"/>
              <w:color w:val="auto"/>
            </w:rPr>
            <m:t>=</m:t>
          </m:r>
          <m:r>
            <m:rPr/>
            <w:rPr>
              <w:rFonts w:ascii="Times New Roman" w:hAnsi="Times New Roman"/>
              <w:color w:val="auto"/>
            </w:rPr>
            <m:t>λ</m:t>
          </m:r>
          <m:sSup>
            <m:sSupPr>
              <m:ctrlPr>
                <w:rPr>
                  <w:rFonts w:ascii="Cambria Math" w:hAnsi="Cambria Math"/>
                  <w:color w:val="auto"/>
                </w:rPr>
              </m:ctrlPr>
            </m:sSupPr>
            <m:e>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−TI</m:t>
                  </m:r>
                  <m:ctrlPr>
                    <w:rPr>
                      <w:rFonts w:ascii="Cambria Math" w:hAnsi="Cambria Math"/>
                      <w:color w:val="auto"/>
                    </w:rPr>
                  </m:ctrlPr>
                </m:e>
              </m:d>
              <m:ctrlPr>
                <w:rPr>
                  <w:rFonts w:ascii="Cambria Math" w:hAnsi="Cambria Math"/>
                  <w:color w:val="auto"/>
                </w:rPr>
              </m:ctrlPr>
            </m:e>
            <m:sup>
              <m:r>
                <m:rPr/>
                <w:rPr>
                  <w:rFonts w:ascii="Times New Roman" w:hAnsi="Times New Roman"/>
                  <w:color w:val="auto"/>
                </w:rPr>
                <m:t>1</m:t>
              </m:r>
              <m:r>
                <m:rPr>
                  <m:sty m:val="p"/>
                </m:rPr>
                <w:rPr>
                  <w:rFonts w:ascii="Times New Roman" w:hAnsi="Times New Roman"/>
                  <w:color w:val="auto"/>
                </w:rPr>
                <m:t>−</m:t>
              </m:r>
              <m:r>
                <m:rPr/>
                <w:rPr>
                  <w:rFonts w:ascii="Times New Roman" w:hAnsi="Times New Roman"/>
                  <w:color w:val="auto"/>
                </w:rPr>
                <m:t>γ</m:t>
              </m:r>
              <m:ctrlPr>
                <w:rPr>
                  <w:rFonts w:ascii="Cambria Math" w:hAnsi="Cambria Math"/>
                  <w:color w:val="auto"/>
                </w:rPr>
              </m:ctrlPr>
            </m:sup>
          </m:sSup>
          <m:r>
            <m:rPr>
              <m:sty m:val="p"/>
            </m:rPr>
            <w:rPr>
              <w:rFonts w:ascii="Times New Roman" w:hAnsi="Times New Roman"/>
              <w:color w:val="auto"/>
            </w:rPr>
            <m:t>−</m:t>
          </m:r>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r>
                <m:rPr/>
                <w:rPr>
                  <w:rFonts w:ascii="Times New Roman" w:hAnsi="Times New Roman"/>
                  <w:color w:val="auto"/>
                </w:rPr>
                <m:t>λ</m:t>
              </m:r>
              <m:ctrlPr>
                <w:rPr>
                  <w:rFonts w:ascii="Cambria Math" w:hAnsi="Cambria Math"/>
                  <w:color w:val="auto"/>
                </w:rPr>
              </m:ctrlPr>
            </m:e>
          </m:d>
          <m:f>
            <m:fPr>
              <m:ctrlPr>
                <w:rPr>
                  <w:rFonts w:ascii="Cambria Math" w:hAnsi="Cambria Math"/>
                  <w:color w:val="auto"/>
                </w:rPr>
              </m:ctrlPr>
            </m:fPr>
            <m:num>
              <m:r>
                <m:rPr/>
                <w:rPr>
                  <w:rFonts w:ascii="Times New Roman" w:hAnsi="Times New Roman"/>
                  <w:color w:val="auto"/>
                </w:rPr>
                <m:t>1</m:t>
              </m:r>
              <m:ctrlPr>
                <w:rPr>
                  <w:rFonts w:ascii="Cambria Math" w:hAnsi="Cambria Math"/>
                  <w:color w:val="auto"/>
                </w:rPr>
              </m:ctrlPr>
            </m:num>
            <m:den>
              <m:d>
                <m:dPr>
                  <m:begChr m:val="|"/>
                  <m:sepChr m:val=""/>
                  <m:endChr m:val="|"/>
                  <m:ctrlPr>
                    <w:rPr>
                      <w:rFonts w:ascii="Cambria Math" w:hAnsi="Cambria Math"/>
                      <w:color w:val="auto"/>
                    </w:rPr>
                  </m:ctrlPr>
                </m:dPr>
                <m:e>
                  <m:r>
                    <m:rPr/>
                    <w:rPr>
                      <w:rFonts w:ascii="Times New Roman" w:hAnsi="Times New Roman"/>
                      <w:color w:val="auto"/>
                    </w:rPr>
                    <m:t>Ω</m:t>
                  </m:r>
                  <m:ctrlPr>
                    <w:rPr>
                      <w:rFonts w:ascii="Cambria Math" w:hAnsi="Cambria Math"/>
                      <w:color w:val="auto"/>
                    </w:rPr>
                  </m:ctrlPr>
                </m:e>
              </m:d>
              <m:ctrlPr>
                <w:rPr>
                  <w:rFonts w:ascii="Cambria Math" w:hAnsi="Cambria Math"/>
                  <w:color w:val="auto"/>
                </w:rPr>
              </m:ctrlPr>
            </m:den>
          </m:f>
          <m:nary>
            <m:naryPr>
              <m:chr m:val="∑"/>
              <m:limLoc m:val="undOvr"/>
              <m:supHide m:val="1"/>
              <m:ctrlPr>
                <w:rPr>
                  <w:rFonts w:ascii="Cambria Math" w:hAnsi="Cambria Math"/>
                  <w:color w:val="auto"/>
                </w:rPr>
              </m:ctrlPr>
            </m:naryPr>
            <m:sub>
              <m:r>
                <m:rPr>
                  <m:sty m:val="b"/>
                </m:rPr>
                <w:rPr>
                  <w:rFonts w:ascii="Times New Roman" w:hAnsi="Times New Roman"/>
                  <w:color w:val="auto"/>
                </w:rPr>
                <m:t>x</m:t>
              </m:r>
              <m:r>
                <m:rPr>
                  <m:sty m:val="p"/>
                </m:rPr>
                <w:rPr>
                  <w:rFonts w:ascii="Times New Roman" w:hAnsi="Times New Roman"/>
                  <w:color w:val="auto"/>
                </w:rPr>
                <m:t>∈</m:t>
              </m:r>
              <m:r>
                <m:rPr/>
                <w:rPr>
                  <w:rFonts w:ascii="Times New Roman" w:hAnsi="Times New Roman"/>
                  <w:color w:val="auto"/>
                </w:rPr>
                <m:t>Ω</m:t>
              </m:r>
              <m:ctrlPr>
                <w:rPr>
                  <w:rFonts w:ascii="Cambria Math" w:hAnsi="Cambria Math"/>
                  <w:color w:val="auto"/>
                </w:rPr>
              </m:ctrlPr>
            </m:sub>
            <m:sup>
              <m:r>
                <m:rPr/>
                <w:rPr>
                  <w:rFonts w:ascii="Times New Roman" w:hAnsi="Times New Roman"/>
                  <w:color w:val="auto"/>
                </w:rPr>
                <m:t>​</m:t>
              </m:r>
              <m:ctrlPr>
                <w:rPr>
                  <w:rFonts w:ascii="Cambria Math" w:hAnsi="Cambria Math"/>
                  <w:color w:val="auto"/>
                </w:rPr>
              </m:ctrlPr>
            </m:sup>
            <m:e>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sSub>
                    <m:sSubPr>
                      <m:ctrlPr>
                        <w:rPr>
                          <w:rFonts w:ascii="Cambria Math" w:hAnsi="Cambria Math"/>
                          <w:color w:val="auto"/>
                        </w:rPr>
                      </m:ctrlPr>
                    </m:sSubPr>
                    <m:e>
                      <m:r>
                        <m:rPr/>
                        <w:rPr>
                          <w:rFonts w:ascii="Times New Roman" w:hAnsi="Times New Roman"/>
                          <w:color w:val="auto"/>
                        </w:rPr>
                        <m:t>Y</m:t>
                      </m:r>
                      <m:ctrlPr>
                        <w:rPr>
                          <w:rFonts w:ascii="Cambria Math" w:hAnsi="Cambria Math"/>
                          <w:color w:val="auto"/>
                        </w:rPr>
                      </m:ctrlPr>
                    </m:e>
                    <m:sub>
                      <m:r>
                        <m:rPr>
                          <m:sty m:val="b"/>
                        </m:rPr>
                        <w:rPr>
                          <w:rFonts w:ascii="Times New Roman" w:hAnsi="Times New Roman"/>
                          <w:color w:val="auto"/>
                        </w:rPr>
                        <m:t>x</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nary>
          <m:sSubSup>
            <m:sSubSupPr>
              <m:ctrlPr>
                <w:rPr>
                  <w:rFonts w:ascii="Cambria Math" w:hAnsi="Cambria Math"/>
                  <w:color w:val="auto"/>
                </w:rPr>
              </m:ctrlPr>
            </m:sSubSupPr>
            <m:e>
              <m:r>
                <m:rPr/>
                <w:rPr>
                  <w:rFonts w:ascii="Times New Roman" w:hAnsi="Times New Roman"/>
                  <w:color w:val="auto"/>
                </w:rPr>
                <m:t>p</m:t>
              </m:r>
              <m:ctrlPr>
                <w:rPr>
                  <w:rFonts w:ascii="Cambria Math" w:hAnsi="Cambria Math"/>
                  <w:color w:val="auto"/>
                </w:rPr>
              </m:ctrlPr>
            </m:e>
            <m:sub>
              <m:r>
                <m:rPr>
                  <m:sty m:val="b"/>
                </m:rPr>
                <w:rPr>
                  <w:rFonts w:ascii="Times New Roman" w:hAnsi="Times New Roman"/>
                  <w:color w:val="auto"/>
                </w:rPr>
                <m:t>x</m:t>
              </m:r>
              <m:ctrlPr>
                <w:rPr>
                  <w:rFonts w:ascii="Cambria Math" w:hAnsi="Cambria Math"/>
                  <w:color w:val="auto"/>
                </w:rPr>
              </m:ctrlPr>
            </m:sub>
            <m:sup>
              <m:r>
                <m:rPr/>
                <w:rPr>
                  <w:rFonts w:ascii="Times New Roman" w:hAnsi="Times New Roman"/>
                  <w:color w:val="auto"/>
                </w:rPr>
                <m:t>γ</m:t>
              </m:r>
              <m:ctrlPr>
                <w:rPr>
                  <w:rFonts w:ascii="Cambria Math" w:hAnsi="Cambria Math"/>
                  <w:color w:val="auto"/>
                </w:rPr>
              </m:ctrlPr>
            </m:sup>
          </m:sSubSup>
          <m:r>
            <m:rPr>
              <m:sty m:val="p"/>
            </m:rPr>
            <w:rPr>
              <w:rFonts w:ascii="Times New Roman" w:hAnsi="Times New Roman"/>
              <w:color w:val="auto"/>
            </w:rPr>
            <m:t>ln</m:t>
          </m:r>
          <m:d>
            <m:dPr>
              <m:sepChr m:val=""/>
              <m:ctrlPr>
                <w:rPr>
                  <w:rFonts w:ascii="Cambria Math" w:hAnsi="Cambria Math"/>
                  <w:color w:val="auto"/>
                </w:rPr>
              </m:ctrlPr>
            </m:dPr>
            <m:e>
              <m:r>
                <m:rPr/>
                <w:rPr>
                  <w:rFonts w:ascii="Times New Roman" w:hAnsi="Times New Roman"/>
                  <w:color w:val="auto"/>
                </w:rPr>
                <m:t>1</m:t>
              </m:r>
              <m:r>
                <m:rPr>
                  <m:sty m:val="p"/>
                </m:rPr>
                <w:rPr>
                  <w:rFonts w:ascii="Times New Roman" w:hAnsi="Times New Roman"/>
                  <w:color w:val="auto"/>
                </w:rPr>
                <m:t>−</m:t>
              </m:r>
              <m:sSub>
                <m:sSubPr>
                  <m:ctrlPr>
                    <w:rPr>
                      <w:rFonts w:ascii="Cambria Math" w:hAnsi="Cambria Math"/>
                      <w:color w:val="auto"/>
                    </w:rPr>
                  </m:ctrlPr>
                </m:sSubPr>
                <m:e>
                  <m:r>
                    <m:rPr/>
                    <w:rPr>
                      <w:rFonts w:ascii="Times New Roman" w:hAnsi="Times New Roman"/>
                      <w:color w:val="auto"/>
                    </w:rPr>
                    <m:t>p</m:t>
                  </m:r>
                  <m:ctrlPr>
                    <w:rPr>
                      <w:rFonts w:ascii="Cambria Math" w:hAnsi="Cambria Math"/>
                      <w:color w:val="auto"/>
                    </w:rPr>
                  </m:ctrlPr>
                </m:e>
                <m:sub>
                  <m:r>
                    <m:rPr>
                      <m:sty m:val="b"/>
                    </m:rPr>
                    <w:rPr>
                      <w:rFonts w:ascii="Times New Roman" w:hAnsi="Times New Roman"/>
                      <w:color w:val="auto"/>
                    </w:rPr>
                    <m:t>x</m:t>
                  </m:r>
                  <m:ctrlPr>
                    <w:rPr>
                      <w:rFonts w:ascii="Cambria Math" w:hAnsi="Cambria Math"/>
                      <w:color w:val="auto"/>
                    </w:rPr>
                  </m:ctrlPr>
                </m:sub>
              </m:sSub>
              <m:ctrlPr>
                <w:rPr>
                  <w:rFonts w:ascii="Cambria Math" w:hAnsi="Cambria Math"/>
                  <w:color w:val="auto"/>
                </w:rPr>
              </m:ctrlPr>
            </m:e>
          </m:d>
        </m:oMath>
      </m:oMathPara>
    </w:p>
    <w:p w14:paraId="5E7C042E">
      <w:pPr>
        <w:ind w:firstLine="420"/>
        <w:rPr>
          <w:rFonts w:ascii="Times New Roman" w:hAnsi="Times New Roman"/>
          <w:color w:val="auto"/>
        </w:rPr>
      </w:pPr>
      <w:r>
        <w:rPr>
          <w:rFonts w:ascii="Times New Roman" w:hAnsi="Times New Roman"/>
          <w:color w:val="auto"/>
        </w:rPr>
        <w:t>其中，TP、FP、FN 在训练阶段由预测概率与真值标签进行软统计；δ 控制漏检与误检的相对权重，γ 调节难易样本梯度分配，λ 平衡 CAL 的正负类项。终版参数取 δ=0.5、γ=0.2、λ=0.5，Dice 项系数为 0.5。针对高占比的易分类背景，负类概率权重促使优化资源进一步聚焦于更具辨识难度的裂缝邻域，从而与细结构重叠损失构成互补。</w:t>
      </w:r>
    </w:p>
    <w:p w14:paraId="7CCEBE98">
      <w:pPr>
        <w:pStyle w:val="50"/>
        <w:rPr>
          <w:rFonts w:ascii="Times New Roman" w:hAnsi="Times New Roman"/>
          <w:color w:val="auto"/>
        </w:rPr>
      </w:pPr>
      <w:r>
        <w:rPr>
          <w:rFonts w:ascii="Times New Roman" w:hAnsi="Times New Roman"/>
          <w:color w:val="auto"/>
        </w:rPr>
        <w:t>表 2-2  终版模型的核心训练配置</w:t>
      </w:r>
    </w:p>
    <w:tbl>
      <w:tblPr>
        <w:tblStyle w:val="17"/>
        <w:tblW w:w="0" w:type="auto"/>
        <w:jc w:val="center"/>
        <w:tblLayout w:type="fixed"/>
        <w:tblCellMar>
          <w:top w:w="0" w:type="dxa"/>
          <w:left w:w="108" w:type="dxa"/>
          <w:bottom w:w="0" w:type="dxa"/>
          <w:right w:w="108" w:type="dxa"/>
        </w:tblCellMar>
      </w:tblPr>
      <w:tblGrid>
        <w:gridCol w:w="3143"/>
        <w:gridCol w:w="3143"/>
        <w:gridCol w:w="3143"/>
      </w:tblGrid>
      <w:tr w14:paraId="46643168">
        <w:tblPrEx>
          <w:tblCellMar>
            <w:top w:w="0" w:type="dxa"/>
            <w:left w:w="108" w:type="dxa"/>
            <w:bottom w:w="0" w:type="dxa"/>
            <w:right w:w="108" w:type="dxa"/>
          </w:tblCellMar>
        </w:tblPrEx>
        <w:trPr>
          <w:cantSplit/>
          <w:tblHeader/>
          <w:jc w:val="center"/>
        </w:trPr>
        <w:tc>
          <w:tcPr>
            <w:tcW w:w="3143" w:type="dxa"/>
            <w:tcBorders>
              <w:top w:val="single" w:color="222222" w:sz="10" w:space="0"/>
              <w:left w:val="nil"/>
              <w:bottom w:val="single" w:color="222222" w:sz="6" w:space="0"/>
              <w:right w:val="nil"/>
              <w:insideH w:val="nil"/>
              <w:insideV w:val="nil"/>
            </w:tcBorders>
            <w:vAlign w:val="center"/>
          </w:tcPr>
          <w:p w14:paraId="1F5CE1F7">
            <w:pPr>
              <w:spacing w:before="60" w:after="60" w:line="300" w:lineRule="auto"/>
              <w:jc w:val="center"/>
              <w:rPr>
                <w:rFonts w:ascii="Times New Roman" w:hAnsi="Times New Roman"/>
                <w:color w:val="auto"/>
              </w:rPr>
            </w:pPr>
            <w:r>
              <w:rPr>
                <w:rFonts w:ascii="Times New Roman" w:hAnsi="Times New Roman" w:eastAsia="Noto Serif CJK SC"/>
                <w:b/>
                <w:color w:val="auto"/>
                <w:sz w:val="18"/>
              </w:rPr>
              <w:t>配置项</w:t>
            </w:r>
          </w:p>
        </w:tc>
        <w:tc>
          <w:tcPr>
            <w:tcW w:w="3143" w:type="dxa"/>
            <w:tcBorders>
              <w:top w:val="single" w:color="222222" w:sz="10" w:space="0"/>
              <w:left w:val="nil"/>
              <w:bottom w:val="single" w:color="222222" w:sz="6" w:space="0"/>
              <w:right w:val="nil"/>
              <w:insideH w:val="nil"/>
              <w:insideV w:val="nil"/>
            </w:tcBorders>
            <w:vAlign w:val="center"/>
          </w:tcPr>
          <w:p w14:paraId="113A59D8">
            <w:pPr>
              <w:spacing w:before="60" w:after="60" w:line="300" w:lineRule="auto"/>
              <w:jc w:val="center"/>
              <w:rPr>
                <w:rFonts w:ascii="Times New Roman" w:hAnsi="Times New Roman"/>
                <w:color w:val="auto"/>
              </w:rPr>
            </w:pPr>
            <w:r>
              <w:rPr>
                <w:rFonts w:ascii="Times New Roman" w:hAnsi="Times New Roman" w:eastAsia="Noto Serif CJK SC"/>
                <w:b/>
                <w:color w:val="auto"/>
                <w:sz w:val="18"/>
              </w:rPr>
              <w:t>参数取值</w:t>
            </w:r>
          </w:p>
        </w:tc>
        <w:tc>
          <w:tcPr>
            <w:tcW w:w="3143" w:type="dxa"/>
            <w:tcBorders>
              <w:top w:val="single" w:color="222222" w:sz="10" w:space="0"/>
              <w:left w:val="nil"/>
              <w:bottom w:val="single" w:color="222222" w:sz="6" w:space="0"/>
              <w:right w:val="nil"/>
              <w:insideH w:val="nil"/>
              <w:insideV w:val="nil"/>
            </w:tcBorders>
            <w:vAlign w:val="center"/>
          </w:tcPr>
          <w:p w14:paraId="5B1B306D">
            <w:pPr>
              <w:spacing w:before="60" w:after="60" w:line="300" w:lineRule="auto"/>
              <w:jc w:val="center"/>
              <w:rPr>
                <w:rFonts w:ascii="Times New Roman" w:hAnsi="Times New Roman"/>
                <w:color w:val="auto"/>
              </w:rPr>
            </w:pPr>
            <w:r>
              <w:rPr>
                <w:rFonts w:ascii="Times New Roman" w:hAnsi="Times New Roman" w:eastAsia="Noto Serif CJK SC"/>
                <w:b/>
                <w:color w:val="auto"/>
                <w:sz w:val="18"/>
              </w:rPr>
              <w:t>技术作用</w:t>
            </w:r>
          </w:p>
        </w:tc>
      </w:tr>
      <w:tr w14:paraId="3F08B699">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3CDA4C0C">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优化器</w:t>
            </w:r>
          </w:p>
        </w:tc>
        <w:tc>
          <w:tcPr>
            <w:tcW w:w="3143" w:type="dxa"/>
            <w:tcBorders>
              <w:top w:val="nil"/>
              <w:left w:val="nil"/>
              <w:bottom w:val="nil"/>
              <w:right w:val="nil"/>
              <w:insideH w:val="nil"/>
              <w:insideV w:val="nil"/>
            </w:tcBorders>
            <w:vAlign w:val="center"/>
          </w:tcPr>
          <w:p w14:paraId="4AA13A11">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AdamW</w:t>
            </w:r>
          </w:p>
        </w:tc>
        <w:tc>
          <w:tcPr>
            <w:tcW w:w="3143" w:type="dxa"/>
            <w:tcBorders>
              <w:top w:val="nil"/>
              <w:left w:val="nil"/>
              <w:bottom w:val="nil"/>
              <w:right w:val="nil"/>
              <w:insideH w:val="nil"/>
              <w:insideV w:val="nil"/>
            </w:tcBorders>
            <w:vAlign w:val="center"/>
          </w:tcPr>
          <w:p w14:paraId="50401057">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稳定优化编码器和解码器</w:t>
            </w:r>
          </w:p>
        </w:tc>
      </w:tr>
      <w:tr w14:paraId="0C1962AF">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63535E4C">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学习率</w:t>
            </w:r>
          </w:p>
        </w:tc>
        <w:tc>
          <w:tcPr>
            <w:tcW w:w="3143" w:type="dxa"/>
            <w:tcBorders>
              <w:top w:val="nil"/>
              <w:left w:val="nil"/>
              <w:bottom w:val="nil"/>
              <w:right w:val="nil"/>
              <w:insideH w:val="nil"/>
              <w:insideV w:val="nil"/>
            </w:tcBorders>
            <w:vAlign w:val="center"/>
          </w:tcPr>
          <w:p w14:paraId="5BFE5E8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3×10⁻⁴，余弦退火至 10⁻⁶</w:t>
            </w:r>
          </w:p>
        </w:tc>
        <w:tc>
          <w:tcPr>
            <w:tcW w:w="3143" w:type="dxa"/>
            <w:tcBorders>
              <w:top w:val="nil"/>
              <w:left w:val="nil"/>
              <w:bottom w:val="nil"/>
              <w:right w:val="nil"/>
              <w:insideH w:val="nil"/>
              <w:insideV w:val="nil"/>
            </w:tcBorders>
            <w:vAlign w:val="center"/>
          </w:tcPr>
          <w:p w14:paraId="27C15E7A">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兼顾初期学习与后期收敛</w:t>
            </w:r>
          </w:p>
        </w:tc>
      </w:tr>
      <w:tr w14:paraId="2BE44481">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26C62CE8">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权重衰减</w:t>
            </w:r>
          </w:p>
        </w:tc>
        <w:tc>
          <w:tcPr>
            <w:tcW w:w="3143" w:type="dxa"/>
            <w:tcBorders>
              <w:top w:val="nil"/>
              <w:left w:val="nil"/>
              <w:bottom w:val="nil"/>
              <w:right w:val="nil"/>
              <w:insideH w:val="nil"/>
              <w:insideV w:val="nil"/>
            </w:tcBorders>
            <w:vAlign w:val="center"/>
          </w:tcPr>
          <w:p w14:paraId="50A1330E">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1×10⁻⁴</w:t>
            </w:r>
          </w:p>
        </w:tc>
        <w:tc>
          <w:tcPr>
            <w:tcW w:w="3143" w:type="dxa"/>
            <w:tcBorders>
              <w:top w:val="nil"/>
              <w:left w:val="nil"/>
              <w:bottom w:val="nil"/>
              <w:right w:val="nil"/>
              <w:insideH w:val="nil"/>
              <w:insideV w:val="nil"/>
            </w:tcBorders>
            <w:vAlign w:val="center"/>
          </w:tcPr>
          <w:p w14:paraId="314953DC">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约束参数复杂度</w:t>
            </w:r>
          </w:p>
        </w:tc>
      </w:tr>
      <w:tr w14:paraId="468D5077">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2C2BE471">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Batch / Epoch</w:t>
            </w:r>
          </w:p>
        </w:tc>
        <w:tc>
          <w:tcPr>
            <w:tcW w:w="3143" w:type="dxa"/>
            <w:tcBorders>
              <w:top w:val="nil"/>
              <w:left w:val="nil"/>
              <w:bottom w:val="nil"/>
              <w:right w:val="nil"/>
              <w:insideH w:val="nil"/>
              <w:insideV w:val="nil"/>
            </w:tcBorders>
            <w:vAlign w:val="center"/>
          </w:tcPr>
          <w:p w14:paraId="3361FE1B">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10 / 30</w:t>
            </w:r>
          </w:p>
        </w:tc>
        <w:tc>
          <w:tcPr>
            <w:tcW w:w="3143" w:type="dxa"/>
            <w:tcBorders>
              <w:top w:val="nil"/>
              <w:left w:val="nil"/>
              <w:bottom w:val="nil"/>
              <w:right w:val="nil"/>
              <w:insideH w:val="nil"/>
              <w:insideV w:val="nil"/>
            </w:tcBorders>
            <w:vAlign w:val="center"/>
          </w:tcPr>
          <w:p w14:paraId="1A371D49">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形成稳定的训练迭代</w:t>
            </w:r>
          </w:p>
        </w:tc>
      </w:tr>
      <w:tr w14:paraId="353DF11E">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161CE12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梯度裁剪 / 精度</w:t>
            </w:r>
          </w:p>
        </w:tc>
        <w:tc>
          <w:tcPr>
            <w:tcW w:w="3143" w:type="dxa"/>
            <w:tcBorders>
              <w:top w:val="nil"/>
              <w:left w:val="nil"/>
              <w:bottom w:val="nil"/>
              <w:right w:val="nil"/>
              <w:insideH w:val="nil"/>
              <w:insideV w:val="nil"/>
            </w:tcBorders>
            <w:vAlign w:val="center"/>
          </w:tcPr>
          <w:p w14:paraId="082DE2E3">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L₂ 范数 1.0 / AMP float16</w:t>
            </w:r>
          </w:p>
        </w:tc>
        <w:tc>
          <w:tcPr>
            <w:tcW w:w="3143" w:type="dxa"/>
            <w:tcBorders>
              <w:top w:val="nil"/>
              <w:left w:val="nil"/>
              <w:bottom w:val="nil"/>
              <w:right w:val="nil"/>
              <w:insideH w:val="nil"/>
              <w:insideV w:val="nil"/>
            </w:tcBorders>
            <w:vAlign w:val="center"/>
          </w:tcPr>
          <w:p w14:paraId="50D2E53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训练过程控制与加速</w:t>
            </w:r>
          </w:p>
        </w:tc>
      </w:tr>
      <w:tr w14:paraId="088264E4">
        <w:tblPrEx>
          <w:tblCellMar>
            <w:top w:w="0" w:type="dxa"/>
            <w:left w:w="108" w:type="dxa"/>
            <w:bottom w:w="0" w:type="dxa"/>
            <w:right w:w="108" w:type="dxa"/>
          </w:tblCellMar>
        </w:tblPrEx>
        <w:trPr>
          <w:cantSplit/>
          <w:jc w:val="center"/>
        </w:trPr>
        <w:tc>
          <w:tcPr>
            <w:tcW w:w="3143" w:type="dxa"/>
            <w:tcBorders>
              <w:top w:val="nil"/>
              <w:left w:val="nil"/>
              <w:bottom w:val="single" w:color="222222" w:sz="10" w:space="0"/>
              <w:right w:val="nil"/>
              <w:insideH w:val="nil"/>
              <w:insideV w:val="nil"/>
            </w:tcBorders>
            <w:vAlign w:val="center"/>
          </w:tcPr>
          <w:p w14:paraId="33AB0B02">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独立随机种子</w:t>
            </w:r>
          </w:p>
        </w:tc>
        <w:tc>
          <w:tcPr>
            <w:tcW w:w="3143" w:type="dxa"/>
            <w:tcBorders>
              <w:top w:val="nil"/>
              <w:left w:val="nil"/>
              <w:bottom w:val="single" w:color="222222" w:sz="10" w:space="0"/>
              <w:right w:val="nil"/>
              <w:insideH w:val="nil"/>
              <w:insideV w:val="nil"/>
            </w:tcBorders>
            <w:vAlign w:val="center"/>
          </w:tcPr>
          <w:p w14:paraId="2E7DC260">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101、202、303、404、505</w:t>
            </w:r>
          </w:p>
        </w:tc>
        <w:tc>
          <w:tcPr>
            <w:tcW w:w="3143" w:type="dxa"/>
            <w:tcBorders>
              <w:top w:val="nil"/>
              <w:left w:val="nil"/>
              <w:bottom w:val="single" w:color="222222" w:sz="10" w:space="0"/>
              <w:right w:val="nil"/>
              <w:insideH w:val="nil"/>
              <w:insideV w:val="nil"/>
            </w:tcBorders>
            <w:vAlign w:val="center"/>
          </w:tcPr>
          <w:p w14:paraId="1C2D977B">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构建多样化集成成员</w:t>
            </w:r>
          </w:p>
        </w:tc>
      </w:tr>
    </w:tbl>
    <w:p w14:paraId="2CC8787A">
      <w:pPr>
        <w:spacing w:after="0"/>
        <w:rPr>
          <w:rFonts w:ascii="Times New Roman" w:hAnsi="Times New Roman"/>
          <w:color w:val="auto"/>
        </w:rPr>
      </w:pPr>
    </w:p>
    <w:p w14:paraId="438AAF74">
      <w:pPr>
        <w:pStyle w:val="46"/>
        <w:rPr>
          <w:rFonts w:ascii="Times New Roman" w:hAnsi="Times New Roman"/>
          <w:color w:val="auto"/>
        </w:rPr>
      </w:pPr>
      <w:r>
        <w:rPr>
          <w:rFonts w:ascii="Times New Roman" w:hAnsi="Times New Roman"/>
          <w:color w:val="auto"/>
        </w:rPr>
        <w:t>2.5 五模型概率融合的稳健推断机制</w:t>
      </w:r>
    </w:p>
    <w:p w14:paraId="3836B77E">
      <w:pPr>
        <w:ind w:firstLine="420"/>
        <w:rPr>
          <w:rFonts w:ascii="Times New Roman" w:hAnsi="Times New Roman"/>
          <w:color w:val="auto"/>
        </w:rPr>
      </w:pPr>
      <w:r>
        <w:rPr>
          <w:rFonts w:ascii="Times New Roman" w:hAnsi="Times New Roman"/>
          <w:color w:val="auto"/>
        </w:rPr>
        <w:t>单一模型的预测边界往往受初始化、批次样本组合以及局部纹理波动影响。本项目固定主干结构与训练策略，分别采用五个独立随机种子获得成员模型，在推理阶段对各模型的像素概率进行等权平均。这一过程直接融合对裂缝存在概率的不同估计，使多成员共识在最终二值决策中得到体现，尤其有利于提高临近判定阈值的边界区域的一致性。</w:t>
      </w:r>
    </w:p>
    <w:p w14:paraId="0E8511EC">
      <w:pPr>
        <w:pStyle w:val="49"/>
        <w:jc w:val="center"/>
        <w:rPr>
          <w:rFonts w:ascii="Times New Roman" w:hAnsi="Times New Roman"/>
          <w:color w:val="auto"/>
        </w:rPr>
      </w:pPr>
      <m:oMathPara>
        <m:oMath>
          <m:bar>
            <m:barPr>
              <m:pos m:val="top"/>
              <m:ctrlPr>
                <w:rPr>
                  <w:rFonts w:ascii="Cambria Math" w:hAnsi="Cambria Math"/>
                  <w:color w:val="auto"/>
                </w:rPr>
              </m:ctrlPr>
            </m:barPr>
            <m:e>
              <m:r>
                <m:rPr/>
                <w:rPr>
                  <w:rFonts w:ascii="Times New Roman" w:hAnsi="Times New Roman"/>
                  <w:color w:val="auto"/>
                </w:rPr>
                <m:t>p</m:t>
              </m:r>
              <m:ctrlPr>
                <w:rPr>
                  <w:rFonts w:ascii="Cambria Math" w:hAnsi="Cambria Math"/>
                  <w:color w:val="auto"/>
                </w:rPr>
              </m:ctrlPr>
            </m:e>
          </m:bar>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r>
            <m:rPr>
              <m:sty m:val="p"/>
            </m:rPr>
            <w:rPr>
              <w:rFonts w:ascii="Times New Roman" w:hAnsi="Times New Roman"/>
              <w:color w:val="auto"/>
            </w:rPr>
            <m:t>=</m:t>
          </m:r>
          <m:f>
            <m:fPr>
              <m:ctrlPr>
                <w:rPr>
                  <w:rFonts w:ascii="Cambria Math" w:hAnsi="Cambria Math"/>
                  <w:color w:val="auto"/>
                </w:rPr>
              </m:ctrlPr>
            </m:fPr>
            <m:num>
              <m:r>
                <m:rPr/>
                <w:rPr>
                  <w:rFonts w:ascii="Times New Roman" w:hAnsi="Times New Roman"/>
                  <w:color w:val="auto"/>
                </w:rPr>
                <m:t>1</m:t>
              </m:r>
              <m:ctrlPr>
                <w:rPr>
                  <w:rFonts w:ascii="Cambria Math" w:hAnsi="Cambria Math"/>
                  <w:color w:val="auto"/>
                </w:rPr>
              </m:ctrlPr>
            </m:num>
            <m:den>
              <m:r>
                <m:rPr/>
                <w:rPr>
                  <w:rFonts w:ascii="Times New Roman" w:hAnsi="Times New Roman"/>
                  <w:color w:val="auto"/>
                </w:rPr>
                <m:t>5</m:t>
              </m:r>
              <m:ctrlPr>
                <w:rPr>
                  <w:rFonts w:ascii="Cambria Math" w:hAnsi="Cambria Math"/>
                  <w:color w:val="auto"/>
                </w:rPr>
              </m:ctrlPr>
            </m:den>
          </m:f>
          <m:nary>
            <m:naryPr>
              <m:chr m:val="∑"/>
              <m:limLoc m:val="undOvr"/>
              <m:ctrlPr>
                <w:rPr>
                  <w:rFonts w:ascii="Cambria Math" w:hAnsi="Cambria Math"/>
                  <w:color w:val="auto"/>
                </w:rPr>
              </m:ctrlPr>
            </m:naryPr>
            <m:sub>
              <m:r>
                <m:rPr/>
                <w:rPr>
                  <w:rFonts w:ascii="Times New Roman" w:hAnsi="Times New Roman"/>
                  <w:color w:val="auto"/>
                </w:rPr>
                <m:t>k</m:t>
              </m:r>
              <m:r>
                <m:rPr>
                  <m:sty m:val="p"/>
                </m:rPr>
                <w:rPr>
                  <w:rFonts w:ascii="Times New Roman" w:hAnsi="Times New Roman"/>
                  <w:color w:val="auto"/>
                </w:rPr>
                <m:t>=</m:t>
              </m:r>
              <m:r>
                <m:rPr/>
                <w:rPr>
                  <w:rFonts w:ascii="Times New Roman" w:hAnsi="Times New Roman"/>
                  <w:color w:val="auto"/>
                </w:rPr>
                <m:t>1</m:t>
              </m:r>
              <m:ctrlPr>
                <w:rPr>
                  <w:rFonts w:ascii="Cambria Math" w:hAnsi="Cambria Math"/>
                  <w:color w:val="auto"/>
                </w:rPr>
              </m:ctrlPr>
            </m:sub>
            <m:sup>
              <m:r>
                <m:rPr/>
                <w:rPr>
                  <w:rFonts w:ascii="Times New Roman" w:hAnsi="Times New Roman"/>
                  <w:color w:val="auto"/>
                </w:rPr>
                <m:t>5</m:t>
              </m:r>
              <m:ctrlPr>
                <w:rPr>
                  <w:rFonts w:ascii="Cambria Math" w:hAnsi="Cambria Math"/>
                  <w:color w:val="auto"/>
                </w:rPr>
              </m:ctrlPr>
            </m:sup>
            <m:e>
              <m:r>
                <m:rPr/>
                <w:rPr>
                  <w:rFonts w:ascii="Times New Roman" w:hAnsi="Times New Roman"/>
                  <w:color w:val="auto"/>
                </w:rPr>
                <m:t>σ</m:t>
              </m:r>
              <m:ctrlPr>
                <w:rPr>
                  <w:rFonts w:ascii="Cambria Math" w:hAnsi="Cambria Math"/>
                  <w:color w:val="auto"/>
                </w:rPr>
              </m:ctrlPr>
            </m:e>
          </m:nary>
          <m:r>
            <m:rPr/>
            <w:rPr>
              <w:rFonts w:ascii="Times New Roman" w:hAnsi="Times New Roman"/>
              <w:color w:val="auto"/>
            </w:rPr>
            <m:t>​</m:t>
          </m:r>
          <m:d>
            <m:dPr>
              <m:sepChr m:val=""/>
              <m:ctrlPr>
                <w:rPr>
                  <w:rFonts w:ascii="Cambria Math" w:hAnsi="Cambria Math"/>
                  <w:color w:val="auto"/>
                </w:rPr>
              </m:ctrlPr>
            </m:dPr>
            <m:e>
              <m:sSub>
                <m:sSubPr>
                  <m:ctrlPr>
                    <w:rPr>
                      <w:rFonts w:ascii="Cambria Math" w:hAnsi="Cambria Math"/>
                      <w:color w:val="auto"/>
                    </w:rPr>
                  </m:ctrlPr>
                </m:sSubPr>
                <m:e>
                  <m:r>
                    <m:rPr/>
                    <w:rPr>
                      <w:rFonts w:ascii="Times New Roman" w:hAnsi="Times New Roman"/>
                      <w:color w:val="auto"/>
                    </w:rPr>
                    <m:t>f</m:t>
                  </m:r>
                  <m:ctrlPr>
                    <w:rPr>
                      <w:rFonts w:ascii="Cambria Math" w:hAnsi="Cambria Math"/>
                      <w:color w:val="auto"/>
                    </w:rPr>
                  </m:ctrlPr>
                </m:e>
                <m:sub>
                  <m:sSub>
                    <m:sSubPr>
                      <m:ctrlPr>
                        <w:rPr>
                          <w:rFonts w:ascii="Cambria Math" w:hAnsi="Cambria Math"/>
                          <w:color w:val="auto"/>
                        </w:rPr>
                      </m:ctrlPr>
                    </m:sSubPr>
                    <m:e>
                      <m:r>
                        <m:rPr/>
                        <w:rPr>
                          <w:rFonts w:ascii="Times New Roman" w:hAnsi="Times New Roman"/>
                          <w:color w:val="auto"/>
                        </w:rPr>
                        <m:t>θ</m:t>
                      </m:r>
                      <m:ctrlPr>
                        <w:rPr>
                          <w:rFonts w:ascii="Cambria Math" w:hAnsi="Cambria Math"/>
                          <w:color w:val="auto"/>
                        </w:rPr>
                      </m:ctrlPr>
                    </m:e>
                    <m:sub>
                      <m:r>
                        <m:rPr/>
                        <w:rPr>
                          <w:rFonts w:ascii="Times New Roman" w:hAnsi="Times New Roman"/>
                          <w:color w:val="auto"/>
                        </w:rPr>
                        <m:t>k</m:t>
                      </m:r>
                      <m:ctrlPr>
                        <w:rPr>
                          <w:rFonts w:ascii="Cambria Math" w:hAnsi="Cambria Math"/>
                          <w:color w:val="auto"/>
                        </w:rPr>
                      </m:ctrlPr>
                    </m:sub>
                  </m:sSub>
                  <m:ctrlPr>
                    <w:rPr>
                      <w:rFonts w:ascii="Cambria Math" w:hAnsi="Cambria Math"/>
                      <w:color w:val="auto"/>
                    </w:rPr>
                  </m:ctrlPr>
                </m:sub>
              </m:sSub>
              <m:d>
                <m:dPr>
                  <m:sepChr m:val=""/>
                  <m:ctrlPr>
                    <w:rPr>
                      <w:rFonts w:ascii="Cambria Math" w:hAnsi="Cambria Math"/>
                      <w:color w:val="auto"/>
                    </w:rPr>
                  </m:ctrlPr>
                </m:dPr>
                <m:e>
                  <m:r>
                    <m:rPr/>
                    <w:rPr>
                      <w:rFonts w:ascii="Times New Roman" w:hAnsi="Times New Roman"/>
                      <w:color w:val="auto"/>
                    </w:rPr>
                    <m:t>I</m:t>
                  </m:r>
                  <m:ctrlPr>
                    <w:rPr>
                      <w:rFonts w:ascii="Cambria Math" w:hAnsi="Cambria Math"/>
                      <w:color w:val="auto"/>
                    </w:rPr>
                  </m:ctrlPr>
                </m:e>
              </m:d>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ctrlPr>
                <w:rPr>
                  <w:rFonts w:ascii="Cambria Math" w:hAnsi="Cambria Math"/>
                  <w:color w:val="auto"/>
                </w:rPr>
              </m:ctrlPr>
            </m:e>
          </m:d>
        </m:oMath>
      </m:oMathPara>
    </w:p>
    <w:p w14:paraId="0ECC74B4">
      <w:pPr>
        <w:ind w:firstLine="420"/>
        <w:rPr>
          <w:rFonts w:ascii="Times New Roman" w:hAnsi="Times New Roman"/>
          <w:color w:val="auto"/>
        </w:rPr>
      </w:pPr>
      <w:r>
        <w:rPr>
          <w:rFonts w:ascii="Times New Roman" w:hAnsi="Times New Roman"/>
          <w:color w:val="auto"/>
        </w:rPr>
        <w:t>从误差方差角度，在成员具有相同误差方差、任意两成员误差相关系数为 ρ 的条件下，K 个预测的平均误差方差满足下式。随着成员数量增加，模型间非完全相关的误差可被有效平滑；最终采用五成员配置，是性能实验与推理效率共同考量的结果。</w:t>
      </w:r>
    </w:p>
    <w:p w14:paraId="0D59580B">
      <w:pPr>
        <w:pStyle w:val="49"/>
        <w:jc w:val="center"/>
        <w:rPr>
          <w:rFonts w:ascii="Times New Roman" w:hAnsi="Times New Roman"/>
          <w:color w:val="auto"/>
        </w:rPr>
      </w:pPr>
      <m:oMathPara>
        <m:oMath>
          <m:r>
            <m:rPr>
              <m:sty m:val="p"/>
            </m:rPr>
            <w:rPr>
              <w:rFonts w:ascii="Times New Roman" w:hAnsi="Times New Roman"/>
              <w:color w:val="auto"/>
            </w:rPr>
            <m:t>Var</m:t>
          </m:r>
          <m:d>
            <m:dPr>
              <m:sepChr m:val=""/>
              <m:ctrlPr>
                <w:rPr>
                  <w:rFonts w:ascii="Cambria Math" w:hAnsi="Cambria Math"/>
                  <w:color w:val="auto"/>
                </w:rPr>
              </m:ctrlPr>
            </m:dPr>
            <m:e>
              <m:bar>
                <m:barPr>
                  <m:pos m:val="top"/>
                  <m:ctrlPr>
                    <w:rPr>
                      <w:rFonts w:ascii="Cambria Math" w:hAnsi="Cambria Math"/>
                      <w:color w:val="auto"/>
                    </w:rPr>
                  </m:ctrlPr>
                </m:barPr>
                <m:e>
                  <m:r>
                    <m:rPr/>
                    <w:rPr>
                      <w:rFonts w:ascii="Times New Roman" w:hAnsi="Times New Roman"/>
                      <w:color w:val="auto"/>
                    </w:rPr>
                    <m:t>p</m:t>
                  </m:r>
                  <m:ctrlPr>
                    <w:rPr>
                      <w:rFonts w:ascii="Cambria Math" w:hAnsi="Cambria Math"/>
                      <w:color w:val="auto"/>
                    </w:rPr>
                  </m:ctrlPr>
                </m:e>
              </m:bar>
              <m:ctrlPr>
                <w:rPr>
                  <w:rFonts w:ascii="Cambria Math" w:hAnsi="Cambria Math"/>
                  <w:color w:val="auto"/>
                </w:rPr>
              </m:ctrlPr>
            </m:e>
          </m:d>
          <m:r>
            <m:rPr>
              <m:sty m:val="p"/>
            </m:rPr>
            <w:rPr>
              <w:rFonts w:ascii="Times New Roman" w:hAnsi="Times New Roman"/>
              <w:color w:val="auto"/>
            </w:rPr>
            <m:t>=</m:t>
          </m:r>
          <m:sSup>
            <m:sSupPr>
              <m:ctrlPr>
                <w:rPr>
                  <w:rFonts w:ascii="Cambria Math" w:hAnsi="Cambria Math"/>
                  <w:color w:val="auto"/>
                </w:rPr>
              </m:ctrlPr>
            </m:sSupPr>
            <m:e>
              <m:r>
                <m:rPr/>
                <w:rPr>
                  <w:rFonts w:ascii="Times New Roman" w:hAnsi="Times New Roman"/>
                  <w:color w:val="auto"/>
                </w:rPr>
                <m:t>σ</m:t>
              </m:r>
              <m:ctrlPr>
                <w:rPr>
                  <w:rFonts w:ascii="Cambria Math" w:hAnsi="Cambria Math"/>
                  <w:color w:val="auto"/>
                </w:rPr>
              </m:ctrlPr>
            </m:e>
            <m:sup>
              <m:r>
                <m:rPr/>
                <w:rPr>
                  <w:rFonts w:ascii="Times New Roman" w:hAnsi="Times New Roman"/>
                  <w:color w:val="auto"/>
                </w:rPr>
                <m:t>2</m:t>
              </m:r>
              <m:ctrlPr>
                <w:rPr>
                  <w:rFonts w:ascii="Cambria Math" w:hAnsi="Cambria Math"/>
                  <w:color w:val="auto"/>
                </w:rPr>
              </m:ctrlPr>
            </m:sup>
          </m:sSup>
          <m:r>
            <m:rPr/>
            <w:rPr>
              <w:rFonts w:ascii="Times New Roman" w:hAnsi="Times New Roman"/>
              <w:color w:val="auto"/>
            </w:rPr>
            <m:t>​</m:t>
          </m:r>
          <m:d>
            <m:dPr>
              <m:begChr m:val="["/>
              <m:sepChr m:val=""/>
              <m:endChr m:val="]"/>
              <m:ctrlPr>
                <w:rPr>
                  <w:rFonts w:ascii="Cambria Math" w:hAnsi="Cambria Math"/>
                  <w:color w:val="auto"/>
                </w:rPr>
              </m:ctrlPr>
            </m:dPr>
            <m:e>
              <m:r>
                <m:rPr/>
                <w:rPr>
                  <w:rFonts w:ascii="Times New Roman" w:hAnsi="Times New Roman"/>
                  <w:color w:val="auto"/>
                </w:rPr>
                <m:t>ρ</m:t>
              </m:r>
              <m:r>
                <m:rPr>
                  <m:sty m:val="p"/>
                </m:rPr>
                <w:rPr>
                  <w:rFonts w:ascii="Times New Roman" w:hAnsi="Times New Roman"/>
                  <w:color w:val="auto"/>
                </w:rPr>
                <m:t>+</m:t>
              </m:r>
              <m:f>
                <m:fPr>
                  <m:ctrlPr>
                    <w:rPr>
                      <w:rFonts w:ascii="Cambria Math" w:hAnsi="Cambria Math"/>
                      <w:color w:val="auto"/>
                    </w:rPr>
                  </m:ctrlPr>
                </m:fPr>
                <m:num>
                  <m:r>
                    <m:rPr/>
                    <w:rPr>
                      <w:rFonts w:ascii="Times New Roman" w:hAnsi="Times New Roman"/>
                      <w:color w:val="auto"/>
                    </w:rPr>
                    <m:t>1</m:t>
                  </m:r>
                  <m:r>
                    <m:rPr>
                      <m:sty m:val="p"/>
                    </m:rPr>
                    <w:rPr>
                      <w:rFonts w:ascii="Times New Roman" w:hAnsi="Times New Roman"/>
                      <w:color w:val="auto"/>
                    </w:rPr>
                    <m:t>−</m:t>
                  </m:r>
                  <m:r>
                    <m:rPr/>
                    <w:rPr>
                      <w:rFonts w:ascii="Times New Roman" w:hAnsi="Times New Roman"/>
                      <w:color w:val="auto"/>
                    </w:rPr>
                    <m:t>ρ</m:t>
                  </m:r>
                  <m:ctrlPr>
                    <w:rPr>
                      <w:rFonts w:ascii="Cambria Math" w:hAnsi="Cambria Math"/>
                      <w:color w:val="auto"/>
                    </w:rPr>
                  </m:ctrlPr>
                </m:num>
                <m:den>
                  <m:r>
                    <m:rPr/>
                    <w:rPr>
                      <w:rFonts w:ascii="Times New Roman" w:hAnsi="Times New Roman"/>
                      <w:color w:val="auto"/>
                    </w:rPr>
                    <m:t>K</m:t>
                  </m:r>
                  <m:ctrlPr>
                    <w:rPr>
                      <w:rFonts w:ascii="Cambria Math" w:hAnsi="Cambria Math"/>
                      <w:color w:val="auto"/>
                    </w:rPr>
                  </m:ctrlPr>
                </m:den>
              </m:f>
              <m:ctrlPr>
                <w:rPr>
                  <w:rFonts w:ascii="Cambria Math" w:hAnsi="Cambria Math"/>
                  <w:color w:val="auto"/>
                </w:rPr>
              </m:ctrlPr>
            </m:e>
          </m:d>
        </m:oMath>
      </m:oMathPara>
    </w:p>
    <w:p w14:paraId="0BE4CF93">
      <w:pPr>
        <w:ind w:firstLine="420"/>
        <w:rPr>
          <w:rFonts w:ascii="Times New Roman" w:hAnsi="Times New Roman"/>
          <w:color w:val="auto"/>
        </w:rPr>
      </w:pPr>
      <w:r>
        <w:rPr>
          <w:rFonts w:ascii="Times New Roman" w:hAnsi="Times New Roman"/>
          <w:color w:val="auto"/>
        </w:rPr>
        <w:t>配对 Bootstrap 验证进一步揭示了概率融合的稳定收益。五模型集成相较代表单模型的 Crack IoU 提高 0.7935 个百分点，2000 次配对重采样所得 95% 置信区间为 [0.538，1.045] 个百分点。区间整体处于正增益范围，体现了概率级集成在该任务上的可靠提升。</w:t>
      </w:r>
    </w:p>
    <w:p w14:paraId="76800F58">
      <w:pPr>
        <w:pStyle w:val="46"/>
        <w:rPr>
          <w:rFonts w:ascii="Times New Roman" w:hAnsi="Times New Roman"/>
          <w:color w:val="auto"/>
        </w:rPr>
      </w:pPr>
      <w:r>
        <w:rPr>
          <w:rFonts w:ascii="Times New Roman" w:hAnsi="Times New Roman"/>
          <w:color w:val="auto"/>
        </w:rPr>
        <w:t>2.6 面积先验与边界置信度门控的两级校正</w:t>
      </w:r>
    </w:p>
    <w:p w14:paraId="457EEEB0">
      <w:pPr>
        <w:ind w:firstLine="420"/>
        <w:rPr>
          <w:rFonts w:ascii="Times New Roman" w:hAnsi="Times New Roman"/>
          <w:color w:val="auto"/>
        </w:rPr>
      </w:pPr>
      <w:r>
        <w:rPr>
          <w:rFonts w:ascii="Times New Roman" w:hAnsi="Times New Roman"/>
          <w:color w:val="auto"/>
        </w:rPr>
        <w:t>在概率融合之后，方案将裂缝的空间连通属性与像素置信度共同纳入输出决策。首先，以阈值 0.20 获取候选裂缝区域，提取其八邻域连通分量，并保留面积不小于 50 像素的区域。该步骤利用裂缝通常沿一定方向连续延伸的几何特征，压制离散且缺乏结构支撑的弱响应。</w:t>
      </w:r>
    </w:p>
    <w:p w14:paraId="66283385">
      <w:pPr>
        <w:pStyle w:val="49"/>
        <w:jc w:val="center"/>
        <w:rPr>
          <w:rFonts w:ascii="Times New Roman" w:hAnsi="Times New Roman"/>
          <w:color w:val="auto"/>
        </w:rPr>
      </w:pPr>
      <m:oMathPara>
        <m:oMath>
          <m:sSub>
            <m:sSubPr>
              <m:ctrlPr>
                <w:rPr>
                  <w:rFonts w:ascii="Cambria Math" w:hAnsi="Cambria Math"/>
                  <w:color w:val="auto"/>
                </w:rPr>
              </m:ctrlPr>
            </m:sSubPr>
            <m:e>
              <m:r>
                <m:rPr/>
                <w:rPr>
                  <w:rFonts w:ascii="Times New Roman" w:hAnsi="Times New Roman"/>
                  <w:color w:val="auto"/>
                </w:rPr>
                <m:t>M</m:t>
              </m:r>
              <m:ctrlPr>
                <w:rPr>
                  <w:rFonts w:ascii="Cambria Math" w:hAnsi="Cambria Math"/>
                  <w:color w:val="auto"/>
                </w:rPr>
              </m:ctrlPr>
            </m:e>
            <m:sub>
              <m:r>
                <m:rPr/>
                <w:rPr>
                  <w:rFonts w:ascii="Times New Roman" w:hAnsi="Times New Roman"/>
                  <w:color w:val="auto"/>
                </w:rPr>
                <m:t>0</m:t>
              </m:r>
              <m:ctrlPr>
                <w:rPr>
                  <w:rFonts w:ascii="Cambria Math" w:hAnsi="Cambria Math"/>
                  <w:color w:val="auto"/>
                </w:rPr>
              </m:ctrlPr>
            </m:sub>
          </m:sSub>
          <m:r>
            <m:rPr>
              <m:sty m:val="p"/>
            </m:rPr>
            <w:rPr>
              <w:rFonts w:ascii="Times New Roman" w:hAnsi="Times New Roman"/>
              <w:color w:val="auto"/>
            </w:rPr>
            <m:t>=</m:t>
          </m:r>
          <m:r>
            <m:rPr>
              <m:sty m:val="p"/>
              <m:scr m:val="double-struck"/>
            </m:rPr>
            <w:rPr>
              <w:rFonts w:ascii="Times New Roman" w:hAnsi="Times New Roman" w:eastAsia="MS Mincho"/>
              <w:color w:val="auto"/>
            </w:rPr>
            <m:t>1</m:t>
          </m:r>
          <m:d>
            <m:dPr>
              <m:begChr m:val="["/>
              <m:sepChr m:val=""/>
              <m:endChr m:val="]"/>
              <m:ctrlPr>
                <w:rPr>
                  <w:rFonts w:ascii="Cambria Math" w:hAnsi="Cambria Math"/>
                  <w:color w:val="auto"/>
                </w:rPr>
              </m:ctrlPr>
            </m:dPr>
            <m:e>
              <m:bar>
                <m:barPr>
                  <m:pos m:val="top"/>
                  <m:ctrlPr>
                    <w:rPr>
                      <w:rFonts w:ascii="Cambria Math" w:hAnsi="Cambria Math"/>
                      <w:color w:val="auto"/>
                    </w:rPr>
                  </m:ctrlPr>
                </m:barPr>
                <m:e>
                  <m:r>
                    <m:rPr/>
                    <w:rPr>
                      <w:rFonts w:ascii="Times New Roman" w:hAnsi="Times New Roman"/>
                      <w:color w:val="auto"/>
                    </w:rPr>
                    <m:t>p</m:t>
                  </m:r>
                  <m:ctrlPr>
                    <w:rPr>
                      <w:rFonts w:ascii="Cambria Math" w:hAnsi="Cambria Math"/>
                      <w:color w:val="auto"/>
                    </w:rPr>
                  </m:ctrlPr>
                </m:e>
              </m:bar>
              <m:r>
                <m:rPr>
                  <m:sty m:val="p"/>
                </m:rPr>
                <w:rPr>
                  <w:rFonts w:ascii="Times New Roman" w:hAnsi="Times New Roman"/>
                  <w:color w:val="auto"/>
                </w:rPr>
                <m:t>≥</m:t>
              </m:r>
              <m:r>
                <m:rPr/>
                <w:rPr>
                  <w:rFonts w:ascii="Times New Roman" w:hAnsi="Times New Roman"/>
                  <w:color w:val="auto"/>
                </w:rPr>
                <m:t>0.20</m:t>
              </m:r>
              <m:ctrlPr>
                <w:rPr>
                  <w:rFonts w:ascii="Cambria Math" w:hAnsi="Cambria Math"/>
                  <w:color w:val="auto"/>
                </w:rPr>
              </m:ctrlPr>
            </m:e>
          </m:d>
          <m:r>
            <m:rPr>
              <m:sty m:val="p"/>
            </m:rPr>
            <w:rPr>
              <w:rFonts w:ascii="Times New Roman" w:hAnsi="Times New Roman"/>
              <w:color w:val="auto"/>
            </w:rPr>
            <m:t>,</m:t>
          </m:r>
          <m:r>
            <m:rPr/>
            <w:rPr>
              <w:rFonts w:ascii="Times New Roman" w:hAnsi="Times New Roman"/>
              <w:color w:val="auto"/>
            </w:rPr>
            <m:t> </m:t>
          </m:r>
          <m:sSub>
            <m:sSubPr>
              <m:ctrlPr>
                <w:rPr>
                  <w:rFonts w:ascii="Cambria Math" w:hAnsi="Cambria Math"/>
                  <w:color w:val="auto"/>
                </w:rPr>
              </m:ctrlPr>
            </m:sSubPr>
            <m:e>
              <m:r>
                <m:rPr/>
                <w:rPr>
                  <w:rFonts w:ascii="Times New Roman" w:hAnsi="Times New Roman"/>
                  <w:color w:val="auto"/>
                </w:rPr>
                <m:t>M</m:t>
              </m:r>
              <m:ctrlPr>
                <w:rPr>
                  <w:rFonts w:ascii="Cambria Math" w:hAnsi="Cambria Math"/>
                  <w:color w:val="auto"/>
                </w:rPr>
              </m:ctrlPr>
            </m:e>
            <m:sub>
              <m:r>
                <m:rPr/>
                <w:rPr>
                  <w:rFonts w:ascii="Times New Roman" w:hAnsi="Times New Roman"/>
                  <w:color w:val="auto"/>
                </w:rPr>
                <m:t>1</m:t>
              </m:r>
              <m:ctrlPr>
                <w:rPr>
                  <w:rFonts w:ascii="Cambria Math" w:hAnsi="Cambria Math"/>
                  <w:color w:val="auto"/>
                </w:rPr>
              </m:ctrlPr>
            </m:sub>
          </m:sSub>
          <m:r>
            <m:rPr>
              <m:sty m:val="p"/>
            </m:rPr>
            <w:rPr>
              <w:rFonts w:ascii="Times New Roman" w:hAnsi="Times New Roman"/>
              <w:color w:val="auto"/>
            </w:rPr>
            <m:t>=</m:t>
          </m:r>
          <m:limLow>
            <m:limLowPr>
              <m:ctrlPr>
                <w:rPr>
                  <w:rFonts w:ascii="Cambria Math" w:hAnsi="Cambria Math"/>
                  <w:color w:val="auto"/>
                </w:rPr>
              </m:ctrlPr>
            </m:limLowPr>
            <m:e>
              <m:r>
                <m:rPr>
                  <m:sty m:val="p"/>
                </m:rPr>
                <w:rPr>
                  <w:rFonts w:ascii="Times New Roman" w:hAnsi="Times New Roman"/>
                  <w:color w:val="auto"/>
                </w:rPr>
                <m:t>⋃</m:t>
              </m:r>
              <m:ctrlPr>
                <w:rPr>
                  <w:rFonts w:ascii="Cambria Math" w:hAnsi="Cambria Math"/>
                  <w:color w:val="auto"/>
                </w:rPr>
              </m:ctrlPr>
            </m:e>
            <m:lim>
              <m:d>
                <m:dPr>
                  <m:begChr m:val="|"/>
                  <m:sepChr m:val=""/>
                  <m:endChr m:val="|"/>
                  <m:ctrlPr>
                    <w:rPr>
                      <w:rFonts w:ascii="Cambria Math" w:hAnsi="Cambria Math"/>
                      <w:color w:val="auto"/>
                    </w:rPr>
                  </m:ctrlPr>
                </m:dPr>
                <m:e>
                  <m:sSub>
                    <m:sSubPr>
                      <m:ctrlPr>
                        <w:rPr>
                          <w:rFonts w:ascii="Cambria Math" w:hAnsi="Cambria Math"/>
                          <w:color w:val="auto"/>
                        </w:rPr>
                      </m:ctrlPr>
                    </m:sSubPr>
                    <m:e>
                      <m:r>
                        <m:rPr/>
                        <w:rPr>
                          <w:rFonts w:ascii="Times New Roman" w:hAnsi="Times New Roman"/>
                          <w:color w:val="auto"/>
                        </w:rPr>
                        <m:t>C</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ctrlPr>
                    <w:rPr>
                      <w:rFonts w:ascii="Cambria Math" w:hAnsi="Cambria Math"/>
                      <w:color w:val="auto"/>
                    </w:rPr>
                  </m:ctrlPr>
                </m:e>
              </m:d>
              <m:r>
                <m:rPr>
                  <m:sty m:val="p"/>
                </m:rPr>
                <w:rPr>
                  <w:rFonts w:ascii="Times New Roman" w:hAnsi="Times New Roman"/>
                  <w:color w:val="auto"/>
                </w:rPr>
                <m:t>≥</m:t>
              </m:r>
              <m:r>
                <m:rPr/>
                <w:rPr>
                  <w:rFonts w:ascii="Times New Roman" w:hAnsi="Times New Roman"/>
                  <w:color w:val="auto"/>
                </w:rPr>
                <m:t>50</m:t>
              </m:r>
              <m:ctrlPr>
                <w:rPr>
                  <w:rFonts w:ascii="Cambria Math" w:hAnsi="Cambria Math"/>
                  <w:color w:val="auto"/>
                </w:rPr>
              </m:ctrlPr>
            </m:lim>
          </m:limLow>
          <m:sSub>
            <m:sSubPr>
              <m:ctrlPr>
                <w:rPr>
                  <w:rFonts w:ascii="Cambria Math" w:hAnsi="Cambria Math"/>
                  <w:color w:val="auto"/>
                </w:rPr>
              </m:ctrlPr>
            </m:sSubPr>
            <m:e>
              <m:r>
                <m:rPr/>
                <w:rPr>
                  <w:rFonts w:ascii="Times New Roman" w:hAnsi="Times New Roman"/>
                  <w:color w:val="auto"/>
                </w:rPr>
                <m:t>C</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oMath>
      </m:oMathPara>
    </w:p>
    <w:p w14:paraId="372E7C95">
      <w:pPr>
        <w:ind w:firstLine="420"/>
        <w:rPr>
          <w:rFonts w:ascii="Times New Roman" w:hAnsi="Times New Roman"/>
          <w:color w:val="auto"/>
        </w:rPr>
      </w:pPr>
      <w:r>
        <w:rPr>
          <w:rFonts w:ascii="Times New Roman" w:hAnsi="Times New Roman"/>
          <w:color w:val="auto"/>
        </w:rPr>
        <w:t>其次，以过滤后掩膜为基础计算内部边界距离，对距离边界不超过一个像素的候选像素执行局部概率门控：普通区域采用 0.20 的判定阈值，边缘带采用 0.25 的判定阈值。由此实现“核心区域充分保留、弱置信边缘精细收敛”的分层决策。相较统一腐蚀或宽度固定的形态学重建，该策略将裂缝中心与边界区分处理，能够适应不同位置的真实宽度变化。</w:t>
      </w:r>
    </w:p>
    <w:p w14:paraId="53C8F57C">
      <w:pPr>
        <w:pStyle w:val="49"/>
        <w:jc w:val="center"/>
        <w:rPr>
          <w:rFonts w:ascii="Times New Roman" w:hAnsi="Times New Roman"/>
          <w:color w:val="auto"/>
        </w:rPr>
      </w:pPr>
      <m:oMathPara>
        <m:oMath>
          <m:acc>
            <m:accPr>
              <m:ctrlPr>
                <w:rPr>
                  <w:rFonts w:ascii="Cambria Math" w:hAnsi="Cambria Math"/>
                  <w:color w:val="auto"/>
                </w:rPr>
              </m:ctrlPr>
            </m:accPr>
            <m:e>
              <m:r>
                <m:rPr/>
                <w:rPr>
                  <w:rFonts w:ascii="Times New Roman" w:hAnsi="Times New Roman"/>
                  <w:color w:val="auto"/>
                </w:rPr>
                <m:t>Y</m:t>
              </m:r>
              <m:ctrlPr>
                <w:rPr>
                  <w:rFonts w:ascii="Cambria Math" w:hAnsi="Cambria Math"/>
                  <w:color w:val="auto"/>
                </w:rPr>
              </m:ctrlPr>
            </m:e>
          </m:acc>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r>
            <m:rPr>
              <m:sty m:val="p"/>
            </m:rPr>
            <w:rPr>
              <w:rFonts w:ascii="Times New Roman" w:hAnsi="Times New Roman"/>
              <w:color w:val="auto"/>
            </w:rPr>
            <m:t>=</m:t>
          </m:r>
          <m:r>
            <m:rPr>
              <m:sty m:val="p"/>
              <m:scr m:val="double-struck"/>
            </m:rPr>
            <w:rPr>
              <w:rFonts w:ascii="Times New Roman" w:hAnsi="Times New Roman" w:eastAsia="MS Mincho"/>
              <w:color w:val="auto"/>
            </w:rPr>
            <m:t>1</m:t>
          </m:r>
          <m:d>
            <m:dPr>
              <m:begChr m:val="["/>
              <m:sepChr m:val=""/>
              <m:endChr m:val="]"/>
              <m:ctrlPr>
                <w:rPr>
                  <w:rFonts w:ascii="Cambria Math" w:hAnsi="Cambria Math"/>
                  <w:color w:val="auto"/>
                </w:rPr>
              </m:ctrlPr>
            </m:dPr>
            <m:e>
              <m:r>
                <m:rPr>
                  <m:sty m:val="b"/>
                </m:rPr>
                <w:rPr>
                  <w:rFonts w:ascii="Times New Roman" w:hAnsi="Times New Roman"/>
                  <w:color w:val="auto"/>
                </w:rPr>
                <m:t>x</m:t>
              </m:r>
              <m:r>
                <m:rPr>
                  <m:sty m:val="p"/>
                </m:rPr>
                <w:rPr>
                  <w:rFonts w:ascii="Times New Roman" w:hAnsi="Times New Roman"/>
                  <w:color w:val="auto"/>
                </w:rPr>
                <m:t>∈</m:t>
              </m:r>
              <m:sSub>
                <m:sSubPr>
                  <m:ctrlPr>
                    <w:rPr>
                      <w:rFonts w:ascii="Cambria Math" w:hAnsi="Cambria Math"/>
                      <w:color w:val="auto"/>
                    </w:rPr>
                  </m:ctrlPr>
                </m:sSubPr>
                <m:e>
                  <m:r>
                    <m:rPr/>
                    <w:rPr>
                      <w:rFonts w:ascii="Times New Roman" w:hAnsi="Times New Roman"/>
                      <w:color w:val="auto"/>
                    </w:rPr>
                    <m:t>M</m:t>
                  </m:r>
                  <m:ctrlPr>
                    <w:rPr>
                      <w:rFonts w:ascii="Cambria Math" w:hAnsi="Cambria Math"/>
                      <w:color w:val="auto"/>
                    </w:rPr>
                  </m:ctrlPr>
                </m:e>
                <m:sub>
                  <m:r>
                    <m:rPr/>
                    <w:rPr>
                      <w:rFonts w:ascii="Times New Roman" w:hAnsi="Times New Roman"/>
                      <w:color w:val="auto"/>
                    </w:rPr>
                    <m:t>1</m:t>
                  </m:r>
                  <m:ctrlPr>
                    <w:rPr>
                      <w:rFonts w:ascii="Cambria Math" w:hAnsi="Cambria Math"/>
                      <w:color w:val="auto"/>
                    </w:rPr>
                  </m:ctrlPr>
                </m:sub>
              </m:sSub>
              <m:ctrlPr>
                <w:rPr>
                  <w:rFonts w:ascii="Cambria Math" w:hAnsi="Cambria Math"/>
                  <w:color w:val="auto"/>
                </w:rPr>
              </m:ctrlPr>
            </m:e>
          </m:d>
          <m:r>
            <m:rPr/>
            <w:rPr>
              <w:rFonts w:ascii="Times New Roman" w:hAnsi="Times New Roman"/>
              <w:color w:val="auto"/>
            </w:rPr>
            <m:t> </m:t>
          </m:r>
          <m:r>
            <m:rPr>
              <m:sty m:val="p"/>
              <m:scr m:val="double-struck"/>
            </m:rPr>
            <w:rPr>
              <w:rFonts w:ascii="Times New Roman" w:hAnsi="Times New Roman" w:eastAsia="MS Mincho"/>
              <w:color w:val="auto"/>
            </w:rPr>
            <m:t>1</m:t>
          </m:r>
          <m:d>
            <m:dPr>
              <m:begChr m:val="["/>
              <m:sepChr m:val=""/>
              <m:endChr m:val="]"/>
              <m:ctrlPr>
                <w:rPr>
                  <w:rFonts w:ascii="Cambria Math" w:hAnsi="Cambria Math"/>
                  <w:color w:val="auto"/>
                </w:rPr>
              </m:ctrlPr>
            </m:dPr>
            <m:e>
              <m:bar>
                <m:barPr>
                  <m:pos m:val="top"/>
                  <m:ctrlPr>
                    <w:rPr>
                      <w:rFonts w:ascii="Cambria Math" w:hAnsi="Cambria Math"/>
                      <w:color w:val="auto"/>
                    </w:rPr>
                  </m:ctrlPr>
                </m:barPr>
                <m:e>
                  <m:r>
                    <m:rPr/>
                    <w:rPr>
                      <w:rFonts w:ascii="Times New Roman" w:hAnsi="Times New Roman"/>
                      <w:color w:val="auto"/>
                    </w:rPr>
                    <m:t>p</m:t>
                  </m:r>
                  <m:ctrlPr>
                    <w:rPr>
                      <w:rFonts w:ascii="Cambria Math" w:hAnsi="Cambria Math"/>
                      <w:color w:val="auto"/>
                    </w:rPr>
                  </m:ctrlPr>
                </m:e>
              </m:bar>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r>
                <m:rPr>
                  <m:sty m:val="p"/>
                </m:rPr>
                <w:rPr>
                  <w:rFonts w:ascii="Times New Roman" w:hAnsi="Times New Roman"/>
                  <w:color w:val="auto"/>
                </w:rPr>
                <m:t>≥</m:t>
              </m:r>
              <m:r>
                <m:rPr/>
                <w:rPr>
                  <w:rFonts w:ascii="Times New Roman" w:hAnsi="Times New Roman"/>
                  <w:color w:val="auto"/>
                </w:rPr>
                <m:t>0.20</m:t>
              </m:r>
              <m:r>
                <m:rPr>
                  <m:sty m:val="p"/>
                </m:rPr>
                <w:rPr>
                  <w:rFonts w:ascii="Times New Roman" w:hAnsi="Times New Roman"/>
                  <w:color w:val="auto"/>
                </w:rPr>
                <m:t>+</m:t>
              </m:r>
              <m:r>
                <m:rPr/>
                <w:rPr>
                  <w:rFonts w:ascii="Times New Roman" w:hAnsi="Times New Roman"/>
                  <w:color w:val="auto"/>
                </w:rPr>
                <m:t>0.05 </m:t>
              </m:r>
              <m:r>
                <m:rPr>
                  <m:sty m:val="p"/>
                  <m:scr m:val="double-struck"/>
                </m:rPr>
                <w:rPr>
                  <w:rFonts w:ascii="Times New Roman" w:hAnsi="Times New Roman" w:eastAsia="MS Mincho"/>
                  <w:color w:val="auto"/>
                </w:rPr>
                <m:t>1</m:t>
              </m:r>
              <m:d>
                <m:dPr>
                  <m:sepChr m:val=""/>
                  <m:ctrlPr>
                    <w:rPr>
                      <w:rFonts w:ascii="Cambria Math" w:hAnsi="Cambria Math"/>
                      <w:color w:val="auto"/>
                    </w:rPr>
                  </m:ctrlPr>
                </m:dPr>
                <m:e>
                  <m:sSub>
                    <m:sSubPr>
                      <m:ctrlPr>
                        <w:rPr>
                          <w:rFonts w:ascii="Cambria Math" w:hAnsi="Cambria Math"/>
                          <w:color w:val="auto"/>
                        </w:rPr>
                      </m:ctrlPr>
                    </m:sSubPr>
                    <m:e>
                      <m:r>
                        <m:rPr/>
                        <w:rPr>
                          <w:rFonts w:ascii="Times New Roman" w:hAnsi="Times New Roman"/>
                          <w:color w:val="auto"/>
                        </w:rPr>
                        <m:t>d</m:t>
                      </m:r>
                      <m:ctrlPr>
                        <w:rPr>
                          <w:rFonts w:ascii="Cambria Math" w:hAnsi="Cambria Math"/>
                          <w:color w:val="auto"/>
                        </w:rPr>
                      </m:ctrlPr>
                    </m:e>
                    <m:sub>
                      <m:sSub>
                        <m:sSubPr>
                          <m:ctrlPr>
                            <w:rPr>
                              <w:rFonts w:ascii="Cambria Math" w:hAnsi="Cambria Math"/>
                              <w:color w:val="auto"/>
                            </w:rPr>
                          </m:ctrlPr>
                        </m:sSubPr>
                        <m:e>
                          <m:r>
                            <m:rPr/>
                            <w:rPr>
                              <w:rFonts w:ascii="Times New Roman" w:hAnsi="Times New Roman"/>
                              <w:color w:val="auto"/>
                            </w:rPr>
                            <m:t>M</m:t>
                          </m:r>
                          <m:ctrlPr>
                            <w:rPr>
                              <w:rFonts w:ascii="Cambria Math" w:hAnsi="Cambria Math"/>
                              <w:color w:val="auto"/>
                            </w:rPr>
                          </m:ctrlPr>
                        </m:e>
                        <m:sub>
                          <m:r>
                            <m:rPr/>
                            <w:rPr>
                              <w:rFonts w:ascii="Times New Roman" w:hAnsi="Times New Roman"/>
                              <w:color w:val="auto"/>
                            </w:rPr>
                            <m:t>1</m:t>
                          </m:r>
                          <m:ctrlPr>
                            <w:rPr>
                              <w:rFonts w:ascii="Cambria Math" w:hAnsi="Cambria Math"/>
                              <w:color w:val="auto"/>
                            </w:rPr>
                          </m:ctrlPr>
                        </m:sub>
                      </m:sSub>
                      <m:ctrlPr>
                        <w:rPr>
                          <w:rFonts w:ascii="Cambria Math" w:hAnsi="Cambria Math"/>
                          <w:color w:val="auto"/>
                        </w:rPr>
                      </m:ctrlPr>
                    </m:sub>
                  </m:sSub>
                  <m:d>
                    <m:dPr>
                      <m:sepChr m:val=""/>
                      <m:ctrlPr>
                        <w:rPr>
                          <w:rFonts w:ascii="Cambria Math" w:hAnsi="Cambria Math"/>
                          <w:color w:val="auto"/>
                        </w:rPr>
                      </m:ctrlPr>
                    </m:dPr>
                    <m:e>
                      <m:r>
                        <m:rPr>
                          <m:sty m:val="b"/>
                        </m:rPr>
                        <w:rPr>
                          <w:rFonts w:ascii="Times New Roman" w:hAnsi="Times New Roman"/>
                          <w:color w:val="auto"/>
                        </w:rPr>
                        <m:t>x</m:t>
                      </m:r>
                      <m:ctrlPr>
                        <w:rPr>
                          <w:rFonts w:ascii="Cambria Math" w:hAnsi="Cambria Math"/>
                          <w:color w:val="auto"/>
                        </w:rPr>
                      </m:ctrlPr>
                    </m:e>
                  </m:d>
                  <m:r>
                    <m:rPr>
                      <m:sty m:val="p"/>
                    </m:rPr>
                    <w:rPr>
                      <w:rFonts w:ascii="Times New Roman" w:hAnsi="Times New Roman"/>
                      <w:color w:val="auto"/>
                    </w:rPr>
                    <m:t>≤</m:t>
                  </m:r>
                  <m:r>
                    <m:rPr/>
                    <w:rPr>
                      <w:rFonts w:ascii="Times New Roman" w:hAnsi="Times New Roman"/>
                      <w:color w:val="auto"/>
                    </w:rPr>
                    <m:t>1</m:t>
                  </m:r>
                  <m:ctrlPr>
                    <w:rPr>
                      <w:rFonts w:ascii="Cambria Math" w:hAnsi="Cambria Math"/>
                      <w:color w:val="auto"/>
                    </w:rPr>
                  </m:ctrlPr>
                </m:e>
              </m:d>
              <m:ctrlPr>
                <w:rPr>
                  <w:rFonts w:ascii="Cambria Math" w:hAnsi="Cambria Math"/>
                  <w:color w:val="auto"/>
                </w:rPr>
              </m:ctrlPr>
            </m:e>
          </m:d>
        </m:oMath>
      </m:oMathPara>
    </w:p>
    <w:p w14:paraId="2E7A1913">
      <w:pPr>
        <w:ind w:firstLine="420"/>
        <w:rPr>
          <w:rFonts w:ascii="Times New Roman" w:hAnsi="Times New Roman"/>
          <w:color w:val="auto"/>
        </w:rPr>
      </w:pPr>
      <w:r>
        <w:rPr>
          <w:rFonts w:ascii="Times New Roman" w:hAnsi="Times New Roman"/>
          <w:color w:val="auto"/>
        </w:rPr>
        <w:t>两级机制分别承担“区域级结构筛选”和“像素级边界修正”两项职责。前者利用连通性组织空间结构，后者依托预测概率控制边界增厚，两者在决策顺序上相互衔接，最终形成兼顾主体连续性和轮廓精度的裂缝掩膜。</w:t>
      </w:r>
    </w:p>
    <w:p w14:paraId="6D9D7E0A">
      <w:pPr>
        <w:pStyle w:val="46"/>
        <w:rPr>
          <w:rFonts w:ascii="Times New Roman" w:hAnsi="Times New Roman"/>
          <w:color w:val="auto"/>
        </w:rPr>
      </w:pPr>
      <w:r>
        <w:rPr>
          <w:rFonts w:ascii="Times New Roman" w:hAnsi="Times New Roman"/>
          <w:color w:val="auto"/>
        </w:rPr>
        <w:t>2.7 核心创新点与方法特色</w:t>
      </w:r>
    </w:p>
    <w:p w14:paraId="2D354BDE">
      <w:pPr>
        <w:ind w:firstLine="420"/>
        <w:rPr>
          <w:rFonts w:ascii="Times New Roman" w:hAnsi="Times New Roman"/>
          <w:color w:val="auto"/>
        </w:rPr>
      </w:pPr>
      <w:r>
        <w:rPr>
          <w:rFonts w:ascii="Times New Roman" w:hAnsi="Times New Roman"/>
          <w:b/>
          <w:color w:val="auto"/>
        </w:rPr>
        <w:t>创新点一：</w:t>
      </w:r>
      <w:r>
        <w:rPr>
          <w:rFonts w:ascii="Times New Roman" w:hAnsi="Times New Roman"/>
          <w:color w:val="auto"/>
        </w:rPr>
        <w:t>面向多变焦航拍裂缝的确定性几何视角与动态扰动联合训练。通过五组预设尺度—旋转—翻转组合构建可复现的几何覆盖，再以小幅随机扰动增强局部多样性，实现训练分布的有序扩展，使模型能够统一处理 X4、X8、X16 三种不同表观宽度的裂缝。</w:t>
      </w:r>
    </w:p>
    <w:p w14:paraId="48A3C50D">
      <w:pPr>
        <w:ind w:firstLine="420"/>
        <w:rPr>
          <w:rFonts w:ascii="Times New Roman" w:hAnsi="Times New Roman"/>
          <w:color w:val="auto"/>
        </w:rPr>
      </w:pPr>
      <w:r>
        <w:rPr>
          <w:rFonts w:ascii="Times New Roman" w:hAnsi="Times New Roman"/>
          <w:b/>
          <w:color w:val="auto"/>
        </w:rPr>
        <w:t>创新点二：</w:t>
      </w:r>
      <w:r>
        <w:rPr>
          <w:rFonts w:ascii="Times New Roman" w:hAnsi="Times New Roman"/>
          <w:color w:val="auto"/>
        </w:rPr>
        <w:t>以多成员概率共识提升细长目标的边界决策稳定性。五个独立成员共享统一的网络和优化协议，却保留预测误差的合理多样性；推理时融合连续概率而非离散标签，充分利用成员对边界像素的软判别信息，并以统计重采样检验实际收益。</w:t>
      </w:r>
    </w:p>
    <w:p w14:paraId="6851CD25">
      <w:pPr>
        <w:ind w:firstLine="420"/>
        <w:rPr>
          <w:rFonts w:ascii="Times New Roman" w:hAnsi="Times New Roman"/>
          <w:color w:val="auto"/>
        </w:rPr>
      </w:pPr>
      <w:r>
        <w:rPr>
          <w:rFonts w:ascii="Times New Roman" w:hAnsi="Times New Roman"/>
          <w:b/>
          <w:color w:val="auto"/>
        </w:rPr>
        <w:t>创新点三：</w:t>
      </w:r>
      <w:r>
        <w:rPr>
          <w:rFonts w:ascii="Times New Roman" w:hAnsi="Times New Roman"/>
          <w:color w:val="auto"/>
        </w:rPr>
        <w:t>融合区域连通先验与局部置信度的精细化输出机制。连通域筛选负责结构层级的噪声控制，边界门控负责像素层级的宽度校正。两者将裂缝的几何连续性与模型判别置信度统一于轻量化后处理，使改进方向与实测误差分布直接对应。</w:t>
      </w:r>
    </w:p>
    <w:p w14:paraId="53C0E1BC">
      <w:pPr>
        <w:ind w:firstLine="420"/>
        <w:rPr>
          <w:rFonts w:ascii="Times New Roman" w:hAnsi="Times New Roman"/>
          <w:color w:val="auto"/>
        </w:rPr>
      </w:pPr>
      <w:r>
        <w:rPr>
          <w:rFonts w:ascii="Times New Roman" w:hAnsi="Times New Roman"/>
          <w:b/>
          <w:color w:val="auto"/>
        </w:rPr>
        <w:t>创新点四：</w:t>
      </w:r>
      <w:r>
        <w:rPr>
          <w:rFonts w:ascii="Times New Roman" w:hAnsi="Times New Roman"/>
          <w:color w:val="auto"/>
        </w:rPr>
        <w:t>形成以误差机理驱动、以定量证据验证的闭环优化流程。项目结合帧级分组评估、变焦场景分析、误检距离分层、分阶段消融和 Bootstrap 置信区间，建立从问题定位到方案落地再到收益评定的完整证据链，增强了技术路线的解释力与可复现性。</w:t>
      </w:r>
    </w:p>
    <w:p w14:paraId="6DB77AA3">
      <w:pPr>
        <w:pStyle w:val="45"/>
        <w:pageBreakBefore/>
        <w:rPr>
          <w:rFonts w:ascii="Times New Roman" w:hAnsi="Times New Roman"/>
          <w:color w:val="auto"/>
        </w:rPr>
      </w:pPr>
      <w:r>
        <w:rPr>
          <w:rFonts w:ascii="Times New Roman" w:hAnsi="Times New Roman"/>
          <w:color w:val="auto"/>
        </w:rPr>
        <w:t>三、测试案例与结果分析</w:t>
      </w:r>
    </w:p>
    <w:p w14:paraId="30D087D0">
      <w:pPr>
        <w:pStyle w:val="46"/>
        <w:rPr>
          <w:rFonts w:ascii="Times New Roman" w:hAnsi="Times New Roman"/>
          <w:color w:val="auto"/>
        </w:rPr>
      </w:pPr>
      <w:r>
        <w:rPr>
          <w:rFonts w:ascii="Times New Roman" w:hAnsi="Times New Roman"/>
          <w:color w:val="auto"/>
        </w:rPr>
        <w:t>3.1 评价体系与测试设计</w:t>
      </w:r>
    </w:p>
    <w:p w14:paraId="14317156">
      <w:pPr>
        <w:ind w:firstLine="420"/>
        <w:rPr>
          <w:rFonts w:ascii="Times New Roman" w:hAnsi="Times New Roman"/>
          <w:color w:val="auto"/>
        </w:rPr>
      </w:pPr>
      <w:r>
        <w:rPr>
          <w:rFonts w:ascii="Times New Roman" w:hAnsi="Times New Roman"/>
          <w:color w:val="auto"/>
        </w:rPr>
        <w:t>测试采用 193 张有标注路面影像构成的固定留出评估集，覆盖 X4、X8、X16 三类变焦场景，样本量分别为 62、65、66 张。以裂缝类别交并比（Crack IoU）作为核心质量指标，并联合 Precision、Recall、F1、mIoU 与像素总体准确率（aAcc）呈现模型的识别能力、边界控制和全图预测表现。总体分数采用先累加全体样本 TP、FP、FN 再计算指标的 micro 聚合方式，以保持评估口径一致。</w:t>
      </w:r>
    </w:p>
    <w:p w14:paraId="57A15DA8">
      <w:pPr>
        <w:pStyle w:val="49"/>
        <w:jc w:val="center"/>
        <w:rPr>
          <w:rFonts w:ascii="Times New Roman" w:hAnsi="Times New Roman"/>
          <w:color w:val="auto"/>
        </w:rPr>
      </w:pPr>
      <m:oMathPara>
        <m:oMath>
          <m:sSub>
            <m:sSubPr>
              <m:ctrlPr>
                <w:rPr>
                  <w:rFonts w:ascii="Cambria Math" w:hAnsi="Cambria Math"/>
                  <w:color w:val="auto"/>
                </w:rPr>
              </m:ctrlPr>
            </m:sSubPr>
            <m:e>
              <m:r>
                <m:rPr>
                  <m:sty m:val="p"/>
                </m:rPr>
                <w:rPr>
                  <w:rFonts w:ascii="Times New Roman" w:hAnsi="Times New Roman"/>
                  <w:color w:val="auto"/>
                </w:rPr>
                <m:t>IoU</m:t>
              </m:r>
              <m:ctrlPr>
                <w:rPr>
                  <w:rFonts w:ascii="Cambria Math" w:hAnsi="Cambria Math"/>
                  <w:color w:val="auto"/>
                </w:rPr>
              </m:ctrlPr>
            </m:e>
            <m:sub>
              <m:r>
                <m:rPr>
                  <m:sty m:val="p"/>
                </m:rPr>
                <w:rPr>
                  <w:rFonts w:ascii="Times New Roman" w:hAnsi="Times New Roman"/>
                  <w:color w:val="auto"/>
                </w:rPr>
                <m:t>crack</m:t>
              </m:r>
              <m:ctrlPr>
                <w:rPr>
                  <w:rFonts w:ascii="Cambria Math" w:hAnsi="Cambria Math"/>
                  <w:color w:val="auto"/>
                </w:rPr>
              </m:ctrlPr>
            </m:sub>
          </m:sSub>
          <m:r>
            <m:rPr>
              <m:sty m:val="p"/>
            </m:rPr>
            <w:rPr>
              <w:rFonts w:ascii="Times New Roman" w:hAnsi="Times New Roman"/>
              <w:color w:val="auto"/>
            </w:rPr>
            <m:t>=</m:t>
          </m:r>
          <m:f>
            <m:fPr>
              <m:ctrlPr>
                <w:rPr>
                  <w:rFonts w:ascii="Cambria Math" w:hAnsi="Cambria Math"/>
                  <w:color w:val="auto"/>
                </w:rPr>
              </m:ctrlPr>
            </m:fPr>
            <m:num>
              <m:r>
                <m:rPr>
                  <m:sty m:val="p"/>
                </m:rPr>
                <w:rPr>
                  <w:rFonts w:ascii="Times New Roman" w:hAnsi="Times New Roman"/>
                  <w:color w:val="auto"/>
                </w:rPr>
                <m:t>TP</m:t>
              </m:r>
              <m:ctrlPr>
                <w:rPr>
                  <w:rFonts w:ascii="Cambria Math" w:hAnsi="Cambria Math"/>
                  <w:color w:val="auto"/>
                </w:rPr>
              </m:ctrlPr>
            </m:num>
            <m:den>
              <m:r>
                <m:rPr>
                  <m:sty m:val="p"/>
                </m:rPr>
                <w:rPr>
                  <w:rFonts w:ascii="Times New Roman" w:hAnsi="Times New Roman"/>
                  <w:color w:val="auto"/>
                </w:rPr>
                <m:t>TP+FP+FN</m:t>
              </m:r>
              <m:ctrlPr>
                <w:rPr>
                  <w:rFonts w:ascii="Cambria Math" w:hAnsi="Cambria Math"/>
                  <w:color w:val="auto"/>
                </w:rPr>
              </m:ctrlPr>
            </m:den>
          </m:f>
        </m:oMath>
      </m:oMathPara>
    </w:p>
    <w:p w14:paraId="67CB6FCF">
      <w:pPr>
        <w:pStyle w:val="49"/>
        <w:jc w:val="center"/>
        <w:rPr>
          <w:rFonts w:ascii="Times New Roman" w:hAnsi="Times New Roman"/>
          <w:color w:val="auto"/>
        </w:rPr>
      </w:pPr>
      <m:oMathPara>
        <m:oMath>
          <m:sSub>
            <m:sSubPr>
              <m:ctrlPr>
                <w:rPr>
                  <w:rFonts w:ascii="Cambria Math" w:hAnsi="Cambria Math"/>
                  <w:color w:val="auto"/>
                </w:rPr>
              </m:ctrlPr>
            </m:sSubPr>
            <m:e>
              <m:r>
                <m:rPr>
                  <m:sty m:val="p"/>
                </m:rPr>
                <w:rPr>
                  <w:rFonts w:ascii="Times New Roman" w:hAnsi="Times New Roman"/>
                  <w:color w:val="auto"/>
                </w:rPr>
                <m:t>F</m:t>
              </m:r>
              <m:ctrlPr>
                <w:rPr>
                  <w:rFonts w:ascii="Cambria Math" w:hAnsi="Cambria Math"/>
                  <w:color w:val="auto"/>
                </w:rPr>
              </m:ctrlPr>
            </m:e>
            <m:sub>
              <m:r>
                <m:rPr/>
                <w:rPr>
                  <w:rFonts w:ascii="Times New Roman" w:hAnsi="Times New Roman"/>
                  <w:color w:val="auto"/>
                </w:rPr>
                <m:t>1</m:t>
              </m:r>
              <m:ctrlPr>
                <w:rPr>
                  <w:rFonts w:ascii="Cambria Math" w:hAnsi="Cambria Math"/>
                  <w:color w:val="auto"/>
                </w:rPr>
              </m:ctrlPr>
            </m:sub>
          </m:sSub>
          <m:r>
            <m:rPr>
              <m:sty m:val="p"/>
            </m:rPr>
            <w:rPr>
              <w:rFonts w:ascii="Times New Roman" w:hAnsi="Times New Roman"/>
              <w:color w:val="auto"/>
            </w:rPr>
            <m:t>=</m:t>
          </m:r>
          <m:f>
            <m:fPr>
              <m:ctrlPr>
                <w:rPr>
                  <w:rFonts w:ascii="Cambria Math" w:hAnsi="Cambria Math"/>
                  <w:color w:val="auto"/>
                </w:rPr>
              </m:ctrlPr>
            </m:fPr>
            <m:num>
              <m:r>
                <m:rPr/>
                <w:rPr>
                  <w:rFonts w:ascii="Times New Roman" w:hAnsi="Times New Roman"/>
                  <w:color w:val="auto"/>
                </w:rPr>
                <m:t>2 </m:t>
              </m:r>
              <m:r>
                <m:rPr>
                  <m:sty m:val="p"/>
                </m:rPr>
                <w:rPr>
                  <w:rFonts w:ascii="Times New Roman" w:hAnsi="Times New Roman"/>
                  <w:color w:val="auto"/>
                </w:rPr>
                <m:t>TP</m:t>
              </m:r>
              <m:ctrlPr>
                <w:rPr>
                  <w:rFonts w:ascii="Cambria Math" w:hAnsi="Cambria Math"/>
                  <w:color w:val="auto"/>
                </w:rPr>
              </m:ctrlPr>
            </m:num>
            <m:den>
              <m:r>
                <m:rPr/>
                <w:rPr>
                  <w:rFonts w:ascii="Times New Roman" w:hAnsi="Times New Roman"/>
                  <w:color w:val="auto"/>
                </w:rPr>
                <m:t>2 </m:t>
              </m:r>
              <m:r>
                <m:rPr>
                  <m:sty m:val="p"/>
                </m:rPr>
                <w:rPr>
                  <w:rFonts w:ascii="Times New Roman" w:hAnsi="Times New Roman"/>
                  <w:color w:val="auto"/>
                </w:rPr>
                <m:t>TP+FP+FN</m:t>
              </m:r>
              <m:ctrlPr>
                <w:rPr>
                  <w:rFonts w:ascii="Cambria Math" w:hAnsi="Cambria Math"/>
                  <w:color w:val="auto"/>
                </w:rPr>
              </m:ctrlPr>
            </m:den>
          </m:f>
        </m:oMath>
      </m:oMathPara>
    </w:p>
    <w:p w14:paraId="25F1015C">
      <w:pPr>
        <w:pStyle w:val="49"/>
        <w:jc w:val="center"/>
        <w:rPr>
          <w:rFonts w:ascii="Times New Roman" w:hAnsi="Times New Roman"/>
          <w:color w:val="auto"/>
        </w:rPr>
      </w:pPr>
      <m:oMathPara>
        <m:oMath>
          <m:sSub>
            <m:sSubPr>
              <m:ctrlPr>
                <w:rPr>
                  <w:rFonts w:ascii="Cambria Math" w:hAnsi="Cambria Math"/>
                  <w:color w:val="auto"/>
                </w:rPr>
              </m:ctrlPr>
            </m:sSubPr>
            <m:e>
              <m:r>
                <m:rPr>
                  <m:sty m:val="p"/>
                </m:rPr>
                <w:rPr>
                  <w:rFonts w:ascii="Times New Roman" w:hAnsi="Times New Roman"/>
                  <w:color w:val="auto"/>
                </w:rPr>
                <m:t>IoU</m:t>
              </m:r>
              <m:ctrlPr>
                <w:rPr>
                  <w:rFonts w:ascii="Cambria Math" w:hAnsi="Cambria Math"/>
                  <w:color w:val="auto"/>
                </w:rPr>
              </m:ctrlPr>
            </m:e>
            <m:sub>
              <m:r>
                <m:rPr>
                  <m:sty m:val="p"/>
                </m:rPr>
                <w:rPr>
                  <w:rFonts w:ascii="Times New Roman" w:hAnsi="Times New Roman"/>
                  <w:color w:val="auto"/>
                </w:rPr>
                <m:t>micro</m:t>
              </m:r>
              <m:ctrlPr>
                <w:rPr>
                  <w:rFonts w:ascii="Cambria Math" w:hAnsi="Cambria Math"/>
                  <w:color w:val="auto"/>
                </w:rPr>
              </m:ctrlPr>
            </m:sub>
          </m:sSub>
          <m:r>
            <m:rPr>
              <m:sty m:val="p"/>
            </m:rPr>
            <w:rPr>
              <w:rFonts w:ascii="Times New Roman" w:hAnsi="Times New Roman"/>
              <w:color w:val="auto"/>
            </w:rPr>
            <m:t>=</m:t>
          </m:r>
          <m:f>
            <m:fPr>
              <m:ctrlPr>
                <w:rPr>
                  <w:rFonts w:ascii="Cambria Math" w:hAnsi="Cambria Math"/>
                  <w:color w:val="auto"/>
                </w:rPr>
              </m:ctrlPr>
            </m:fPr>
            <m:num>
              <m:nary>
                <m:naryPr>
                  <m:chr m:val="∑"/>
                  <m:limLoc m:val="undOvr"/>
                  <m:supHide m:val="1"/>
                  <m:ctrlPr>
                    <w:rPr>
                      <w:rFonts w:ascii="Cambria Math" w:hAnsi="Cambria Math"/>
                      <w:color w:val="auto"/>
                    </w:rPr>
                  </m:ctrlPr>
                </m:naryPr>
                <m:sub>
                  <m:r>
                    <m:rPr/>
                    <w:rPr>
                      <w:rFonts w:ascii="Times New Roman" w:hAnsi="Times New Roman"/>
                      <w:color w:val="auto"/>
                    </w:rPr>
                    <m:t>i</m:t>
                  </m:r>
                  <m:ctrlPr>
                    <w:rPr>
                      <w:rFonts w:ascii="Cambria Math" w:hAnsi="Cambria Math"/>
                      <w:color w:val="auto"/>
                    </w:rPr>
                  </m:ctrlPr>
                </m:sub>
                <m:sup>
                  <m:r>
                    <m:rPr/>
                    <w:rPr>
                      <w:rFonts w:ascii="Times New Roman" w:hAnsi="Times New Roman"/>
                      <w:color w:val="auto"/>
                    </w:rPr>
                    <m:t>​</m:t>
                  </m:r>
                  <m:ctrlPr>
                    <w:rPr>
                      <w:rFonts w:ascii="Cambria Math" w:hAnsi="Cambria Math"/>
                      <w:color w:val="auto"/>
                    </w:rPr>
                  </m:ctrlPr>
                </m:sup>
                <m:e>
                  <m:sSub>
                    <m:sSubPr>
                      <m:ctrlPr>
                        <w:rPr>
                          <w:rFonts w:ascii="Cambria Math" w:hAnsi="Cambria Math"/>
                          <w:color w:val="auto"/>
                        </w:rPr>
                      </m:ctrlPr>
                    </m:sSubPr>
                    <m:e>
                      <m:r>
                        <m:rPr>
                          <m:sty m:val="p"/>
                        </m:rPr>
                        <w:rPr>
                          <w:rFonts w:ascii="Times New Roman" w:hAnsi="Times New Roman"/>
                          <w:color w:val="auto"/>
                        </w:rPr>
                        <m:t>TP</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ctrlPr>
                    <w:rPr>
                      <w:rFonts w:ascii="Cambria Math" w:hAnsi="Cambria Math"/>
                      <w:color w:val="auto"/>
                    </w:rPr>
                  </m:ctrlPr>
                </m:e>
              </m:nary>
              <m:ctrlPr>
                <w:rPr>
                  <w:rFonts w:ascii="Cambria Math" w:hAnsi="Cambria Math"/>
                  <w:color w:val="auto"/>
                </w:rPr>
              </m:ctrlPr>
            </m:num>
            <m:den>
              <m:nary>
                <m:naryPr>
                  <m:chr m:val="∑"/>
                  <m:limLoc m:val="undOvr"/>
                  <m:supHide m:val="1"/>
                  <m:ctrlPr>
                    <w:rPr>
                      <w:rFonts w:ascii="Cambria Math" w:hAnsi="Cambria Math"/>
                      <w:color w:val="auto"/>
                    </w:rPr>
                  </m:ctrlPr>
                </m:naryPr>
                <m:sub>
                  <m:r>
                    <m:rPr/>
                    <w:rPr>
                      <w:rFonts w:ascii="Times New Roman" w:hAnsi="Times New Roman"/>
                      <w:color w:val="auto"/>
                    </w:rPr>
                    <m:t>i</m:t>
                  </m:r>
                  <m:ctrlPr>
                    <w:rPr>
                      <w:rFonts w:ascii="Cambria Math" w:hAnsi="Cambria Math"/>
                      <w:color w:val="auto"/>
                    </w:rPr>
                  </m:ctrlPr>
                </m:sub>
                <m:sup>
                  <m:r>
                    <m:rPr/>
                    <w:rPr>
                      <w:rFonts w:ascii="Times New Roman" w:hAnsi="Times New Roman"/>
                      <w:color w:val="auto"/>
                    </w:rPr>
                    <m:t>​</m:t>
                  </m:r>
                  <m:ctrlPr>
                    <w:rPr>
                      <w:rFonts w:ascii="Cambria Math" w:hAnsi="Cambria Math"/>
                      <w:color w:val="auto"/>
                    </w:rPr>
                  </m:ctrlPr>
                </m:sup>
                <m:e>
                  <m:d>
                    <m:dPr>
                      <m:sepChr m:val=""/>
                      <m:ctrlPr>
                        <w:rPr>
                          <w:rFonts w:ascii="Cambria Math" w:hAnsi="Cambria Math"/>
                          <w:color w:val="auto"/>
                        </w:rPr>
                      </m:ctrlPr>
                    </m:dPr>
                    <m:e>
                      <m:sSub>
                        <m:sSubPr>
                          <m:ctrlPr>
                            <w:rPr>
                              <w:rFonts w:ascii="Cambria Math" w:hAnsi="Cambria Math"/>
                              <w:color w:val="auto"/>
                            </w:rPr>
                          </m:ctrlPr>
                        </m:sSubPr>
                        <m:e>
                          <m:r>
                            <m:rPr>
                              <m:sty m:val="p"/>
                            </m:rPr>
                            <w:rPr>
                              <w:rFonts w:ascii="Times New Roman" w:hAnsi="Times New Roman"/>
                              <w:color w:val="auto"/>
                            </w:rPr>
                            <m:t>TP</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r>
                        <m:rPr>
                          <m:sty m:val="p"/>
                        </m:rPr>
                        <w:rPr>
                          <w:rFonts w:ascii="Times New Roman" w:hAnsi="Times New Roman"/>
                          <w:color w:val="auto"/>
                        </w:rPr>
                        <m:t>+</m:t>
                      </m:r>
                      <m:sSub>
                        <m:sSubPr>
                          <m:ctrlPr>
                            <w:rPr>
                              <w:rFonts w:ascii="Cambria Math" w:hAnsi="Cambria Math"/>
                              <w:color w:val="auto"/>
                            </w:rPr>
                          </m:ctrlPr>
                        </m:sSubPr>
                        <m:e>
                          <m:r>
                            <m:rPr>
                              <m:sty m:val="p"/>
                            </m:rPr>
                            <w:rPr>
                              <w:rFonts w:ascii="Times New Roman" w:hAnsi="Times New Roman"/>
                              <w:color w:val="auto"/>
                            </w:rPr>
                            <m:t>FP</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r>
                        <m:rPr>
                          <m:sty m:val="p"/>
                        </m:rPr>
                        <w:rPr>
                          <w:rFonts w:ascii="Times New Roman" w:hAnsi="Times New Roman"/>
                          <w:color w:val="auto"/>
                        </w:rPr>
                        <m:t>+</m:t>
                      </m:r>
                      <m:sSub>
                        <m:sSubPr>
                          <m:ctrlPr>
                            <w:rPr>
                              <w:rFonts w:ascii="Cambria Math" w:hAnsi="Cambria Math"/>
                              <w:color w:val="auto"/>
                            </w:rPr>
                          </m:ctrlPr>
                        </m:sSubPr>
                        <m:e>
                          <m:r>
                            <m:rPr>
                              <m:sty m:val="p"/>
                            </m:rPr>
                            <w:rPr>
                              <w:rFonts w:ascii="Times New Roman" w:hAnsi="Times New Roman"/>
                              <w:color w:val="auto"/>
                            </w:rPr>
                            <m:t>FN</m:t>
                          </m:r>
                          <m:ctrlPr>
                            <w:rPr>
                              <w:rFonts w:ascii="Cambria Math" w:hAnsi="Cambria Math"/>
                              <w:color w:val="auto"/>
                            </w:rPr>
                          </m:ctrlPr>
                        </m:e>
                        <m:sub>
                          <m:r>
                            <m:rPr/>
                            <w:rPr>
                              <w:rFonts w:ascii="Times New Roman" w:hAnsi="Times New Roman"/>
                              <w:color w:val="auto"/>
                            </w:rPr>
                            <m:t>i</m:t>
                          </m:r>
                          <m:ctrlPr>
                            <w:rPr>
                              <w:rFonts w:ascii="Cambria Math" w:hAnsi="Cambria Math"/>
                              <w:color w:val="auto"/>
                            </w:rPr>
                          </m:ctrlPr>
                        </m:sub>
                      </m:sSub>
                      <m:ctrlPr>
                        <w:rPr>
                          <w:rFonts w:ascii="Cambria Math" w:hAnsi="Cambria Math"/>
                          <w:color w:val="auto"/>
                        </w:rPr>
                      </m:ctrlPr>
                    </m:e>
                  </m:d>
                  <m:ctrlPr>
                    <w:rPr>
                      <w:rFonts w:ascii="Cambria Math" w:hAnsi="Cambria Math"/>
                      <w:color w:val="auto"/>
                    </w:rPr>
                  </m:ctrlPr>
                </m:e>
              </m:nary>
              <m:ctrlPr>
                <w:rPr>
                  <w:rFonts w:ascii="Cambria Math" w:hAnsi="Cambria Math"/>
                  <w:color w:val="auto"/>
                </w:rPr>
              </m:ctrlPr>
            </m:den>
          </m:f>
        </m:oMath>
      </m:oMathPara>
    </w:p>
    <w:p w14:paraId="47F5824D">
      <w:pPr>
        <w:pStyle w:val="46"/>
        <w:rPr>
          <w:rFonts w:ascii="Times New Roman" w:hAnsi="Times New Roman"/>
          <w:color w:val="auto"/>
        </w:rPr>
      </w:pPr>
      <w:r>
        <w:rPr>
          <w:rFonts w:ascii="Times New Roman" w:hAnsi="Times New Roman"/>
          <w:color w:val="auto"/>
        </w:rPr>
        <w:t>3.2 案例一：多变焦场景下的统一分割能力</w:t>
      </w:r>
    </w:p>
    <w:p w14:paraId="376E0581">
      <w:pPr>
        <w:pStyle w:val="50"/>
        <w:rPr>
          <w:rFonts w:ascii="Times New Roman" w:hAnsi="Times New Roman"/>
          <w:color w:val="auto"/>
        </w:rPr>
      </w:pPr>
      <w:r>
        <w:rPr>
          <w:rFonts w:ascii="Times New Roman" w:hAnsi="Times New Roman"/>
          <w:color w:val="auto"/>
        </w:rPr>
        <w:t>表 3-1  五模型概率集成在各变焦场景下的表现</w:t>
      </w:r>
    </w:p>
    <w:tbl>
      <w:tblPr>
        <w:tblStyle w:val="17"/>
        <w:tblW w:w="0" w:type="auto"/>
        <w:jc w:val="center"/>
        <w:tblLayout w:type="fixed"/>
        <w:tblCellMar>
          <w:top w:w="0" w:type="dxa"/>
          <w:left w:w="108" w:type="dxa"/>
          <w:bottom w:w="0" w:type="dxa"/>
          <w:right w:w="108" w:type="dxa"/>
        </w:tblCellMar>
      </w:tblPr>
      <w:tblGrid>
        <w:gridCol w:w="1886"/>
        <w:gridCol w:w="1886"/>
        <w:gridCol w:w="1886"/>
        <w:gridCol w:w="1886"/>
        <w:gridCol w:w="1886"/>
      </w:tblGrid>
      <w:tr w14:paraId="39A8F468">
        <w:tblPrEx>
          <w:tblCellMar>
            <w:top w:w="0" w:type="dxa"/>
            <w:left w:w="108" w:type="dxa"/>
            <w:bottom w:w="0" w:type="dxa"/>
            <w:right w:w="108" w:type="dxa"/>
          </w:tblCellMar>
        </w:tblPrEx>
        <w:trPr>
          <w:cantSplit/>
          <w:tblHeader/>
          <w:jc w:val="center"/>
        </w:trPr>
        <w:tc>
          <w:tcPr>
            <w:tcW w:w="1886" w:type="dxa"/>
            <w:tcBorders>
              <w:top w:val="single" w:color="222222" w:sz="10" w:space="0"/>
              <w:left w:val="nil"/>
              <w:bottom w:val="single" w:color="222222" w:sz="6" w:space="0"/>
              <w:right w:val="nil"/>
              <w:insideH w:val="nil"/>
              <w:insideV w:val="nil"/>
            </w:tcBorders>
            <w:vAlign w:val="center"/>
          </w:tcPr>
          <w:p w14:paraId="2F03BE29">
            <w:pPr>
              <w:spacing w:before="60" w:after="60" w:line="300" w:lineRule="auto"/>
              <w:jc w:val="center"/>
              <w:rPr>
                <w:rFonts w:ascii="Times New Roman" w:hAnsi="Times New Roman"/>
                <w:color w:val="auto"/>
              </w:rPr>
            </w:pPr>
            <w:r>
              <w:rPr>
                <w:rFonts w:ascii="Times New Roman" w:hAnsi="Times New Roman" w:eastAsia="Noto Serif CJK SC"/>
                <w:b/>
                <w:color w:val="auto"/>
                <w:sz w:val="17"/>
              </w:rPr>
              <w:t>场景</w:t>
            </w:r>
          </w:p>
        </w:tc>
        <w:tc>
          <w:tcPr>
            <w:tcW w:w="1886" w:type="dxa"/>
            <w:tcBorders>
              <w:top w:val="single" w:color="222222" w:sz="10" w:space="0"/>
              <w:left w:val="nil"/>
              <w:bottom w:val="single" w:color="222222" w:sz="6" w:space="0"/>
              <w:right w:val="nil"/>
              <w:insideH w:val="nil"/>
              <w:insideV w:val="nil"/>
            </w:tcBorders>
            <w:vAlign w:val="center"/>
          </w:tcPr>
          <w:p w14:paraId="396F3C4B">
            <w:pPr>
              <w:spacing w:before="60" w:after="60" w:line="300" w:lineRule="auto"/>
              <w:jc w:val="center"/>
              <w:rPr>
                <w:rFonts w:ascii="Times New Roman" w:hAnsi="Times New Roman"/>
                <w:color w:val="auto"/>
              </w:rPr>
            </w:pPr>
            <w:r>
              <w:rPr>
                <w:rFonts w:ascii="Times New Roman" w:hAnsi="Times New Roman" w:eastAsia="Noto Serif CJK SC"/>
                <w:b/>
                <w:color w:val="auto"/>
                <w:sz w:val="17"/>
              </w:rPr>
              <w:t>Precision（%）</w:t>
            </w:r>
          </w:p>
        </w:tc>
        <w:tc>
          <w:tcPr>
            <w:tcW w:w="1886" w:type="dxa"/>
            <w:tcBorders>
              <w:top w:val="single" w:color="222222" w:sz="10" w:space="0"/>
              <w:left w:val="nil"/>
              <w:bottom w:val="single" w:color="222222" w:sz="6" w:space="0"/>
              <w:right w:val="nil"/>
              <w:insideH w:val="nil"/>
              <w:insideV w:val="nil"/>
            </w:tcBorders>
            <w:vAlign w:val="center"/>
          </w:tcPr>
          <w:p w14:paraId="025BD6EC">
            <w:pPr>
              <w:spacing w:before="60" w:after="60" w:line="300" w:lineRule="auto"/>
              <w:jc w:val="center"/>
              <w:rPr>
                <w:rFonts w:ascii="Times New Roman" w:hAnsi="Times New Roman"/>
                <w:color w:val="auto"/>
              </w:rPr>
            </w:pPr>
            <w:r>
              <w:rPr>
                <w:rFonts w:ascii="Times New Roman" w:hAnsi="Times New Roman" w:eastAsia="Noto Serif CJK SC"/>
                <w:b/>
                <w:color w:val="auto"/>
                <w:sz w:val="17"/>
              </w:rPr>
              <w:t>Recall（%）</w:t>
            </w:r>
          </w:p>
        </w:tc>
        <w:tc>
          <w:tcPr>
            <w:tcW w:w="1886" w:type="dxa"/>
            <w:tcBorders>
              <w:top w:val="single" w:color="222222" w:sz="10" w:space="0"/>
              <w:left w:val="nil"/>
              <w:bottom w:val="single" w:color="222222" w:sz="6" w:space="0"/>
              <w:right w:val="nil"/>
              <w:insideH w:val="nil"/>
              <w:insideV w:val="nil"/>
            </w:tcBorders>
            <w:vAlign w:val="center"/>
          </w:tcPr>
          <w:p w14:paraId="7378770A">
            <w:pPr>
              <w:spacing w:before="60" w:after="60" w:line="300" w:lineRule="auto"/>
              <w:jc w:val="center"/>
              <w:rPr>
                <w:rFonts w:ascii="Times New Roman" w:hAnsi="Times New Roman"/>
                <w:color w:val="auto"/>
              </w:rPr>
            </w:pPr>
            <w:r>
              <w:rPr>
                <w:rFonts w:ascii="Times New Roman" w:hAnsi="Times New Roman" w:eastAsia="Noto Serif CJK SC"/>
                <w:b/>
                <w:color w:val="auto"/>
                <w:sz w:val="17"/>
              </w:rPr>
              <w:t>Crack IoU（%）</w:t>
            </w:r>
          </w:p>
        </w:tc>
        <w:tc>
          <w:tcPr>
            <w:tcW w:w="1886" w:type="dxa"/>
            <w:tcBorders>
              <w:top w:val="single" w:color="222222" w:sz="10" w:space="0"/>
              <w:left w:val="nil"/>
              <w:bottom w:val="single" w:color="222222" w:sz="6" w:space="0"/>
              <w:right w:val="nil"/>
              <w:insideH w:val="nil"/>
              <w:insideV w:val="nil"/>
            </w:tcBorders>
            <w:vAlign w:val="center"/>
          </w:tcPr>
          <w:p w14:paraId="167E34AB">
            <w:pPr>
              <w:spacing w:before="60" w:after="60" w:line="300" w:lineRule="auto"/>
              <w:jc w:val="center"/>
              <w:rPr>
                <w:rFonts w:ascii="Times New Roman" w:hAnsi="Times New Roman"/>
                <w:color w:val="auto"/>
              </w:rPr>
            </w:pPr>
            <w:r>
              <w:rPr>
                <w:rFonts w:ascii="Times New Roman" w:hAnsi="Times New Roman" w:eastAsia="Noto Serif CJK SC"/>
                <w:b/>
                <w:color w:val="auto"/>
                <w:sz w:val="17"/>
              </w:rPr>
              <w:t>aAcc（%）</w:t>
            </w:r>
          </w:p>
        </w:tc>
      </w:tr>
      <w:tr w14:paraId="4B714C20">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5E11859A">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X4</w:t>
            </w:r>
          </w:p>
        </w:tc>
        <w:tc>
          <w:tcPr>
            <w:tcW w:w="1886" w:type="dxa"/>
            <w:tcBorders>
              <w:top w:val="nil"/>
              <w:left w:val="nil"/>
              <w:bottom w:val="nil"/>
              <w:right w:val="nil"/>
              <w:insideH w:val="nil"/>
              <w:insideV w:val="nil"/>
            </w:tcBorders>
            <w:vAlign w:val="center"/>
          </w:tcPr>
          <w:p w14:paraId="06DD335F">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70.34</w:t>
            </w:r>
          </w:p>
        </w:tc>
        <w:tc>
          <w:tcPr>
            <w:tcW w:w="1886" w:type="dxa"/>
            <w:tcBorders>
              <w:top w:val="nil"/>
              <w:left w:val="nil"/>
              <w:bottom w:val="nil"/>
              <w:right w:val="nil"/>
              <w:insideH w:val="nil"/>
              <w:insideV w:val="nil"/>
            </w:tcBorders>
            <w:vAlign w:val="center"/>
          </w:tcPr>
          <w:p w14:paraId="0D29E8A0">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86.24</w:t>
            </w:r>
          </w:p>
        </w:tc>
        <w:tc>
          <w:tcPr>
            <w:tcW w:w="1886" w:type="dxa"/>
            <w:tcBorders>
              <w:top w:val="nil"/>
              <w:left w:val="nil"/>
              <w:bottom w:val="nil"/>
              <w:right w:val="nil"/>
              <w:insideH w:val="nil"/>
              <w:insideV w:val="nil"/>
            </w:tcBorders>
            <w:vAlign w:val="center"/>
          </w:tcPr>
          <w:p w14:paraId="6185201E">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63.24</w:t>
            </w:r>
          </w:p>
        </w:tc>
        <w:tc>
          <w:tcPr>
            <w:tcW w:w="1886" w:type="dxa"/>
            <w:tcBorders>
              <w:top w:val="nil"/>
              <w:left w:val="nil"/>
              <w:bottom w:val="nil"/>
              <w:right w:val="nil"/>
              <w:insideH w:val="nil"/>
              <w:insideV w:val="nil"/>
            </w:tcBorders>
            <w:vAlign w:val="center"/>
          </w:tcPr>
          <w:p w14:paraId="3AB0D5C9">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98.08</w:t>
            </w:r>
          </w:p>
        </w:tc>
      </w:tr>
      <w:tr w14:paraId="15B09882">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4F351F48">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X8</w:t>
            </w:r>
          </w:p>
        </w:tc>
        <w:tc>
          <w:tcPr>
            <w:tcW w:w="1886" w:type="dxa"/>
            <w:tcBorders>
              <w:top w:val="nil"/>
              <w:left w:val="nil"/>
              <w:bottom w:val="nil"/>
              <w:right w:val="nil"/>
              <w:insideH w:val="nil"/>
              <w:insideV w:val="nil"/>
            </w:tcBorders>
            <w:vAlign w:val="center"/>
          </w:tcPr>
          <w:p w14:paraId="0EB4EA70">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78.00</w:t>
            </w:r>
          </w:p>
        </w:tc>
        <w:tc>
          <w:tcPr>
            <w:tcW w:w="1886" w:type="dxa"/>
            <w:tcBorders>
              <w:top w:val="nil"/>
              <w:left w:val="nil"/>
              <w:bottom w:val="nil"/>
              <w:right w:val="nil"/>
              <w:insideH w:val="nil"/>
              <w:insideV w:val="nil"/>
            </w:tcBorders>
            <w:vAlign w:val="center"/>
          </w:tcPr>
          <w:p w14:paraId="199BAA51">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81.44</w:t>
            </w:r>
          </w:p>
        </w:tc>
        <w:tc>
          <w:tcPr>
            <w:tcW w:w="1886" w:type="dxa"/>
            <w:tcBorders>
              <w:top w:val="nil"/>
              <w:left w:val="nil"/>
              <w:bottom w:val="nil"/>
              <w:right w:val="nil"/>
              <w:insideH w:val="nil"/>
              <w:insideV w:val="nil"/>
            </w:tcBorders>
            <w:vAlign w:val="center"/>
          </w:tcPr>
          <w:p w14:paraId="4738D5B1">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66.23</w:t>
            </w:r>
          </w:p>
        </w:tc>
        <w:tc>
          <w:tcPr>
            <w:tcW w:w="1886" w:type="dxa"/>
            <w:tcBorders>
              <w:top w:val="nil"/>
              <w:left w:val="nil"/>
              <w:bottom w:val="nil"/>
              <w:right w:val="nil"/>
              <w:insideH w:val="nil"/>
              <w:insideV w:val="nil"/>
            </w:tcBorders>
            <w:vAlign w:val="center"/>
          </w:tcPr>
          <w:p w14:paraId="4B991495">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97.52</w:t>
            </w:r>
          </w:p>
        </w:tc>
      </w:tr>
      <w:tr w14:paraId="027EBEC7">
        <w:tblPrEx>
          <w:tblCellMar>
            <w:top w:w="0" w:type="dxa"/>
            <w:left w:w="108" w:type="dxa"/>
            <w:bottom w:w="0" w:type="dxa"/>
            <w:right w:w="108" w:type="dxa"/>
          </w:tblCellMar>
        </w:tblPrEx>
        <w:trPr>
          <w:cantSplit/>
          <w:jc w:val="center"/>
        </w:trPr>
        <w:tc>
          <w:tcPr>
            <w:tcW w:w="1886" w:type="dxa"/>
            <w:tcBorders>
              <w:top w:val="nil"/>
              <w:left w:val="nil"/>
              <w:bottom w:val="nil"/>
              <w:right w:val="nil"/>
              <w:insideH w:val="nil"/>
              <w:insideV w:val="nil"/>
            </w:tcBorders>
            <w:vAlign w:val="center"/>
          </w:tcPr>
          <w:p w14:paraId="1AEA195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X16</w:t>
            </w:r>
          </w:p>
        </w:tc>
        <w:tc>
          <w:tcPr>
            <w:tcW w:w="1886" w:type="dxa"/>
            <w:tcBorders>
              <w:top w:val="nil"/>
              <w:left w:val="nil"/>
              <w:bottom w:val="nil"/>
              <w:right w:val="nil"/>
              <w:insideH w:val="nil"/>
              <w:insideV w:val="nil"/>
            </w:tcBorders>
            <w:vAlign w:val="center"/>
          </w:tcPr>
          <w:p w14:paraId="4DDF3001">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80.38</w:t>
            </w:r>
          </w:p>
        </w:tc>
        <w:tc>
          <w:tcPr>
            <w:tcW w:w="1886" w:type="dxa"/>
            <w:tcBorders>
              <w:top w:val="nil"/>
              <w:left w:val="nil"/>
              <w:bottom w:val="nil"/>
              <w:right w:val="nil"/>
              <w:insideH w:val="nil"/>
              <w:insideV w:val="nil"/>
            </w:tcBorders>
            <w:vAlign w:val="center"/>
          </w:tcPr>
          <w:p w14:paraId="4428AB59">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78.73</w:t>
            </w:r>
          </w:p>
        </w:tc>
        <w:tc>
          <w:tcPr>
            <w:tcW w:w="1886" w:type="dxa"/>
            <w:tcBorders>
              <w:top w:val="nil"/>
              <w:left w:val="nil"/>
              <w:bottom w:val="nil"/>
              <w:right w:val="nil"/>
              <w:insideH w:val="nil"/>
              <w:insideV w:val="nil"/>
            </w:tcBorders>
            <w:vAlign w:val="center"/>
          </w:tcPr>
          <w:p w14:paraId="00EEB9FF">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66.04</w:t>
            </w:r>
          </w:p>
        </w:tc>
        <w:tc>
          <w:tcPr>
            <w:tcW w:w="1886" w:type="dxa"/>
            <w:tcBorders>
              <w:top w:val="nil"/>
              <w:left w:val="nil"/>
              <w:bottom w:val="nil"/>
              <w:right w:val="nil"/>
              <w:insideH w:val="nil"/>
              <w:insideV w:val="nil"/>
            </w:tcBorders>
            <w:vAlign w:val="center"/>
          </w:tcPr>
          <w:p w14:paraId="3F525598">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97.84</w:t>
            </w:r>
          </w:p>
        </w:tc>
      </w:tr>
      <w:tr w14:paraId="2E0C63FC">
        <w:tblPrEx>
          <w:tblCellMar>
            <w:top w:w="0" w:type="dxa"/>
            <w:left w:w="108" w:type="dxa"/>
            <w:bottom w:w="0" w:type="dxa"/>
            <w:right w:w="108" w:type="dxa"/>
          </w:tblCellMar>
        </w:tblPrEx>
        <w:trPr>
          <w:cantSplit/>
          <w:jc w:val="center"/>
        </w:trPr>
        <w:tc>
          <w:tcPr>
            <w:tcW w:w="1886" w:type="dxa"/>
            <w:tcBorders>
              <w:top w:val="nil"/>
              <w:left w:val="nil"/>
              <w:bottom w:val="single" w:color="222222" w:sz="10" w:space="0"/>
              <w:right w:val="nil"/>
              <w:insideH w:val="nil"/>
              <w:insideV w:val="nil"/>
            </w:tcBorders>
            <w:vAlign w:val="center"/>
          </w:tcPr>
          <w:p w14:paraId="632453BF">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总体（micro）</w:t>
            </w:r>
          </w:p>
        </w:tc>
        <w:tc>
          <w:tcPr>
            <w:tcW w:w="1886" w:type="dxa"/>
            <w:tcBorders>
              <w:top w:val="nil"/>
              <w:left w:val="nil"/>
              <w:bottom w:val="single" w:color="222222" w:sz="10" w:space="0"/>
              <w:right w:val="nil"/>
              <w:insideH w:val="nil"/>
              <w:insideV w:val="nil"/>
            </w:tcBorders>
            <w:vAlign w:val="center"/>
          </w:tcPr>
          <w:p w14:paraId="26BD18DA">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76.65</w:t>
            </w:r>
          </w:p>
        </w:tc>
        <w:tc>
          <w:tcPr>
            <w:tcW w:w="1886" w:type="dxa"/>
            <w:tcBorders>
              <w:top w:val="nil"/>
              <w:left w:val="nil"/>
              <w:bottom w:val="single" w:color="222222" w:sz="10" w:space="0"/>
              <w:right w:val="nil"/>
              <w:insideH w:val="nil"/>
              <w:insideV w:val="nil"/>
            </w:tcBorders>
            <w:vAlign w:val="center"/>
          </w:tcPr>
          <w:p w14:paraId="621AC22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81.63</w:t>
            </w:r>
          </w:p>
        </w:tc>
        <w:tc>
          <w:tcPr>
            <w:tcW w:w="1886" w:type="dxa"/>
            <w:tcBorders>
              <w:top w:val="nil"/>
              <w:left w:val="nil"/>
              <w:bottom w:val="single" w:color="222222" w:sz="10" w:space="0"/>
              <w:right w:val="nil"/>
              <w:insideH w:val="nil"/>
              <w:insideV w:val="nil"/>
            </w:tcBorders>
            <w:vAlign w:val="center"/>
          </w:tcPr>
          <w:p w14:paraId="4966A0E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65.37</w:t>
            </w:r>
          </w:p>
        </w:tc>
        <w:tc>
          <w:tcPr>
            <w:tcW w:w="1886" w:type="dxa"/>
            <w:tcBorders>
              <w:top w:val="nil"/>
              <w:left w:val="nil"/>
              <w:bottom w:val="single" w:color="222222" w:sz="10" w:space="0"/>
              <w:right w:val="nil"/>
              <w:insideH w:val="nil"/>
              <w:insideV w:val="nil"/>
            </w:tcBorders>
            <w:vAlign w:val="center"/>
          </w:tcPr>
          <w:p w14:paraId="51E5C824">
            <w:pPr>
              <w:spacing w:before="60" w:after="60" w:line="300" w:lineRule="auto"/>
              <w:jc w:val="center"/>
              <w:rPr>
                <w:rFonts w:ascii="Times New Roman" w:hAnsi="Times New Roman"/>
                <w:color w:val="auto"/>
              </w:rPr>
            </w:pPr>
            <w:r>
              <w:rPr>
                <w:rFonts w:ascii="Times New Roman" w:hAnsi="Times New Roman" w:eastAsia="Noto Serif CJK SC"/>
                <w:b w:val="0"/>
                <w:color w:val="auto"/>
                <w:sz w:val="17"/>
              </w:rPr>
              <w:t>97.81</w:t>
            </w:r>
          </w:p>
        </w:tc>
      </w:tr>
    </w:tbl>
    <w:p w14:paraId="4A9AE377">
      <w:pPr>
        <w:spacing w:after="0"/>
        <w:rPr>
          <w:rFonts w:ascii="Times New Roman" w:hAnsi="Times New Roman"/>
          <w:color w:val="auto"/>
        </w:rPr>
      </w:pPr>
    </w:p>
    <w:p w14:paraId="5766406B">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806440" cy="2465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06440" cy="2465748"/>
                    </a:xfrm>
                    <a:prstGeom prst="rect">
                      <a:avLst/>
                    </a:prstGeom>
                  </pic:spPr>
                </pic:pic>
              </a:graphicData>
            </a:graphic>
          </wp:inline>
        </w:drawing>
      </w:r>
    </w:p>
    <w:p w14:paraId="1B610298">
      <w:pPr>
        <w:pStyle w:val="47"/>
        <w:keepNext w:val="0"/>
        <w:jc w:val="center"/>
        <w:rPr>
          <w:rFonts w:ascii="Times New Roman" w:hAnsi="Times New Roman"/>
          <w:color w:val="auto"/>
        </w:rPr>
      </w:pPr>
      <w:r>
        <w:rPr>
          <w:rFonts w:ascii="Times New Roman" w:hAnsi="Times New Roman"/>
          <w:color w:val="auto"/>
        </w:rPr>
        <w:t>图 3-1  三类变焦影像上的精确率、召回率与裂缝交并比</w:t>
      </w:r>
    </w:p>
    <w:p w14:paraId="6A9DBA9D">
      <w:pPr>
        <w:ind w:firstLine="420"/>
        <w:rPr>
          <w:rFonts w:ascii="Times New Roman" w:hAnsi="Times New Roman"/>
          <w:color w:val="auto"/>
        </w:rPr>
      </w:pPr>
      <w:r>
        <w:rPr>
          <w:rFonts w:ascii="Times New Roman" w:hAnsi="Times New Roman"/>
          <w:color w:val="auto"/>
        </w:rPr>
        <w:t>X4 场景中的裂缝通常仅有 2—3 像素宽度。模型获得 86.24% 的召回率，体现出对细线状裂缝主体的积极覆盖；随着变焦倍率增大，X8 与 X16 的 Precision 分别达到 78.00% 和 80.38%，Crack IoU 均超过 66%。在同一套网络结构、损失函数和推理规则下，三个场景呈现了不同的精确率—召回率组合，反映出统一分割模型对多尺度外观的综合适应能力。</w:t>
      </w:r>
    </w:p>
    <w:p w14:paraId="288EB6F0">
      <w:pPr>
        <w:ind w:firstLine="420"/>
        <w:rPr>
          <w:rFonts w:ascii="Times New Roman" w:hAnsi="Times New Roman"/>
          <w:color w:val="auto"/>
        </w:rPr>
      </w:pPr>
      <w:r>
        <w:rPr>
          <w:rFonts w:ascii="Times New Roman" w:hAnsi="Times New Roman"/>
          <w:color w:val="auto"/>
        </w:rPr>
        <w:t>总体上，概率集成阶段的 Crack IoU 为 65.37%、F1 为 79.06%、mIoU 为 81.54%，aAcc 为 97.81%。这些指标从不同层面刻画了模型表现：交并比强调裂缝区域的重合质量，F1 揭示精确率与召回率的协调关系，mIoU 兼顾裂缝与背景两个类别，aAcc 则刻画全图像素判定的一致程度。</w:t>
      </w:r>
    </w:p>
    <w:p w14:paraId="73219E0D">
      <w:pPr>
        <w:pStyle w:val="46"/>
        <w:rPr>
          <w:rFonts w:ascii="Times New Roman" w:hAnsi="Times New Roman"/>
          <w:color w:val="auto"/>
        </w:rPr>
      </w:pPr>
      <w:r>
        <w:rPr>
          <w:rFonts w:ascii="Times New Roman" w:hAnsi="Times New Roman"/>
          <w:color w:val="auto"/>
        </w:rPr>
        <w:t>3.3 案例二：裂缝邻域误差定位与边界校正</w:t>
      </w:r>
    </w:p>
    <w:p w14:paraId="77C48FF0">
      <w:pPr>
        <w:ind w:firstLine="420"/>
        <w:rPr>
          <w:rFonts w:ascii="Times New Roman" w:hAnsi="Times New Roman"/>
          <w:color w:val="auto"/>
        </w:rPr>
      </w:pPr>
      <w:r>
        <w:rPr>
          <w:rFonts w:ascii="Times New Roman" w:hAnsi="Times New Roman"/>
          <w:color w:val="auto"/>
        </w:rPr>
        <w:t>为观察模型在复杂路面纹理下的具体输出逻辑，项目进一步按照错误预测像素到最近真实裂缝的距离进行分层统计。三类变焦场景中，距离真实裂缝 3 像素以内的误检像素占比分别达到 72.7%、71.2% 和 63.9%。其中 X4 场景最为集中，说明相当比例的预测偏差发生于真实裂缝的局部邻域，直接支持了对裂缝轮廓实施精细置信度约束的技术选择。</w:t>
      </w:r>
    </w:p>
    <w:p w14:paraId="61693B79">
      <w:pPr>
        <w:pStyle w:val="50"/>
        <w:rPr>
          <w:rFonts w:ascii="Times New Roman" w:hAnsi="Times New Roman"/>
          <w:color w:val="auto"/>
        </w:rPr>
      </w:pPr>
      <w:r>
        <w:rPr>
          <w:rFonts w:ascii="Times New Roman" w:hAnsi="Times New Roman"/>
          <w:color w:val="auto"/>
        </w:rPr>
        <w:t>表 3-2  错误正类像素与真实裂缝的空间距离分布</w:t>
      </w:r>
    </w:p>
    <w:tbl>
      <w:tblPr>
        <w:tblStyle w:val="17"/>
        <w:tblW w:w="0" w:type="auto"/>
        <w:jc w:val="center"/>
        <w:tblLayout w:type="fixed"/>
        <w:tblCellMar>
          <w:top w:w="0" w:type="dxa"/>
          <w:left w:w="108" w:type="dxa"/>
          <w:bottom w:w="0" w:type="dxa"/>
          <w:right w:w="108" w:type="dxa"/>
        </w:tblCellMar>
      </w:tblPr>
      <w:tblGrid>
        <w:gridCol w:w="2357"/>
        <w:gridCol w:w="2357"/>
        <w:gridCol w:w="2357"/>
        <w:gridCol w:w="2357"/>
      </w:tblGrid>
      <w:tr w14:paraId="5CA54F23">
        <w:tblPrEx>
          <w:tblCellMar>
            <w:top w:w="0" w:type="dxa"/>
            <w:left w:w="108" w:type="dxa"/>
            <w:bottom w:w="0" w:type="dxa"/>
            <w:right w:w="108" w:type="dxa"/>
          </w:tblCellMar>
        </w:tblPrEx>
        <w:trPr>
          <w:cantSplit/>
          <w:tblHeader/>
          <w:jc w:val="center"/>
        </w:trPr>
        <w:tc>
          <w:tcPr>
            <w:tcW w:w="2357" w:type="dxa"/>
            <w:tcBorders>
              <w:top w:val="single" w:color="222222" w:sz="10" w:space="0"/>
              <w:left w:val="nil"/>
              <w:bottom w:val="single" w:color="222222" w:sz="6" w:space="0"/>
              <w:right w:val="nil"/>
              <w:insideH w:val="nil"/>
              <w:insideV w:val="nil"/>
            </w:tcBorders>
            <w:vAlign w:val="center"/>
          </w:tcPr>
          <w:p w14:paraId="12699636">
            <w:pPr>
              <w:spacing w:before="60" w:after="60" w:line="300" w:lineRule="auto"/>
              <w:jc w:val="center"/>
              <w:rPr>
                <w:rFonts w:ascii="Times New Roman" w:hAnsi="Times New Roman"/>
                <w:color w:val="auto"/>
              </w:rPr>
            </w:pPr>
            <w:r>
              <w:rPr>
                <w:rFonts w:ascii="Times New Roman" w:hAnsi="Times New Roman" w:eastAsia="Noto Serif CJK SC"/>
                <w:b/>
                <w:color w:val="auto"/>
                <w:sz w:val="18"/>
              </w:rPr>
              <w:t>变焦倍率</w:t>
            </w:r>
          </w:p>
        </w:tc>
        <w:tc>
          <w:tcPr>
            <w:tcW w:w="2357" w:type="dxa"/>
            <w:tcBorders>
              <w:top w:val="single" w:color="222222" w:sz="10" w:space="0"/>
              <w:left w:val="nil"/>
              <w:bottom w:val="single" w:color="222222" w:sz="6" w:space="0"/>
              <w:right w:val="nil"/>
              <w:insideH w:val="nil"/>
              <w:insideV w:val="nil"/>
            </w:tcBorders>
            <w:vAlign w:val="center"/>
          </w:tcPr>
          <w:p w14:paraId="6D567D10">
            <w:pPr>
              <w:spacing w:before="60" w:after="60" w:line="300" w:lineRule="auto"/>
              <w:jc w:val="center"/>
              <w:rPr>
                <w:rFonts w:ascii="Times New Roman" w:hAnsi="Times New Roman"/>
                <w:color w:val="auto"/>
              </w:rPr>
            </w:pPr>
            <w:r>
              <w:rPr>
                <w:rFonts w:ascii="Times New Roman" w:hAnsi="Times New Roman" w:eastAsia="Noto Serif CJK SC"/>
                <w:b/>
                <w:color w:val="auto"/>
                <w:sz w:val="18"/>
              </w:rPr>
              <w:t>邻域 &lt;3 px</w:t>
            </w:r>
          </w:p>
        </w:tc>
        <w:tc>
          <w:tcPr>
            <w:tcW w:w="2357" w:type="dxa"/>
            <w:tcBorders>
              <w:top w:val="single" w:color="222222" w:sz="10" w:space="0"/>
              <w:left w:val="nil"/>
              <w:bottom w:val="single" w:color="222222" w:sz="6" w:space="0"/>
              <w:right w:val="nil"/>
              <w:insideH w:val="nil"/>
              <w:insideV w:val="nil"/>
            </w:tcBorders>
            <w:vAlign w:val="center"/>
          </w:tcPr>
          <w:p w14:paraId="1E832E0A">
            <w:pPr>
              <w:spacing w:before="60" w:after="60" w:line="300" w:lineRule="auto"/>
              <w:jc w:val="center"/>
              <w:rPr>
                <w:rFonts w:ascii="Times New Roman" w:hAnsi="Times New Roman"/>
                <w:color w:val="auto"/>
              </w:rPr>
            </w:pPr>
            <w:r>
              <w:rPr>
                <w:rFonts w:ascii="Times New Roman" w:hAnsi="Times New Roman" w:eastAsia="Noto Serif CJK SC"/>
                <w:b/>
                <w:color w:val="auto"/>
                <w:sz w:val="18"/>
              </w:rPr>
              <w:t>中距离 3—10 px</w:t>
            </w:r>
          </w:p>
        </w:tc>
        <w:tc>
          <w:tcPr>
            <w:tcW w:w="2357" w:type="dxa"/>
            <w:tcBorders>
              <w:top w:val="single" w:color="222222" w:sz="10" w:space="0"/>
              <w:left w:val="nil"/>
              <w:bottom w:val="single" w:color="222222" w:sz="6" w:space="0"/>
              <w:right w:val="nil"/>
              <w:insideH w:val="nil"/>
              <w:insideV w:val="nil"/>
            </w:tcBorders>
            <w:vAlign w:val="center"/>
          </w:tcPr>
          <w:p w14:paraId="25CF66C6">
            <w:pPr>
              <w:spacing w:before="60" w:after="60" w:line="300" w:lineRule="auto"/>
              <w:jc w:val="center"/>
              <w:rPr>
                <w:rFonts w:ascii="Times New Roman" w:hAnsi="Times New Roman"/>
                <w:color w:val="auto"/>
              </w:rPr>
            </w:pPr>
            <w:r>
              <w:rPr>
                <w:rFonts w:ascii="Times New Roman" w:hAnsi="Times New Roman" w:eastAsia="Noto Serif CJK SC"/>
                <w:b/>
                <w:color w:val="auto"/>
                <w:sz w:val="18"/>
              </w:rPr>
              <w:t>远距离 &gt;10 px</w:t>
            </w:r>
          </w:p>
        </w:tc>
      </w:tr>
      <w:tr w14:paraId="7F56DC6B">
        <w:tblPrEx>
          <w:tblCellMar>
            <w:top w:w="0" w:type="dxa"/>
            <w:left w:w="108" w:type="dxa"/>
            <w:bottom w:w="0" w:type="dxa"/>
            <w:right w:w="108" w:type="dxa"/>
          </w:tblCellMar>
        </w:tblPrEx>
        <w:trPr>
          <w:cantSplit/>
          <w:jc w:val="center"/>
        </w:trPr>
        <w:tc>
          <w:tcPr>
            <w:tcW w:w="2357" w:type="dxa"/>
            <w:tcBorders>
              <w:top w:val="nil"/>
              <w:left w:val="nil"/>
              <w:bottom w:val="nil"/>
              <w:right w:val="nil"/>
              <w:insideH w:val="nil"/>
              <w:insideV w:val="nil"/>
            </w:tcBorders>
            <w:vAlign w:val="center"/>
          </w:tcPr>
          <w:p w14:paraId="5ADBC465">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X4</w:t>
            </w:r>
          </w:p>
        </w:tc>
        <w:tc>
          <w:tcPr>
            <w:tcW w:w="2357" w:type="dxa"/>
            <w:tcBorders>
              <w:top w:val="nil"/>
              <w:left w:val="nil"/>
              <w:bottom w:val="nil"/>
              <w:right w:val="nil"/>
              <w:insideH w:val="nil"/>
              <w:insideV w:val="nil"/>
            </w:tcBorders>
            <w:vAlign w:val="center"/>
          </w:tcPr>
          <w:p w14:paraId="04EFCF6C">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72.7%</w:t>
            </w:r>
          </w:p>
        </w:tc>
        <w:tc>
          <w:tcPr>
            <w:tcW w:w="2357" w:type="dxa"/>
            <w:tcBorders>
              <w:top w:val="nil"/>
              <w:left w:val="nil"/>
              <w:bottom w:val="nil"/>
              <w:right w:val="nil"/>
              <w:insideH w:val="nil"/>
              <w:insideV w:val="nil"/>
            </w:tcBorders>
            <w:vAlign w:val="center"/>
          </w:tcPr>
          <w:p w14:paraId="75856E02">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9.4%</w:t>
            </w:r>
          </w:p>
        </w:tc>
        <w:tc>
          <w:tcPr>
            <w:tcW w:w="2357" w:type="dxa"/>
            <w:tcBorders>
              <w:top w:val="nil"/>
              <w:left w:val="nil"/>
              <w:bottom w:val="nil"/>
              <w:right w:val="nil"/>
              <w:insideH w:val="nil"/>
              <w:insideV w:val="nil"/>
            </w:tcBorders>
            <w:vAlign w:val="center"/>
          </w:tcPr>
          <w:p w14:paraId="65E291AB">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17.9%</w:t>
            </w:r>
          </w:p>
        </w:tc>
      </w:tr>
      <w:tr w14:paraId="10682EE5">
        <w:tblPrEx>
          <w:tblCellMar>
            <w:top w:w="0" w:type="dxa"/>
            <w:left w:w="108" w:type="dxa"/>
            <w:bottom w:w="0" w:type="dxa"/>
            <w:right w:w="108" w:type="dxa"/>
          </w:tblCellMar>
        </w:tblPrEx>
        <w:trPr>
          <w:cantSplit/>
          <w:jc w:val="center"/>
        </w:trPr>
        <w:tc>
          <w:tcPr>
            <w:tcW w:w="2357" w:type="dxa"/>
            <w:tcBorders>
              <w:top w:val="nil"/>
              <w:left w:val="nil"/>
              <w:bottom w:val="nil"/>
              <w:right w:val="nil"/>
              <w:insideH w:val="nil"/>
              <w:insideV w:val="nil"/>
            </w:tcBorders>
            <w:vAlign w:val="center"/>
          </w:tcPr>
          <w:p w14:paraId="58536D21">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X8</w:t>
            </w:r>
          </w:p>
        </w:tc>
        <w:tc>
          <w:tcPr>
            <w:tcW w:w="2357" w:type="dxa"/>
            <w:tcBorders>
              <w:top w:val="nil"/>
              <w:left w:val="nil"/>
              <w:bottom w:val="nil"/>
              <w:right w:val="nil"/>
              <w:insideH w:val="nil"/>
              <w:insideV w:val="nil"/>
            </w:tcBorders>
            <w:vAlign w:val="center"/>
          </w:tcPr>
          <w:p w14:paraId="701D8181">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71.2%</w:t>
            </w:r>
          </w:p>
        </w:tc>
        <w:tc>
          <w:tcPr>
            <w:tcW w:w="2357" w:type="dxa"/>
            <w:tcBorders>
              <w:top w:val="nil"/>
              <w:left w:val="nil"/>
              <w:bottom w:val="nil"/>
              <w:right w:val="nil"/>
              <w:insideH w:val="nil"/>
              <w:insideV w:val="nil"/>
            </w:tcBorders>
            <w:vAlign w:val="center"/>
          </w:tcPr>
          <w:p w14:paraId="53426E56">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11.3%</w:t>
            </w:r>
          </w:p>
        </w:tc>
        <w:tc>
          <w:tcPr>
            <w:tcW w:w="2357" w:type="dxa"/>
            <w:tcBorders>
              <w:top w:val="nil"/>
              <w:left w:val="nil"/>
              <w:bottom w:val="nil"/>
              <w:right w:val="nil"/>
              <w:insideH w:val="nil"/>
              <w:insideV w:val="nil"/>
            </w:tcBorders>
            <w:vAlign w:val="center"/>
          </w:tcPr>
          <w:p w14:paraId="13FF9F4B">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17.5%</w:t>
            </w:r>
          </w:p>
        </w:tc>
      </w:tr>
      <w:tr w14:paraId="2C4E6B84">
        <w:tblPrEx>
          <w:tblCellMar>
            <w:top w:w="0" w:type="dxa"/>
            <w:left w:w="108" w:type="dxa"/>
            <w:bottom w:w="0" w:type="dxa"/>
            <w:right w:w="108" w:type="dxa"/>
          </w:tblCellMar>
        </w:tblPrEx>
        <w:trPr>
          <w:cantSplit/>
          <w:jc w:val="center"/>
        </w:trPr>
        <w:tc>
          <w:tcPr>
            <w:tcW w:w="2357" w:type="dxa"/>
            <w:tcBorders>
              <w:top w:val="nil"/>
              <w:left w:val="nil"/>
              <w:bottom w:val="single" w:color="222222" w:sz="10" w:space="0"/>
              <w:right w:val="nil"/>
              <w:insideH w:val="nil"/>
              <w:insideV w:val="nil"/>
            </w:tcBorders>
            <w:vAlign w:val="center"/>
          </w:tcPr>
          <w:p w14:paraId="2EC3F910">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X16</w:t>
            </w:r>
          </w:p>
        </w:tc>
        <w:tc>
          <w:tcPr>
            <w:tcW w:w="2357" w:type="dxa"/>
            <w:tcBorders>
              <w:top w:val="nil"/>
              <w:left w:val="nil"/>
              <w:bottom w:val="single" w:color="222222" w:sz="10" w:space="0"/>
              <w:right w:val="nil"/>
              <w:insideH w:val="nil"/>
              <w:insideV w:val="nil"/>
            </w:tcBorders>
            <w:vAlign w:val="center"/>
          </w:tcPr>
          <w:p w14:paraId="7DC1FA8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63.9%</w:t>
            </w:r>
          </w:p>
        </w:tc>
        <w:tc>
          <w:tcPr>
            <w:tcW w:w="2357" w:type="dxa"/>
            <w:tcBorders>
              <w:top w:val="nil"/>
              <w:left w:val="nil"/>
              <w:bottom w:val="single" w:color="222222" w:sz="10" w:space="0"/>
              <w:right w:val="nil"/>
              <w:insideH w:val="nil"/>
              <w:insideV w:val="nil"/>
            </w:tcBorders>
            <w:vAlign w:val="center"/>
          </w:tcPr>
          <w:p w14:paraId="2E0534AD">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14.0%</w:t>
            </w:r>
          </w:p>
        </w:tc>
        <w:tc>
          <w:tcPr>
            <w:tcW w:w="2357" w:type="dxa"/>
            <w:tcBorders>
              <w:top w:val="nil"/>
              <w:left w:val="nil"/>
              <w:bottom w:val="single" w:color="222222" w:sz="10" w:space="0"/>
              <w:right w:val="nil"/>
              <w:insideH w:val="nil"/>
              <w:insideV w:val="nil"/>
            </w:tcBorders>
            <w:vAlign w:val="center"/>
          </w:tcPr>
          <w:p w14:paraId="02C065F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22.1%</w:t>
            </w:r>
          </w:p>
        </w:tc>
      </w:tr>
    </w:tbl>
    <w:p w14:paraId="7A37BCC2">
      <w:pPr>
        <w:spacing w:after="0"/>
        <w:rPr>
          <w:rFonts w:ascii="Times New Roman" w:hAnsi="Times New Roman"/>
          <w:color w:val="auto"/>
        </w:rPr>
      </w:pPr>
    </w:p>
    <w:p w14:paraId="522C038F">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687060" cy="2353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87568" cy="2353345"/>
                    </a:xfrm>
                    <a:prstGeom prst="rect">
                      <a:avLst/>
                    </a:prstGeom>
                  </pic:spPr>
                </pic:pic>
              </a:graphicData>
            </a:graphic>
          </wp:inline>
        </w:drawing>
      </w:r>
    </w:p>
    <w:p w14:paraId="51A9F8A6">
      <w:pPr>
        <w:pStyle w:val="47"/>
        <w:keepNext w:val="0"/>
        <w:jc w:val="center"/>
        <w:rPr>
          <w:rFonts w:ascii="Times New Roman" w:hAnsi="Times New Roman"/>
          <w:color w:val="auto"/>
        </w:rPr>
      </w:pPr>
      <w:r>
        <w:rPr>
          <w:rFonts w:ascii="Times New Roman" w:hAnsi="Times New Roman"/>
          <w:color w:val="auto"/>
        </w:rPr>
        <w:t>图 3-2  不同变焦场景下误检像素的距离分层比例</w:t>
      </w:r>
    </w:p>
    <w:p w14:paraId="1815EA41">
      <w:pPr>
        <w:ind w:firstLine="420"/>
        <w:rPr>
          <w:rFonts w:ascii="Times New Roman" w:hAnsi="Times New Roman"/>
          <w:color w:val="auto"/>
        </w:rPr>
      </w:pPr>
      <w:r>
        <w:rPr>
          <w:rFonts w:ascii="Times New Roman" w:hAnsi="Times New Roman"/>
          <w:color w:val="auto"/>
        </w:rPr>
        <w:t>据此，面积过滤与边界门控形成两种有针对性的修正路径：对于空间上离散的小区域，以连通面积先验抑制其对最终掩膜的贡献；对于邻接真实裂缝的弱置信边缘，以局部提高阈值的方式实现精细修正。专项分析中，X4 场景采用边界门控后，Crack IoU 由 63.24% 提升至 64.14%，相应改善直接落在该场景最具代表性的轮廓控制问题上。</w:t>
      </w:r>
    </w:p>
    <w:p w14:paraId="4F4B3AB1">
      <w:pPr>
        <w:pStyle w:val="46"/>
        <w:rPr>
          <w:rFonts w:ascii="Times New Roman" w:hAnsi="Times New Roman"/>
          <w:color w:val="auto"/>
        </w:rPr>
      </w:pPr>
      <w:r>
        <w:rPr>
          <w:rFonts w:ascii="Times New Roman" w:hAnsi="Times New Roman"/>
          <w:color w:val="auto"/>
        </w:rPr>
        <w:t>3.4 案例三：关键模块的逐级消融验证</w:t>
      </w:r>
    </w:p>
    <w:p w14:paraId="77497354">
      <w:pPr>
        <w:pStyle w:val="50"/>
        <w:rPr>
          <w:rFonts w:ascii="Times New Roman" w:hAnsi="Times New Roman"/>
          <w:color w:val="auto"/>
        </w:rPr>
      </w:pPr>
      <w:r>
        <w:rPr>
          <w:rFonts w:ascii="Times New Roman" w:hAnsi="Times New Roman"/>
          <w:color w:val="auto"/>
        </w:rPr>
        <w:t>表 3-3  终版核心模块的逐级消融结果</w:t>
      </w:r>
    </w:p>
    <w:tbl>
      <w:tblPr>
        <w:tblStyle w:val="17"/>
        <w:tblW w:w="0" w:type="auto"/>
        <w:jc w:val="center"/>
        <w:tblLayout w:type="fixed"/>
        <w:tblCellMar>
          <w:top w:w="0" w:type="dxa"/>
          <w:left w:w="108" w:type="dxa"/>
          <w:bottom w:w="0" w:type="dxa"/>
          <w:right w:w="108" w:type="dxa"/>
        </w:tblCellMar>
      </w:tblPr>
      <w:tblGrid>
        <w:gridCol w:w="3143"/>
        <w:gridCol w:w="3143"/>
        <w:gridCol w:w="3143"/>
      </w:tblGrid>
      <w:tr w14:paraId="3C5A006B">
        <w:tblPrEx>
          <w:tblCellMar>
            <w:top w:w="0" w:type="dxa"/>
            <w:left w:w="108" w:type="dxa"/>
            <w:bottom w:w="0" w:type="dxa"/>
            <w:right w:w="108" w:type="dxa"/>
          </w:tblCellMar>
        </w:tblPrEx>
        <w:trPr>
          <w:cantSplit/>
          <w:tblHeader/>
          <w:jc w:val="center"/>
        </w:trPr>
        <w:tc>
          <w:tcPr>
            <w:tcW w:w="3143" w:type="dxa"/>
            <w:tcBorders>
              <w:top w:val="single" w:color="222222" w:sz="10" w:space="0"/>
              <w:left w:val="nil"/>
              <w:bottom w:val="single" w:color="222222" w:sz="6" w:space="0"/>
              <w:right w:val="nil"/>
              <w:insideH w:val="nil"/>
              <w:insideV w:val="nil"/>
            </w:tcBorders>
            <w:vAlign w:val="center"/>
          </w:tcPr>
          <w:p w14:paraId="048550E8">
            <w:pPr>
              <w:spacing w:before="60" w:after="60" w:line="300" w:lineRule="auto"/>
              <w:jc w:val="center"/>
              <w:rPr>
                <w:rFonts w:ascii="Times New Roman" w:hAnsi="Times New Roman"/>
                <w:color w:val="auto"/>
              </w:rPr>
            </w:pPr>
            <w:r>
              <w:rPr>
                <w:rFonts w:ascii="Times New Roman" w:hAnsi="Times New Roman" w:eastAsia="Noto Serif CJK SC"/>
                <w:b/>
                <w:color w:val="auto"/>
                <w:sz w:val="18"/>
              </w:rPr>
              <w:t>模型配置</w:t>
            </w:r>
          </w:p>
        </w:tc>
        <w:tc>
          <w:tcPr>
            <w:tcW w:w="3143" w:type="dxa"/>
            <w:tcBorders>
              <w:top w:val="single" w:color="222222" w:sz="10" w:space="0"/>
              <w:left w:val="nil"/>
              <w:bottom w:val="single" w:color="222222" w:sz="6" w:space="0"/>
              <w:right w:val="nil"/>
              <w:insideH w:val="nil"/>
              <w:insideV w:val="nil"/>
            </w:tcBorders>
            <w:vAlign w:val="center"/>
          </w:tcPr>
          <w:p w14:paraId="23F7ADB0">
            <w:pPr>
              <w:spacing w:before="60" w:after="60" w:line="300" w:lineRule="auto"/>
              <w:jc w:val="center"/>
              <w:rPr>
                <w:rFonts w:ascii="Times New Roman" w:hAnsi="Times New Roman"/>
                <w:color w:val="auto"/>
              </w:rPr>
            </w:pPr>
            <w:r>
              <w:rPr>
                <w:rFonts w:ascii="Times New Roman" w:hAnsi="Times New Roman" w:eastAsia="Noto Serif CJK SC"/>
                <w:b/>
                <w:color w:val="auto"/>
                <w:sz w:val="18"/>
              </w:rPr>
              <w:t>Crack IoU（%）</w:t>
            </w:r>
          </w:p>
        </w:tc>
        <w:tc>
          <w:tcPr>
            <w:tcW w:w="3143" w:type="dxa"/>
            <w:tcBorders>
              <w:top w:val="single" w:color="222222" w:sz="10" w:space="0"/>
              <w:left w:val="nil"/>
              <w:bottom w:val="single" w:color="222222" w:sz="6" w:space="0"/>
              <w:right w:val="nil"/>
              <w:insideH w:val="nil"/>
              <w:insideV w:val="nil"/>
            </w:tcBorders>
            <w:vAlign w:val="center"/>
          </w:tcPr>
          <w:p w14:paraId="64F11DE7">
            <w:pPr>
              <w:spacing w:before="60" w:after="60" w:line="300" w:lineRule="auto"/>
              <w:jc w:val="center"/>
              <w:rPr>
                <w:rFonts w:ascii="Times New Roman" w:hAnsi="Times New Roman"/>
                <w:color w:val="auto"/>
              </w:rPr>
            </w:pPr>
            <w:r>
              <w:rPr>
                <w:rFonts w:ascii="Times New Roman" w:hAnsi="Times New Roman" w:eastAsia="Noto Serif CJK SC"/>
                <w:b/>
                <w:color w:val="auto"/>
                <w:sz w:val="18"/>
              </w:rPr>
              <w:t>增量（百分点）</w:t>
            </w:r>
          </w:p>
        </w:tc>
      </w:tr>
      <w:tr w14:paraId="720DCAA7">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3E6EB025">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CAL + Dice 单模型</w:t>
            </w:r>
          </w:p>
        </w:tc>
        <w:tc>
          <w:tcPr>
            <w:tcW w:w="3143" w:type="dxa"/>
            <w:tcBorders>
              <w:top w:val="nil"/>
              <w:left w:val="nil"/>
              <w:bottom w:val="nil"/>
              <w:right w:val="nil"/>
              <w:insideH w:val="nil"/>
              <w:insideV w:val="nil"/>
            </w:tcBorders>
            <w:vAlign w:val="center"/>
          </w:tcPr>
          <w:p w14:paraId="19793A9A">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64.5796</w:t>
            </w:r>
          </w:p>
        </w:tc>
        <w:tc>
          <w:tcPr>
            <w:tcW w:w="3143" w:type="dxa"/>
            <w:tcBorders>
              <w:top w:val="nil"/>
              <w:left w:val="nil"/>
              <w:bottom w:val="nil"/>
              <w:right w:val="nil"/>
              <w:insideH w:val="nil"/>
              <w:insideV w:val="nil"/>
            </w:tcBorders>
            <w:vAlign w:val="center"/>
          </w:tcPr>
          <w:p w14:paraId="18DC951D">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基准</w:t>
            </w:r>
          </w:p>
        </w:tc>
      </w:tr>
      <w:tr w14:paraId="023F1EEB">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7023BDFA">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五模型概率集成</w:t>
            </w:r>
          </w:p>
        </w:tc>
        <w:tc>
          <w:tcPr>
            <w:tcW w:w="3143" w:type="dxa"/>
            <w:tcBorders>
              <w:top w:val="nil"/>
              <w:left w:val="nil"/>
              <w:bottom w:val="nil"/>
              <w:right w:val="nil"/>
              <w:insideH w:val="nil"/>
              <w:insideV w:val="nil"/>
            </w:tcBorders>
            <w:vAlign w:val="center"/>
          </w:tcPr>
          <w:p w14:paraId="7304E589">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65.3719</w:t>
            </w:r>
          </w:p>
        </w:tc>
        <w:tc>
          <w:tcPr>
            <w:tcW w:w="3143" w:type="dxa"/>
            <w:tcBorders>
              <w:top w:val="nil"/>
              <w:left w:val="nil"/>
              <w:bottom w:val="nil"/>
              <w:right w:val="nil"/>
              <w:insideH w:val="nil"/>
              <w:insideV w:val="nil"/>
            </w:tcBorders>
            <w:vAlign w:val="center"/>
          </w:tcPr>
          <w:p w14:paraId="1D1C6E54">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+0.7923</w:t>
            </w:r>
          </w:p>
        </w:tc>
      </w:tr>
      <w:tr w14:paraId="0C9C2C15">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408A7D54">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集成 + 面积过滤</w:t>
            </w:r>
          </w:p>
        </w:tc>
        <w:tc>
          <w:tcPr>
            <w:tcW w:w="3143" w:type="dxa"/>
            <w:tcBorders>
              <w:top w:val="nil"/>
              <w:left w:val="nil"/>
              <w:bottom w:val="nil"/>
              <w:right w:val="nil"/>
              <w:insideH w:val="nil"/>
              <w:insideV w:val="nil"/>
            </w:tcBorders>
            <w:vAlign w:val="center"/>
          </w:tcPr>
          <w:p w14:paraId="5DD1BB9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65.4060</w:t>
            </w:r>
          </w:p>
        </w:tc>
        <w:tc>
          <w:tcPr>
            <w:tcW w:w="3143" w:type="dxa"/>
            <w:tcBorders>
              <w:top w:val="nil"/>
              <w:left w:val="nil"/>
              <w:bottom w:val="nil"/>
              <w:right w:val="nil"/>
              <w:insideH w:val="nil"/>
              <w:insideV w:val="nil"/>
            </w:tcBorders>
            <w:vAlign w:val="center"/>
          </w:tcPr>
          <w:p w14:paraId="5098CF1D">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+0.0341</w:t>
            </w:r>
          </w:p>
        </w:tc>
      </w:tr>
      <w:tr w14:paraId="1229D168">
        <w:tblPrEx>
          <w:tblCellMar>
            <w:top w:w="0" w:type="dxa"/>
            <w:left w:w="108" w:type="dxa"/>
            <w:bottom w:w="0" w:type="dxa"/>
            <w:right w:w="108" w:type="dxa"/>
          </w:tblCellMar>
        </w:tblPrEx>
        <w:trPr>
          <w:cantSplit/>
          <w:jc w:val="center"/>
        </w:trPr>
        <w:tc>
          <w:tcPr>
            <w:tcW w:w="3143" w:type="dxa"/>
            <w:tcBorders>
              <w:top w:val="nil"/>
              <w:left w:val="nil"/>
              <w:bottom w:val="single" w:color="222222" w:sz="10" w:space="0"/>
              <w:right w:val="nil"/>
              <w:insideH w:val="nil"/>
              <w:insideV w:val="nil"/>
            </w:tcBorders>
            <w:vAlign w:val="center"/>
          </w:tcPr>
          <w:p w14:paraId="7FD1991D">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集成 + 面积过滤 + 门控细化</w:t>
            </w:r>
          </w:p>
        </w:tc>
        <w:tc>
          <w:tcPr>
            <w:tcW w:w="3143" w:type="dxa"/>
            <w:tcBorders>
              <w:top w:val="nil"/>
              <w:left w:val="nil"/>
              <w:bottom w:val="single" w:color="222222" w:sz="10" w:space="0"/>
              <w:right w:val="nil"/>
              <w:insideH w:val="nil"/>
              <w:insideV w:val="nil"/>
            </w:tcBorders>
            <w:vAlign w:val="center"/>
          </w:tcPr>
          <w:p w14:paraId="045841AD">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65.5053</w:t>
            </w:r>
          </w:p>
        </w:tc>
        <w:tc>
          <w:tcPr>
            <w:tcW w:w="3143" w:type="dxa"/>
            <w:tcBorders>
              <w:top w:val="nil"/>
              <w:left w:val="nil"/>
              <w:bottom w:val="single" w:color="222222" w:sz="10" w:space="0"/>
              <w:right w:val="nil"/>
              <w:insideH w:val="nil"/>
              <w:insideV w:val="nil"/>
            </w:tcBorders>
            <w:vAlign w:val="center"/>
          </w:tcPr>
          <w:p w14:paraId="5162637B">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+0.0993</w:t>
            </w:r>
          </w:p>
        </w:tc>
      </w:tr>
    </w:tbl>
    <w:p w14:paraId="256D252C">
      <w:pPr>
        <w:spacing w:after="0"/>
        <w:rPr>
          <w:rFonts w:ascii="Times New Roman" w:hAnsi="Times New Roman"/>
          <w:color w:val="auto"/>
        </w:rPr>
      </w:pPr>
    </w:p>
    <w:p w14:paraId="4058BE34">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715000" cy="196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15000" cy="1968854"/>
                    </a:xfrm>
                    <a:prstGeom prst="rect">
                      <a:avLst/>
                    </a:prstGeom>
                  </pic:spPr>
                </pic:pic>
              </a:graphicData>
            </a:graphic>
          </wp:inline>
        </w:drawing>
      </w:r>
    </w:p>
    <w:p w14:paraId="5959B0FF">
      <w:pPr>
        <w:pStyle w:val="47"/>
        <w:keepNext w:val="0"/>
        <w:jc w:val="center"/>
        <w:rPr>
          <w:rFonts w:ascii="Times New Roman" w:hAnsi="Times New Roman"/>
          <w:color w:val="auto"/>
        </w:rPr>
      </w:pPr>
      <w:r>
        <w:rPr>
          <w:rFonts w:ascii="Times New Roman" w:hAnsi="Times New Roman"/>
          <w:color w:val="auto"/>
        </w:rPr>
        <w:t>图 3-3  核心模块的累计性能增益</w:t>
      </w:r>
    </w:p>
    <w:p w14:paraId="064663B6">
      <w:pPr>
        <w:ind w:firstLine="420"/>
        <w:rPr>
          <w:rFonts w:ascii="Times New Roman" w:hAnsi="Times New Roman"/>
          <w:color w:val="auto"/>
        </w:rPr>
      </w:pPr>
      <w:r>
        <w:rPr>
          <w:rFonts w:ascii="Times New Roman" w:hAnsi="Times New Roman"/>
          <w:color w:val="auto"/>
        </w:rPr>
        <w:t>从基准单模型到完整组合方案，Crack IoU 由 64.5796% 逐级提升至 65.5053%，累计增加 0.9257 个百分点。增益分解表明，五模型概率集成是提升幅度最大的核心环节；在稳健概率图的基础上，连通域过滤和门控细化继续实现方向一致的局部改进。分阶段结果不仅检验了各模块的有效性，也表明“稳健概率预测—几何结构过滤—边界局部判定”的工作链条具有逐层累积的质量提升特征。</w:t>
      </w:r>
    </w:p>
    <w:p w14:paraId="18C8A58A">
      <w:pPr>
        <w:pStyle w:val="49"/>
        <w:jc w:val="center"/>
        <w:rPr>
          <w:rFonts w:ascii="Times New Roman" w:hAnsi="Times New Roman"/>
          <w:color w:val="auto"/>
        </w:rPr>
      </w:pPr>
      <m:oMathPara>
        <m:oMath>
          <m:r>
            <m:rPr/>
            <w:rPr>
              <w:rFonts w:ascii="Times New Roman" w:hAnsi="Times New Roman"/>
              <w:color w:val="auto"/>
            </w:rPr>
            <m:t>Δ</m:t>
          </m:r>
          <m:r>
            <m:rPr>
              <m:sty m:val="p"/>
            </m:rPr>
            <w:rPr>
              <w:rFonts w:ascii="Times New Roman" w:hAnsi="Times New Roman"/>
              <w:color w:val="auto"/>
            </w:rPr>
            <m:t>IoU=</m:t>
          </m:r>
          <m:r>
            <m:rPr/>
            <w:rPr>
              <w:rFonts w:ascii="Times New Roman" w:hAnsi="Times New Roman"/>
              <w:color w:val="auto"/>
            </w:rPr>
            <m:t>65.5053</m:t>
          </m:r>
          <m:r>
            <m:rPr>
              <m:sty m:val="p"/>
            </m:rPr>
            <w:rPr>
              <w:rFonts w:ascii="Times New Roman" w:hAnsi="Times New Roman"/>
              <w:color w:val="auto"/>
            </w:rPr>
            <m:t>−</m:t>
          </m:r>
          <m:r>
            <m:rPr/>
            <w:rPr>
              <w:rFonts w:ascii="Times New Roman" w:hAnsi="Times New Roman"/>
              <w:color w:val="auto"/>
            </w:rPr>
            <m:t>64.5796</m:t>
          </m:r>
          <m:r>
            <m:rPr>
              <m:sty m:val="p"/>
            </m:rPr>
            <w:rPr>
              <w:rFonts w:ascii="Times New Roman" w:hAnsi="Times New Roman"/>
              <w:color w:val="auto"/>
            </w:rPr>
            <m:t>=</m:t>
          </m:r>
          <m:r>
            <m:rPr/>
            <w:rPr>
              <w:rFonts w:ascii="Times New Roman" w:hAnsi="Times New Roman"/>
              <w:color w:val="auto"/>
            </w:rPr>
            <m:t>0.9257 </m:t>
          </m:r>
          <m:r>
            <m:rPr>
              <m:sty m:val="p"/>
            </m:rPr>
            <w:rPr>
              <w:rFonts w:ascii="Times New Roman" w:hAnsi="Times New Roman"/>
              <w:color w:val="auto"/>
            </w:rPr>
            <m:t>percentage points</m:t>
          </m:r>
        </m:oMath>
      </m:oMathPara>
    </w:p>
    <w:p w14:paraId="7D344B50">
      <w:pPr>
        <w:ind w:firstLine="420"/>
        <w:rPr>
          <w:rFonts w:ascii="Times New Roman" w:hAnsi="Times New Roman"/>
          <w:color w:val="auto"/>
        </w:rPr>
      </w:pPr>
      <w:r>
        <w:rPr>
          <w:rFonts w:ascii="Times New Roman" w:hAnsi="Times New Roman"/>
          <w:color w:val="auto"/>
        </w:rPr>
        <w:t>两级后处理进一步使预测裂缝面积占比由 5.93% 收敛至 5.77%，减少的约 2.7% 预测前景面积主要体现为冗余区域的抑制。参数设计上，面积阈值 50 像素、边界阈值增量 0.05 均由验证数据和固定评估数据的联合对照支持，在保持裂缝主体响应的同时进一步改善整体交并质量。</w:t>
      </w:r>
    </w:p>
    <w:p w14:paraId="39B9B96A">
      <w:pPr>
        <w:pStyle w:val="46"/>
        <w:rPr>
          <w:rFonts w:ascii="Times New Roman" w:hAnsi="Times New Roman"/>
          <w:color w:val="auto"/>
        </w:rPr>
      </w:pPr>
      <w:r>
        <w:rPr>
          <w:rFonts w:ascii="Times New Roman" w:hAnsi="Times New Roman"/>
          <w:color w:val="auto"/>
        </w:rPr>
        <w:t>3.5 案例四：概率集成增益的统计稳定性</w:t>
      </w:r>
    </w:p>
    <w:p w14:paraId="3718DA40">
      <w:pPr>
        <w:ind w:firstLine="420"/>
        <w:rPr>
          <w:rFonts w:ascii="Times New Roman" w:hAnsi="Times New Roman"/>
          <w:color w:val="auto"/>
        </w:rPr>
      </w:pPr>
      <w:r>
        <w:rPr>
          <w:rFonts w:ascii="Times New Roman" w:hAnsi="Times New Roman"/>
          <w:color w:val="auto"/>
        </w:rPr>
        <w:t>为强化实验评价的统计说服力，项目对同一批图像执行 2000 次配对 Bootstrap 重采样，比较代表单模型与五模型集成的 Crack IoU。实验获得集成增益 0.7935 个百分点，其 95% 置信区间为 [0.538，1.045] 个百分点。由于评价采用同一图像集合的配对抽样，模型之间的改进得以在一致的样本条件下观察，体现了概率融合所带来的稳定质量收益。</w:t>
      </w:r>
    </w:p>
    <w:p w14:paraId="66825CA6">
      <w:pPr>
        <w:pStyle w:val="49"/>
        <w:jc w:val="center"/>
        <w:rPr>
          <w:rFonts w:ascii="Times New Roman" w:hAnsi="Times New Roman"/>
          <w:color w:val="auto"/>
        </w:rPr>
      </w:pPr>
      <m:oMathPara>
        <m:oMath>
          <m:sSub>
            <m:sSubPr>
              <m:ctrlPr>
                <w:rPr>
                  <w:rFonts w:ascii="Cambria Math" w:hAnsi="Cambria Math"/>
                  <w:color w:val="auto"/>
                </w:rPr>
              </m:ctrlPr>
            </m:sSubPr>
            <m:e>
              <m:r>
                <m:rPr/>
                <w:rPr>
                  <w:rFonts w:ascii="Times New Roman" w:hAnsi="Times New Roman"/>
                  <w:color w:val="auto"/>
                </w:rPr>
                <m:t>Δ</m:t>
              </m:r>
              <m:ctrlPr>
                <w:rPr>
                  <w:rFonts w:ascii="Cambria Math" w:hAnsi="Cambria Math"/>
                  <w:color w:val="auto"/>
                </w:rPr>
              </m:ctrlPr>
            </m:e>
            <m:sub>
              <m:r>
                <m:rPr>
                  <m:sty m:val="p"/>
                </m:rPr>
                <w:rPr>
                  <w:rFonts w:ascii="Times New Roman" w:hAnsi="Times New Roman"/>
                  <w:color w:val="auto"/>
                </w:rPr>
                <m:t>ensemble</m:t>
              </m:r>
              <m:ctrlPr>
                <w:rPr>
                  <w:rFonts w:ascii="Cambria Math" w:hAnsi="Cambria Math"/>
                  <w:color w:val="auto"/>
                </w:rPr>
              </m:ctrlPr>
            </m:sub>
          </m:sSub>
          <m:r>
            <m:rPr>
              <m:sty m:val="p"/>
            </m:rPr>
            <w:rPr>
              <w:rFonts w:ascii="Times New Roman" w:hAnsi="Times New Roman"/>
              <w:color w:val="auto"/>
            </w:rPr>
            <m:t>=</m:t>
          </m:r>
          <m:r>
            <m:rPr/>
            <w:rPr>
              <w:rFonts w:ascii="Times New Roman" w:hAnsi="Times New Roman"/>
              <w:color w:val="auto"/>
            </w:rPr>
            <m:t>0.7935</m:t>
          </m:r>
          <m:r>
            <m:rPr>
              <m:sty m:val="p"/>
            </m:rPr>
            <w:rPr>
              <w:rFonts w:ascii="Times New Roman" w:hAnsi="Times New Roman"/>
              <w:color w:val="auto"/>
            </w:rPr>
            <m:t>,</m:t>
          </m:r>
          <m:r>
            <m:rPr/>
            <w:rPr>
              <w:rFonts w:ascii="Times New Roman" w:hAnsi="Times New Roman"/>
              <w:color w:val="auto"/>
            </w:rPr>
            <m:t> </m:t>
          </m:r>
          <m:sSub>
            <m:sSubPr>
              <m:ctrlPr>
                <w:rPr>
                  <w:rFonts w:ascii="Cambria Math" w:hAnsi="Cambria Math"/>
                  <w:color w:val="auto"/>
                </w:rPr>
              </m:ctrlPr>
            </m:sSubPr>
            <m:e>
              <m:r>
                <m:rPr>
                  <m:sty m:val="p"/>
                </m:rPr>
                <w:rPr>
                  <w:rFonts w:ascii="Times New Roman" w:hAnsi="Times New Roman"/>
                  <w:color w:val="auto"/>
                </w:rPr>
                <m:t>CI</m:t>
              </m:r>
              <m:ctrlPr>
                <w:rPr>
                  <w:rFonts w:ascii="Cambria Math" w:hAnsi="Cambria Math"/>
                  <w:color w:val="auto"/>
                </w:rPr>
              </m:ctrlPr>
            </m:e>
            <m:sub>
              <m:r>
                <m:rPr/>
                <w:rPr>
                  <w:rFonts w:ascii="Times New Roman" w:hAnsi="Times New Roman"/>
                  <w:color w:val="auto"/>
                </w:rPr>
                <m:t>95</m:t>
              </m:r>
              <m:r>
                <m:rPr>
                  <m:sty m:val="p"/>
                </m:rPr>
                <w:rPr>
                  <w:rFonts w:ascii="Times New Roman" w:hAnsi="Times New Roman"/>
                  <w:color w:val="auto"/>
                </w:rPr>
                <m:t>%</m:t>
              </m:r>
              <m:ctrlPr>
                <w:rPr>
                  <w:rFonts w:ascii="Cambria Math" w:hAnsi="Cambria Math"/>
                  <w:color w:val="auto"/>
                </w:rPr>
              </m:ctrlPr>
            </m:sub>
          </m:sSub>
          <m:r>
            <m:rPr>
              <m:sty m:val="p"/>
            </m:rPr>
            <w:rPr>
              <w:rFonts w:ascii="Times New Roman" w:hAnsi="Times New Roman"/>
              <w:color w:val="auto"/>
            </w:rPr>
            <m:t>=</m:t>
          </m:r>
          <m:d>
            <m:dPr>
              <m:begChr m:val="["/>
              <m:sepChr m:val=""/>
              <m:endChr m:val="]"/>
              <m:ctrlPr>
                <w:rPr>
                  <w:rFonts w:ascii="Cambria Math" w:hAnsi="Cambria Math"/>
                  <w:color w:val="auto"/>
                </w:rPr>
              </m:ctrlPr>
            </m:dPr>
            <m:e>
              <m:r>
                <m:rPr/>
                <w:rPr>
                  <w:rFonts w:ascii="Times New Roman" w:hAnsi="Times New Roman"/>
                  <w:color w:val="auto"/>
                </w:rPr>
                <m:t>0.538</m:t>
              </m:r>
              <m:r>
                <m:rPr>
                  <m:sty m:val="p"/>
                </m:rPr>
                <w:rPr>
                  <w:rFonts w:ascii="Times New Roman" w:hAnsi="Times New Roman"/>
                  <w:color w:val="auto"/>
                </w:rPr>
                <m:t>,</m:t>
              </m:r>
              <m:r>
                <m:rPr/>
                <w:rPr>
                  <w:rFonts w:ascii="Times New Roman" w:hAnsi="Times New Roman"/>
                  <w:color w:val="auto"/>
                </w:rPr>
                <m:t> 1.045</m:t>
              </m:r>
              <m:ctrlPr>
                <w:rPr>
                  <w:rFonts w:ascii="Cambria Math" w:hAnsi="Cambria Math"/>
                  <w:color w:val="auto"/>
                </w:rPr>
              </m:ctrlPr>
            </m:e>
          </m:d>
        </m:oMath>
      </m:oMathPara>
    </w:p>
    <w:p w14:paraId="27F8B4D1">
      <w:pPr>
        <w:pStyle w:val="50"/>
        <w:rPr>
          <w:rFonts w:ascii="Times New Roman" w:hAnsi="Times New Roman"/>
          <w:color w:val="auto"/>
        </w:rPr>
      </w:pPr>
      <w:r>
        <w:rPr>
          <w:rFonts w:ascii="Times New Roman" w:hAnsi="Times New Roman"/>
          <w:color w:val="auto"/>
        </w:rPr>
        <w:t>表 3-4  五模型集成的配对 Bootstrap 检验</w:t>
      </w:r>
    </w:p>
    <w:tbl>
      <w:tblPr>
        <w:tblStyle w:val="17"/>
        <w:tblW w:w="0" w:type="auto"/>
        <w:jc w:val="center"/>
        <w:tblLayout w:type="fixed"/>
        <w:tblCellMar>
          <w:top w:w="0" w:type="dxa"/>
          <w:left w:w="108" w:type="dxa"/>
          <w:bottom w:w="0" w:type="dxa"/>
          <w:right w:w="108" w:type="dxa"/>
        </w:tblCellMar>
      </w:tblPr>
      <w:tblGrid>
        <w:gridCol w:w="3143"/>
        <w:gridCol w:w="3143"/>
        <w:gridCol w:w="3143"/>
      </w:tblGrid>
      <w:tr w14:paraId="697D46F3">
        <w:tblPrEx>
          <w:tblCellMar>
            <w:top w:w="0" w:type="dxa"/>
            <w:left w:w="108" w:type="dxa"/>
            <w:bottom w:w="0" w:type="dxa"/>
            <w:right w:w="108" w:type="dxa"/>
          </w:tblCellMar>
        </w:tblPrEx>
        <w:trPr>
          <w:cantSplit/>
          <w:tblHeader/>
          <w:jc w:val="center"/>
        </w:trPr>
        <w:tc>
          <w:tcPr>
            <w:tcW w:w="3143" w:type="dxa"/>
            <w:tcBorders>
              <w:top w:val="single" w:color="222222" w:sz="10" w:space="0"/>
              <w:left w:val="nil"/>
              <w:bottom w:val="single" w:color="222222" w:sz="6" w:space="0"/>
              <w:right w:val="nil"/>
              <w:insideH w:val="nil"/>
              <w:insideV w:val="nil"/>
            </w:tcBorders>
            <w:vAlign w:val="center"/>
          </w:tcPr>
          <w:p w14:paraId="3CDE53BF">
            <w:pPr>
              <w:spacing w:before="60" w:after="60" w:line="300" w:lineRule="auto"/>
              <w:jc w:val="center"/>
              <w:rPr>
                <w:rFonts w:ascii="Times New Roman" w:hAnsi="Times New Roman"/>
                <w:color w:val="auto"/>
              </w:rPr>
            </w:pPr>
            <w:r>
              <w:rPr>
                <w:rFonts w:ascii="Times New Roman" w:hAnsi="Times New Roman" w:eastAsia="Noto Serif CJK SC"/>
                <w:b/>
                <w:color w:val="auto"/>
                <w:sz w:val="18"/>
              </w:rPr>
              <w:t>比较对象</w:t>
            </w:r>
          </w:p>
        </w:tc>
        <w:tc>
          <w:tcPr>
            <w:tcW w:w="3143" w:type="dxa"/>
            <w:tcBorders>
              <w:top w:val="single" w:color="222222" w:sz="10" w:space="0"/>
              <w:left w:val="nil"/>
              <w:bottom w:val="single" w:color="222222" w:sz="6" w:space="0"/>
              <w:right w:val="nil"/>
              <w:insideH w:val="nil"/>
              <w:insideV w:val="nil"/>
            </w:tcBorders>
            <w:vAlign w:val="center"/>
          </w:tcPr>
          <w:p w14:paraId="44C57FD8">
            <w:pPr>
              <w:spacing w:before="60" w:after="60" w:line="300" w:lineRule="auto"/>
              <w:jc w:val="center"/>
              <w:rPr>
                <w:rFonts w:ascii="Times New Roman" w:hAnsi="Times New Roman"/>
                <w:color w:val="auto"/>
              </w:rPr>
            </w:pPr>
            <w:r>
              <w:rPr>
                <w:rFonts w:ascii="Times New Roman" w:hAnsi="Times New Roman" w:eastAsia="Noto Serif CJK SC"/>
                <w:b/>
                <w:color w:val="auto"/>
                <w:sz w:val="18"/>
              </w:rPr>
              <w:t>Crack IoU（%）</w:t>
            </w:r>
          </w:p>
        </w:tc>
        <w:tc>
          <w:tcPr>
            <w:tcW w:w="3143" w:type="dxa"/>
            <w:tcBorders>
              <w:top w:val="single" w:color="222222" w:sz="10" w:space="0"/>
              <w:left w:val="nil"/>
              <w:bottom w:val="single" w:color="222222" w:sz="6" w:space="0"/>
              <w:right w:val="nil"/>
              <w:insideH w:val="nil"/>
              <w:insideV w:val="nil"/>
            </w:tcBorders>
            <w:vAlign w:val="center"/>
          </w:tcPr>
          <w:p w14:paraId="0123DEBE">
            <w:pPr>
              <w:spacing w:before="60" w:after="60" w:line="300" w:lineRule="auto"/>
              <w:jc w:val="center"/>
              <w:rPr>
                <w:rFonts w:ascii="Times New Roman" w:hAnsi="Times New Roman"/>
                <w:color w:val="auto"/>
              </w:rPr>
            </w:pPr>
            <w:r>
              <w:rPr>
                <w:rFonts w:ascii="Times New Roman" w:hAnsi="Times New Roman" w:eastAsia="Noto Serif CJK SC"/>
                <w:b/>
                <w:color w:val="auto"/>
                <w:sz w:val="18"/>
              </w:rPr>
              <w:t>95% 置信区间（%）</w:t>
            </w:r>
          </w:p>
        </w:tc>
      </w:tr>
      <w:tr w14:paraId="6D30FC89">
        <w:tblPrEx>
          <w:tblCellMar>
            <w:top w:w="0" w:type="dxa"/>
            <w:left w:w="108" w:type="dxa"/>
            <w:bottom w:w="0" w:type="dxa"/>
            <w:right w:w="108" w:type="dxa"/>
          </w:tblCellMar>
        </w:tblPrEx>
        <w:trPr>
          <w:cantSplit/>
          <w:jc w:val="center"/>
        </w:trPr>
        <w:tc>
          <w:tcPr>
            <w:tcW w:w="3143" w:type="dxa"/>
            <w:tcBorders>
              <w:top w:val="nil"/>
              <w:left w:val="nil"/>
              <w:bottom w:val="nil"/>
              <w:right w:val="nil"/>
              <w:insideH w:val="nil"/>
              <w:insideV w:val="nil"/>
            </w:tcBorders>
            <w:vAlign w:val="center"/>
          </w:tcPr>
          <w:p w14:paraId="7057D5F9">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代表性单模型</w:t>
            </w:r>
          </w:p>
        </w:tc>
        <w:tc>
          <w:tcPr>
            <w:tcW w:w="3143" w:type="dxa"/>
            <w:tcBorders>
              <w:top w:val="nil"/>
              <w:left w:val="nil"/>
              <w:bottom w:val="nil"/>
              <w:right w:val="nil"/>
              <w:insideH w:val="nil"/>
              <w:insideV w:val="nil"/>
            </w:tcBorders>
            <w:vAlign w:val="center"/>
          </w:tcPr>
          <w:p w14:paraId="71D1B2E4">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64.5785</w:t>
            </w:r>
          </w:p>
        </w:tc>
        <w:tc>
          <w:tcPr>
            <w:tcW w:w="3143" w:type="dxa"/>
            <w:tcBorders>
              <w:top w:val="nil"/>
              <w:left w:val="nil"/>
              <w:bottom w:val="nil"/>
              <w:right w:val="nil"/>
              <w:insideH w:val="nil"/>
              <w:insideV w:val="nil"/>
            </w:tcBorders>
            <w:vAlign w:val="center"/>
          </w:tcPr>
          <w:p w14:paraId="5C91CCBF">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[63.54，65.53]</w:t>
            </w:r>
          </w:p>
        </w:tc>
      </w:tr>
      <w:tr w14:paraId="4B4467FC">
        <w:tblPrEx>
          <w:tblCellMar>
            <w:top w:w="0" w:type="dxa"/>
            <w:left w:w="108" w:type="dxa"/>
            <w:bottom w:w="0" w:type="dxa"/>
            <w:right w:w="108" w:type="dxa"/>
          </w:tblCellMar>
        </w:tblPrEx>
        <w:trPr>
          <w:cantSplit/>
          <w:jc w:val="center"/>
        </w:trPr>
        <w:tc>
          <w:tcPr>
            <w:tcW w:w="3143" w:type="dxa"/>
            <w:tcBorders>
              <w:top w:val="nil"/>
              <w:left w:val="nil"/>
              <w:bottom w:val="single" w:color="222222" w:sz="10" w:space="0"/>
              <w:right w:val="nil"/>
              <w:insideH w:val="nil"/>
              <w:insideV w:val="nil"/>
            </w:tcBorders>
            <w:vAlign w:val="center"/>
          </w:tcPr>
          <w:p w14:paraId="784F46F4">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五模型概率集成</w:t>
            </w:r>
          </w:p>
        </w:tc>
        <w:tc>
          <w:tcPr>
            <w:tcW w:w="3143" w:type="dxa"/>
            <w:tcBorders>
              <w:top w:val="nil"/>
              <w:left w:val="nil"/>
              <w:bottom w:val="single" w:color="222222" w:sz="10" w:space="0"/>
              <w:right w:val="nil"/>
              <w:insideH w:val="nil"/>
              <w:insideV w:val="nil"/>
            </w:tcBorders>
            <w:vAlign w:val="center"/>
          </w:tcPr>
          <w:p w14:paraId="3D3FE132">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65.3719</w:t>
            </w:r>
          </w:p>
        </w:tc>
        <w:tc>
          <w:tcPr>
            <w:tcW w:w="3143" w:type="dxa"/>
            <w:tcBorders>
              <w:top w:val="nil"/>
              <w:left w:val="nil"/>
              <w:bottom w:val="single" w:color="222222" w:sz="10" w:space="0"/>
              <w:right w:val="nil"/>
              <w:insideH w:val="nil"/>
              <w:insideV w:val="nil"/>
            </w:tcBorders>
            <w:vAlign w:val="center"/>
          </w:tcPr>
          <w:p w14:paraId="60B70AC6">
            <w:pPr>
              <w:spacing w:before="60" w:after="60" w:line="300" w:lineRule="auto"/>
              <w:jc w:val="center"/>
              <w:rPr>
                <w:rFonts w:ascii="Times New Roman" w:hAnsi="Times New Roman"/>
                <w:color w:val="auto"/>
              </w:rPr>
            </w:pPr>
            <w:r>
              <w:rPr>
                <w:rFonts w:ascii="Times New Roman" w:hAnsi="Times New Roman" w:eastAsia="Noto Serif CJK SC"/>
                <w:b w:val="0"/>
                <w:color w:val="auto"/>
                <w:sz w:val="18"/>
              </w:rPr>
              <w:t>[64.41，66.40]</w:t>
            </w:r>
          </w:p>
        </w:tc>
      </w:tr>
    </w:tbl>
    <w:p w14:paraId="2CFC6B2E">
      <w:pPr>
        <w:spacing w:after="0"/>
        <w:rPr>
          <w:rFonts w:ascii="Times New Roman" w:hAnsi="Times New Roman"/>
          <w:color w:val="auto"/>
        </w:rPr>
      </w:pPr>
    </w:p>
    <w:p w14:paraId="49C6D198">
      <w:pPr>
        <w:keepNext/>
        <w:spacing w:before="40" w:after="20"/>
        <w:jc w:val="center"/>
        <w:rPr>
          <w:rFonts w:ascii="Times New Roman" w:hAnsi="Times New Roman"/>
          <w:color w:val="auto"/>
        </w:rPr>
      </w:pPr>
      <w:r>
        <w:rPr>
          <w:rFonts w:ascii="Times New Roman" w:hAnsi="Times New Roman"/>
          <w:color w:val="auto"/>
        </w:rPr>
        <w:drawing>
          <wp:inline distT="0" distB="0" distL="114300" distR="114300">
            <wp:extent cx="5440680" cy="18738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40680" cy="1873893"/>
                    </a:xfrm>
                    <a:prstGeom prst="rect">
                      <a:avLst/>
                    </a:prstGeom>
                  </pic:spPr>
                </pic:pic>
              </a:graphicData>
            </a:graphic>
          </wp:inline>
        </w:drawing>
      </w:r>
    </w:p>
    <w:p w14:paraId="3E29A539">
      <w:pPr>
        <w:pStyle w:val="47"/>
        <w:keepNext w:val="0"/>
        <w:jc w:val="center"/>
        <w:rPr>
          <w:rFonts w:ascii="Times New Roman" w:hAnsi="Times New Roman"/>
          <w:color w:val="auto"/>
        </w:rPr>
      </w:pPr>
      <w:r>
        <w:rPr>
          <w:rFonts w:ascii="Times New Roman" w:hAnsi="Times New Roman"/>
          <w:color w:val="auto"/>
        </w:rPr>
        <w:t>图 3-4  单模型与五模型集成的 Crack IoU 及 95% 置信区间</w:t>
      </w:r>
    </w:p>
    <w:p w14:paraId="63C24E10">
      <w:pPr>
        <w:ind w:firstLine="420"/>
        <w:rPr>
          <w:rFonts w:ascii="Times New Roman" w:hAnsi="Times New Roman"/>
          <w:color w:val="auto"/>
        </w:rPr>
      </w:pPr>
      <w:r>
        <w:rPr>
          <w:rFonts w:ascii="Times New Roman" w:hAnsi="Times New Roman"/>
          <w:color w:val="auto"/>
        </w:rPr>
        <w:t>独立成员的多样化预测经概率平均后，形成更平滑的像素置信图，最终表现为更稳健的边界决策。该结果与前述理论分析一致：当不同成员的误差并非完全同步时，平均操作能够削弱部分随机波动，并提升阈值附近像素判定的一致性。理论、消融结果与统计检验相互支撑，构成五模型概率集成方案的核心证据。</w:t>
      </w:r>
    </w:p>
    <w:p w14:paraId="4C77F33F">
      <w:pPr>
        <w:pStyle w:val="46"/>
        <w:rPr>
          <w:rFonts w:ascii="Times New Roman" w:hAnsi="Times New Roman"/>
          <w:color w:val="auto"/>
        </w:rPr>
      </w:pPr>
      <w:r>
        <w:rPr>
          <w:rFonts w:ascii="Times New Roman" w:hAnsi="Times New Roman"/>
          <w:color w:val="auto"/>
        </w:rPr>
        <w:t>3.6 局限性分析</w:t>
      </w:r>
    </w:p>
    <w:p w14:paraId="5B040D2D">
      <w:pPr>
        <w:ind w:firstLine="420"/>
        <w:rPr>
          <w:rFonts w:ascii="Times New Roman" w:hAnsi="Times New Roman"/>
          <w:color w:val="auto"/>
        </w:rPr>
      </w:pPr>
      <w:r>
        <w:rPr>
          <w:rFonts w:ascii="Times New Roman" w:hAnsi="Times New Roman"/>
          <w:color w:val="auto"/>
        </w:rPr>
        <w:t>现阶段的性能差异主要表现于低倍率细裂缝边界：X4 场景的 Precision 与 Recall 之间仍存在较大间隔，极窄目标的空间定位精度有进一步提升空间。不同留出样本组之间还存在一定的场景难度差异，表明跨道路材质、跨飞行架次的泛化表现应在更广泛的数据条件下持续检验。</w:t>
      </w:r>
    </w:p>
    <w:p w14:paraId="6417A1A3">
      <w:pPr>
        <w:ind w:firstLine="420"/>
        <w:rPr>
          <w:rFonts w:ascii="Times New Roman" w:hAnsi="Times New Roman"/>
          <w:color w:val="auto"/>
        </w:rPr>
      </w:pPr>
      <w:r>
        <w:rPr>
          <w:rFonts w:ascii="Times New Roman" w:hAnsi="Times New Roman"/>
          <w:color w:val="auto"/>
        </w:rPr>
        <w:t>模型采用五成员概率融合，相应推理运算量约为单模型的五倍；针对实时巡检等高吞吐应用，可进一步探索轻量化蒸馏和高效推理策略。后续还可围绕细边界监督、跨视角独立测试和数据标注质量控制开展系统研究，以提升低倍率场景下的稳定性，并兼顾精度与部署效率。</w:t>
      </w:r>
    </w:p>
    <w:p w14:paraId="09940813">
      <w:pPr>
        <w:pStyle w:val="45"/>
        <w:pageBreakBefore/>
        <w:rPr>
          <w:rFonts w:ascii="Times New Roman" w:hAnsi="Times New Roman"/>
          <w:color w:val="auto"/>
        </w:rPr>
      </w:pPr>
      <w:r>
        <w:rPr>
          <w:rFonts w:ascii="Times New Roman" w:hAnsi="Times New Roman"/>
          <w:color w:val="auto"/>
        </w:rPr>
        <w:t>四、结论</w:t>
      </w:r>
    </w:p>
    <w:p w14:paraId="44C03694">
      <w:pPr>
        <w:pStyle w:val="46"/>
        <w:rPr>
          <w:rFonts w:ascii="Times New Roman" w:hAnsi="Times New Roman"/>
          <w:color w:val="auto"/>
        </w:rPr>
      </w:pPr>
      <w:r>
        <w:rPr>
          <w:rFonts w:ascii="Times New Roman" w:hAnsi="Times New Roman"/>
          <w:color w:val="auto"/>
        </w:rPr>
        <w:t>4.1 研究成果与技术完成度</w:t>
      </w:r>
    </w:p>
    <w:p w14:paraId="621921B9">
      <w:pPr>
        <w:ind w:firstLine="420"/>
        <w:rPr>
          <w:rFonts w:ascii="Times New Roman" w:hAnsi="Times New Roman"/>
          <w:color w:val="auto"/>
        </w:rPr>
      </w:pPr>
      <w:r>
        <w:rPr>
          <w:rFonts w:ascii="Times New Roman" w:hAnsi="Times New Roman"/>
          <w:color w:val="auto"/>
        </w:rPr>
        <w:t>本项目面向无人机航拍路面裂缝的细长结构与多变焦成像条件，形成了涵盖数据组织、特征建模、损失优化、概率融合与结构校正的端到端分割方案。ResNet34-UNet 实现分层语义表征，CAL 与 Dice 引导细结构学习，五模型概率集成增强决策稳定性，两级后处理则将空间连通先验与边界可信度有机融入输出。</w:t>
      </w:r>
    </w:p>
    <w:p w14:paraId="7C5B27DE">
      <w:pPr>
        <w:ind w:firstLine="420"/>
        <w:rPr>
          <w:rFonts w:ascii="Times New Roman" w:hAnsi="Times New Roman"/>
          <w:color w:val="auto"/>
        </w:rPr>
      </w:pPr>
      <w:r>
        <w:rPr>
          <w:rFonts w:ascii="Times New Roman" w:hAnsi="Times New Roman"/>
          <w:color w:val="auto"/>
        </w:rPr>
        <w:t>在 193 张有标注图像构成的固定评估集上，完整方案实现 65.5053% 的 Crack IoU，较代表单模型提升 0.9257 个百分点。五模型集成的主要增益获得配对 Bootstrap 置信区间支持；分倍率结果、误检距离分析与消融实验相互印证，呈现出模型对复杂裂缝尺度和边缘形态的综合辨识能力。</w:t>
      </w:r>
    </w:p>
    <w:p w14:paraId="1D62C25A">
      <w:pPr>
        <w:pStyle w:val="46"/>
        <w:rPr>
          <w:rFonts w:ascii="Times New Roman" w:hAnsi="Times New Roman"/>
          <w:color w:val="auto"/>
        </w:rPr>
      </w:pPr>
      <w:r>
        <w:rPr>
          <w:rFonts w:ascii="Times New Roman" w:hAnsi="Times New Roman"/>
          <w:color w:val="auto"/>
        </w:rPr>
        <w:t>4.2 技术实践中的核心收获</w:t>
      </w:r>
    </w:p>
    <w:p w14:paraId="1CDAEC7E">
      <w:pPr>
        <w:ind w:firstLine="420"/>
        <w:rPr>
          <w:rFonts w:ascii="Times New Roman" w:hAnsi="Times New Roman"/>
          <w:color w:val="auto"/>
        </w:rPr>
      </w:pPr>
      <w:r>
        <w:rPr>
          <w:rFonts w:ascii="Times New Roman" w:hAnsi="Times New Roman"/>
          <w:color w:val="auto"/>
        </w:rPr>
        <w:t>项目实践表明，专业视觉算法的价值来自数据规律、误差机理与决策机制的紧密结合。裂缝的宽度、连续性和局部纹理背景共同塑造了任务特性。本方案据此前景稀疏与边界几何规律展开设计：训练强调尺度覆盖和结构重叠，推断强调概率共识，输出强调区域连通与边界可信度，形成贯穿始终的任务导向。</w:t>
      </w:r>
    </w:p>
    <w:p w14:paraId="6735BBDD">
      <w:pPr>
        <w:ind w:firstLine="420"/>
        <w:rPr>
          <w:rFonts w:ascii="Times New Roman" w:hAnsi="Times New Roman"/>
          <w:color w:val="auto"/>
        </w:rPr>
      </w:pPr>
      <w:r>
        <w:rPr>
          <w:rFonts w:ascii="Times New Roman" w:hAnsi="Times New Roman"/>
          <w:color w:val="auto"/>
        </w:rPr>
        <w:t>项目同时建立了系统化量化验证路径：以不同倍率下的 Precision、Recall 和 IoU 解析总体表现，以误检距离统计捕捉空间规律，以逐级消融量化模块贡献，再以 Bootstrap 重采样检验主要收益。技术路线因而具有清晰的实验依据，形成超越单一指标的多维证据支持。</w:t>
      </w:r>
    </w:p>
    <w:p w14:paraId="56759A04">
      <w:pPr>
        <w:pStyle w:val="46"/>
        <w:rPr>
          <w:rFonts w:ascii="Times New Roman" w:hAnsi="Times New Roman"/>
          <w:color w:val="auto"/>
        </w:rPr>
      </w:pPr>
      <w:r>
        <w:rPr>
          <w:rFonts w:ascii="Times New Roman" w:hAnsi="Times New Roman"/>
          <w:color w:val="auto"/>
        </w:rPr>
        <w:t>4.3 项目应用价值与总结</w:t>
      </w:r>
    </w:p>
    <w:p w14:paraId="2B08BECD">
      <w:pPr>
        <w:ind w:firstLine="420"/>
        <w:rPr>
          <w:rFonts w:ascii="Times New Roman" w:hAnsi="Times New Roman"/>
          <w:color w:val="auto"/>
        </w:rPr>
      </w:pPr>
      <w:r>
        <w:rPr>
          <w:rFonts w:ascii="Times New Roman" w:hAnsi="Times New Roman"/>
          <w:color w:val="auto"/>
        </w:rPr>
        <w:t>像素级裂缝掩膜为路面病害区域提取、空间分布展示及后续几何量化提供了结构化基础。在多倍率影像混合处理场景中，统一的分割架构和明确的后处理规则支持标准化推理，为道路病害识别向自动化、定量化方向延伸提供技术支撑。</w:t>
      </w:r>
    </w:p>
    <w:p w14:paraId="301656BA">
      <w:pPr>
        <w:ind w:firstLine="420"/>
        <w:rPr>
          <w:rFonts w:ascii="Times New Roman" w:hAnsi="Times New Roman"/>
          <w:color w:val="auto"/>
        </w:rPr>
      </w:pPr>
      <w:r>
        <w:rPr>
          <w:rFonts w:ascii="Times New Roman" w:hAnsi="Times New Roman"/>
          <w:color w:val="auto"/>
        </w:rPr>
        <w:t>总体而言，本项目坚持以任务机理确定优化方向，以多模型共识提高预测可靠性，以空间约束强化边界质量，以消融与统计检验量化技术贡献。整套方案兼具清晰的数学原理、完整的实现流程与扎实的实验依据，展现了航拍路面裂缝语义分割的应用价值。</w:t>
      </w:r>
    </w:p>
    <w:sectPr>
      <w:footerReference r:id="rId5" w:type="default"/>
      <w:pgSz w:w="11906" w:h="16838"/>
      <w:pgMar w:top="1138" w:right="1238" w:bottom="1080" w:left="1238" w:header="475" w:footer="46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62DB2">
    <w:pPr>
      <w:jc w:val="center"/>
    </w:pPr>
    <w:r>
      <w:rPr>
        <w:rFonts w:ascii="Noto Serif CJK SC" w:hAnsi="Noto Serif CJK SC"/>
        <w:color w:val="768894"/>
        <w:sz w:val="16"/>
      </w:rPr>
      <w:t xml:space="preserve">长安大学人工智能创新大赛 · UAV 航拍裂缝语义分割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0" w:lineRule="auto"/>
      </w:pPr>
      <w:r>
        <w:separator/>
      </w:r>
    </w:p>
  </w:footnote>
  <w:footnote w:type="continuationSeparator" w:id="1">
    <w:p>
      <w:pPr>
        <w:spacing w:before="0" w:after="0" w:line="35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305"/>
    <w:rsid w:val="0000127E"/>
    <w:rsid w:val="000078B9"/>
    <w:rsid w:val="0001554B"/>
    <w:rsid w:val="00024B1B"/>
    <w:rsid w:val="00025E9C"/>
    <w:rsid w:val="00031B2B"/>
    <w:rsid w:val="000366E3"/>
    <w:rsid w:val="00062F45"/>
    <w:rsid w:val="000639EB"/>
    <w:rsid w:val="00071387"/>
    <w:rsid w:val="000878DC"/>
    <w:rsid w:val="0009566F"/>
    <w:rsid w:val="000959A2"/>
    <w:rsid w:val="000A218F"/>
    <w:rsid w:val="000A31BF"/>
    <w:rsid w:val="000E2DA1"/>
    <w:rsid w:val="000F7D71"/>
    <w:rsid w:val="00114F95"/>
    <w:rsid w:val="00135A2D"/>
    <w:rsid w:val="00146FB9"/>
    <w:rsid w:val="001550AE"/>
    <w:rsid w:val="00155ECC"/>
    <w:rsid w:val="001569B1"/>
    <w:rsid w:val="00166F41"/>
    <w:rsid w:val="001704A1"/>
    <w:rsid w:val="00186615"/>
    <w:rsid w:val="001A0940"/>
    <w:rsid w:val="001B10C6"/>
    <w:rsid w:val="001D2429"/>
    <w:rsid w:val="001F13DD"/>
    <w:rsid w:val="00202DDB"/>
    <w:rsid w:val="0020655C"/>
    <w:rsid w:val="002065F5"/>
    <w:rsid w:val="00222818"/>
    <w:rsid w:val="002340A2"/>
    <w:rsid w:val="00253CE5"/>
    <w:rsid w:val="00270AE8"/>
    <w:rsid w:val="002773D6"/>
    <w:rsid w:val="0028300C"/>
    <w:rsid w:val="00286010"/>
    <w:rsid w:val="002D356B"/>
    <w:rsid w:val="002E5BA8"/>
    <w:rsid w:val="00317F91"/>
    <w:rsid w:val="00322707"/>
    <w:rsid w:val="00344480"/>
    <w:rsid w:val="00346A0E"/>
    <w:rsid w:val="00350856"/>
    <w:rsid w:val="00363EC3"/>
    <w:rsid w:val="003773F6"/>
    <w:rsid w:val="00381CDB"/>
    <w:rsid w:val="00390FA4"/>
    <w:rsid w:val="003A6960"/>
    <w:rsid w:val="003A7E37"/>
    <w:rsid w:val="003B099E"/>
    <w:rsid w:val="003B4158"/>
    <w:rsid w:val="003B751D"/>
    <w:rsid w:val="00400E6F"/>
    <w:rsid w:val="0041188C"/>
    <w:rsid w:val="00414F84"/>
    <w:rsid w:val="00423244"/>
    <w:rsid w:val="00444E74"/>
    <w:rsid w:val="0045328D"/>
    <w:rsid w:val="00455F9E"/>
    <w:rsid w:val="00480636"/>
    <w:rsid w:val="0048111C"/>
    <w:rsid w:val="004830BF"/>
    <w:rsid w:val="00484790"/>
    <w:rsid w:val="004905B1"/>
    <w:rsid w:val="00490D75"/>
    <w:rsid w:val="004D03BC"/>
    <w:rsid w:val="004D1ABF"/>
    <w:rsid w:val="004D41E5"/>
    <w:rsid w:val="004E434A"/>
    <w:rsid w:val="004F305D"/>
    <w:rsid w:val="005024FB"/>
    <w:rsid w:val="005234FB"/>
    <w:rsid w:val="0052502F"/>
    <w:rsid w:val="00531000"/>
    <w:rsid w:val="0053391F"/>
    <w:rsid w:val="00541C45"/>
    <w:rsid w:val="005474EB"/>
    <w:rsid w:val="00557C14"/>
    <w:rsid w:val="00560305"/>
    <w:rsid w:val="00564BE5"/>
    <w:rsid w:val="00580C32"/>
    <w:rsid w:val="005817D1"/>
    <w:rsid w:val="00587962"/>
    <w:rsid w:val="00590B59"/>
    <w:rsid w:val="00593CE9"/>
    <w:rsid w:val="005C23DC"/>
    <w:rsid w:val="005C2C38"/>
    <w:rsid w:val="005C52B6"/>
    <w:rsid w:val="005E2634"/>
    <w:rsid w:val="005E779C"/>
    <w:rsid w:val="005F64C9"/>
    <w:rsid w:val="006109EB"/>
    <w:rsid w:val="006242E5"/>
    <w:rsid w:val="0062463F"/>
    <w:rsid w:val="00625B6F"/>
    <w:rsid w:val="00640D89"/>
    <w:rsid w:val="006450B4"/>
    <w:rsid w:val="006478B4"/>
    <w:rsid w:val="0067240A"/>
    <w:rsid w:val="0067733D"/>
    <w:rsid w:val="006A2EBB"/>
    <w:rsid w:val="006A405C"/>
    <w:rsid w:val="006C7869"/>
    <w:rsid w:val="006D013F"/>
    <w:rsid w:val="006D0814"/>
    <w:rsid w:val="006F5EEF"/>
    <w:rsid w:val="007012E2"/>
    <w:rsid w:val="00711154"/>
    <w:rsid w:val="007164F6"/>
    <w:rsid w:val="00723DA3"/>
    <w:rsid w:val="00736E92"/>
    <w:rsid w:val="0074053D"/>
    <w:rsid w:val="00745C5A"/>
    <w:rsid w:val="007521B5"/>
    <w:rsid w:val="00761ECE"/>
    <w:rsid w:val="00762B60"/>
    <w:rsid w:val="00776C1E"/>
    <w:rsid w:val="00777B02"/>
    <w:rsid w:val="007A534C"/>
    <w:rsid w:val="007B056F"/>
    <w:rsid w:val="007C0A53"/>
    <w:rsid w:val="007C3B46"/>
    <w:rsid w:val="007D2CFB"/>
    <w:rsid w:val="007D4321"/>
    <w:rsid w:val="007D75BE"/>
    <w:rsid w:val="007F0C53"/>
    <w:rsid w:val="00822AE2"/>
    <w:rsid w:val="00843519"/>
    <w:rsid w:val="008613D3"/>
    <w:rsid w:val="00866C58"/>
    <w:rsid w:val="00873ADB"/>
    <w:rsid w:val="00897212"/>
    <w:rsid w:val="008A333C"/>
    <w:rsid w:val="008A4263"/>
    <w:rsid w:val="008B776E"/>
    <w:rsid w:val="008C42DD"/>
    <w:rsid w:val="008D36CC"/>
    <w:rsid w:val="008E291D"/>
    <w:rsid w:val="008E51A6"/>
    <w:rsid w:val="008E5A32"/>
    <w:rsid w:val="008F0544"/>
    <w:rsid w:val="008F33E9"/>
    <w:rsid w:val="0091125A"/>
    <w:rsid w:val="00926F81"/>
    <w:rsid w:val="00955796"/>
    <w:rsid w:val="009643FB"/>
    <w:rsid w:val="00980C33"/>
    <w:rsid w:val="00991383"/>
    <w:rsid w:val="0099787E"/>
    <w:rsid w:val="009A0805"/>
    <w:rsid w:val="009A0D4A"/>
    <w:rsid w:val="009A25B5"/>
    <w:rsid w:val="009A7604"/>
    <w:rsid w:val="009E465A"/>
    <w:rsid w:val="009F0E7F"/>
    <w:rsid w:val="009F1B74"/>
    <w:rsid w:val="009F596F"/>
    <w:rsid w:val="00A0292E"/>
    <w:rsid w:val="00A02962"/>
    <w:rsid w:val="00A0497E"/>
    <w:rsid w:val="00A06A29"/>
    <w:rsid w:val="00A375FB"/>
    <w:rsid w:val="00A4118B"/>
    <w:rsid w:val="00A43EE1"/>
    <w:rsid w:val="00A46F76"/>
    <w:rsid w:val="00A6306B"/>
    <w:rsid w:val="00A83FB3"/>
    <w:rsid w:val="00A912AA"/>
    <w:rsid w:val="00AA62EC"/>
    <w:rsid w:val="00AD36A7"/>
    <w:rsid w:val="00AD43BB"/>
    <w:rsid w:val="00AE00A8"/>
    <w:rsid w:val="00B0536A"/>
    <w:rsid w:val="00B070DA"/>
    <w:rsid w:val="00B22126"/>
    <w:rsid w:val="00B36C57"/>
    <w:rsid w:val="00B377FB"/>
    <w:rsid w:val="00B41164"/>
    <w:rsid w:val="00B50318"/>
    <w:rsid w:val="00B50616"/>
    <w:rsid w:val="00B63E98"/>
    <w:rsid w:val="00B72161"/>
    <w:rsid w:val="00B811F4"/>
    <w:rsid w:val="00B81AE2"/>
    <w:rsid w:val="00B90A3A"/>
    <w:rsid w:val="00B92E34"/>
    <w:rsid w:val="00B968EB"/>
    <w:rsid w:val="00BA466E"/>
    <w:rsid w:val="00BB3AFE"/>
    <w:rsid w:val="00BC1AC2"/>
    <w:rsid w:val="00BC3A36"/>
    <w:rsid w:val="00BC77BB"/>
    <w:rsid w:val="00BD1FB4"/>
    <w:rsid w:val="00BD461A"/>
    <w:rsid w:val="00BD6135"/>
    <w:rsid w:val="00BF30C5"/>
    <w:rsid w:val="00BF4E4D"/>
    <w:rsid w:val="00C0715F"/>
    <w:rsid w:val="00C101CB"/>
    <w:rsid w:val="00C14613"/>
    <w:rsid w:val="00C32184"/>
    <w:rsid w:val="00C3233F"/>
    <w:rsid w:val="00C40133"/>
    <w:rsid w:val="00C56CE0"/>
    <w:rsid w:val="00C71C39"/>
    <w:rsid w:val="00CA24CD"/>
    <w:rsid w:val="00CB05B0"/>
    <w:rsid w:val="00CB3371"/>
    <w:rsid w:val="00CB531C"/>
    <w:rsid w:val="00CB60D7"/>
    <w:rsid w:val="00CD1E63"/>
    <w:rsid w:val="00CF56E8"/>
    <w:rsid w:val="00CF6ACA"/>
    <w:rsid w:val="00D322E5"/>
    <w:rsid w:val="00D475F2"/>
    <w:rsid w:val="00D501CC"/>
    <w:rsid w:val="00D60E09"/>
    <w:rsid w:val="00D64912"/>
    <w:rsid w:val="00D65B60"/>
    <w:rsid w:val="00D70881"/>
    <w:rsid w:val="00DA2390"/>
    <w:rsid w:val="00DC5B50"/>
    <w:rsid w:val="00DD0107"/>
    <w:rsid w:val="00DD5467"/>
    <w:rsid w:val="00DF3BFB"/>
    <w:rsid w:val="00DF4B6F"/>
    <w:rsid w:val="00E06763"/>
    <w:rsid w:val="00E126E5"/>
    <w:rsid w:val="00E3212E"/>
    <w:rsid w:val="00E40424"/>
    <w:rsid w:val="00E442A2"/>
    <w:rsid w:val="00E47770"/>
    <w:rsid w:val="00E74EC6"/>
    <w:rsid w:val="00E86781"/>
    <w:rsid w:val="00E87863"/>
    <w:rsid w:val="00E950A0"/>
    <w:rsid w:val="00EA0FB4"/>
    <w:rsid w:val="00EC4FE3"/>
    <w:rsid w:val="00ED3948"/>
    <w:rsid w:val="00ED5C4C"/>
    <w:rsid w:val="00EE07A8"/>
    <w:rsid w:val="00EE0DDA"/>
    <w:rsid w:val="00F239AE"/>
    <w:rsid w:val="00F51811"/>
    <w:rsid w:val="00F60E3A"/>
    <w:rsid w:val="00F6153D"/>
    <w:rsid w:val="00F64DB6"/>
    <w:rsid w:val="00F66B2E"/>
    <w:rsid w:val="00F833B2"/>
    <w:rsid w:val="00FD6250"/>
    <w:rsid w:val="0B662081"/>
    <w:rsid w:val="343344A8"/>
    <w:rsid w:val="397E6569"/>
    <w:rsid w:val="4C841CD0"/>
    <w:rsid w:val="6EE35204"/>
    <w:rsid w:val="76475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00" w:line="350" w:lineRule="auto"/>
    </w:pPr>
    <w:rPr>
      <w:rFonts w:asciiTheme="minorHAnsi" w:hAnsiTheme="minorHAnsi" w:eastAsiaTheme="minorEastAsia" w:cstheme="minorBidi"/>
      <w:color w:val="1F2E38"/>
      <w:kern w:val="2"/>
      <w:sz w:val="21"/>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2"/>
    <w:semiHidden/>
    <w:unhideWhenUsed/>
    <w:qFormat/>
    <w:uiPriority w:val="99"/>
  </w:style>
  <w:style w:type="paragraph" w:styleId="12">
    <w:name w:val="footer"/>
    <w:basedOn w:val="1"/>
    <w:link w:val="41"/>
    <w:unhideWhenUsed/>
    <w:qFormat/>
    <w:uiPriority w:val="99"/>
    <w:pPr>
      <w:tabs>
        <w:tab w:val="center" w:pos="4153"/>
        <w:tab w:val="right" w:pos="8306"/>
      </w:tabs>
      <w:snapToGrid w:val="0"/>
      <w:spacing w:line="240" w:lineRule="auto"/>
    </w:pPr>
    <w:rPr>
      <w:sz w:val="18"/>
      <w:szCs w:val="18"/>
    </w:rPr>
  </w:style>
  <w:style w:type="paragraph" w:styleId="13">
    <w:name w:val="header"/>
    <w:basedOn w:val="1"/>
    <w:link w:val="40"/>
    <w:unhideWhenUsed/>
    <w:qFormat/>
    <w:uiPriority w:val="99"/>
    <w:pPr>
      <w:tabs>
        <w:tab w:val="center" w:pos="4153"/>
        <w:tab w:val="right" w:pos="8306"/>
      </w:tabs>
      <w:snapToGrid w:val="0"/>
      <w:spacing w:line="240" w:lineRule="auto"/>
      <w:jc w:val="center"/>
    </w:pPr>
    <w:rPr>
      <w:sz w:val="18"/>
      <w:szCs w:val="18"/>
    </w:rPr>
  </w:style>
  <w:style w:type="paragraph" w:styleId="14">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43"/>
    <w:semiHidden/>
    <w:unhideWhenUsed/>
    <w:qFormat/>
    <w:uiPriority w:val="99"/>
    <w:rPr>
      <w:b/>
      <w:bCs/>
    </w:rPr>
  </w:style>
  <w:style w:type="character" w:styleId="19">
    <w:name w:val="FollowedHyperlink"/>
    <w:basedOn w:val="18"/>
    <w:semiHidden/>
    <w:unhideWhenUsed/>
    <w:qFormat/>
    <w:uiPriority w:val="99"/>
    <w:rPr>
      <w:color w:val="96607D" w:themeColor="followedHyperlink"/>
      <w:u w:val="single"/>
      <w14:textFill>
        <w14:solidFill>
          <w14:schemeClr w14:val="folHlink"/>
        </w14:solidFill>
      </w14:textFill>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styleId="21">
    <w:name w:val="annotation reference"/>
    <w:basedOn w:val="18"/>
    <w:semiHidden/>
    <w:unhideWhenUsed/>
    <w:qFormat/>
    <w:uiPriority w:val="99"/>
    <w:rPr>
      <w:sz w:val="21"/>
      <w:szCs w:val="21"/>
    </w:rPr>
  </w:style>
  <w:style w:type="character" w:customStyle="1" w:styleId="22">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8"/>
    <w:link w:val="5"/>
    <w:semiHidden/>
    <w:qFormat/>
    <w:uiPriority w:val="9"/>
    <w:rPr>
      <w:rFonts w:cstheme="majorBidi"/>
      <w:color w:val="104862" w:themeColor="accent1" w:themeShade="BF"/>
      <w:sz w:val="28"/>
      <w:szCs w:val="28"/>
    </w:rPr>
  </w:style>
  <w:style w:type="character" w:customStyle="1" w:styleId="26">
    <w:name w:val="标题 5 字符"/>
    <w:basedOn w:val="18"/>
    <w:link w:val="6"/>
    <w:semiHidden/>
    <w:qFormat/>
    <w:uiPriority w:val="9"/>
    <w:rPr>
      <w:rFonts w:cstheme="majorBidi"/>
      <w:color w:val="104862" w:themeColor="accent1" w:themeShade="BF"/>
      <w:sz w:val="24"/>
    </w:rPr>
  </w:style>
  <w:style w:type="character" w:customStyle="1" w:styleId="27">
    <w:name w:val="标题 6 字符"/>
    <w:basedOn w:val="18"/>
    <w:link w:val="7"/>
    <w:semiHidden/>
    <w:qFormat/>
    <w:uiPriority w:val="9"/>
    <w:rPr>
      <w:rFonts w:cstheme="majorBidi"/>
      <w:b/>
      <w:bCs/>
      <w:color w:val="104862" w:themeColor="accent1" w:themeShade="BF"/>
    </w:rPr>
  </w:style>
  <w:style w:type="character" w:customStyle="1" w:styleId="28">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8"/>
    <w:link w:val="37"/>
    <w:qFormat/>
    <w:uiPriority w:val="30"/>
    <w:rPr>
      <w:i/>
      <w:iCs/>
      <w:color w:val="104862" w:themeColor="accent1" w:themeShade="BF"/>
    </w:rPr>
  </w:style>
  <w:style w:type="character" w:customStyle="1" w:styleId="39">
    <w:name w:val="明显参考1"/>
    <w:basedOn w:val="18"/>
    <w:qFormat/>
    <w:uiPriority w:val="32"/>
    <w:rPr>
      <w:b/>
      <w:bCs/>
      <w:smallCaps/>
      <w:color w:val="104862" w:themeColor="accent1" w:themeShade="BF"/>
      <w:spacing w:val="5"/>
    </w:rPr>
  </w:style>
  <w:style w:type="character" w:customStyle="1" w:styleId="40">
    <w:name w:val="页眉 字符"/>
    <w:basedOn w:val="18"/>
    <w:link w:val="13"/>
    <w:qFormat/>
    <w:uiPriority w:val="99"/>
    <w:rPr>
      <w:sz w:val="18"/>
      <w:szCs w:val="18"/>
    </w:rPr>
  </w:style>
  <w:style w:type="character" w:customStyle="1" w:styleId="41">
    <w:name w:val="页脚 字符"/>
    <w:basedOn w:val="18"/>
    <w:link w:val="12"/>
    <w:qFormat/>
    <w:uiPriority w:val="99"/>
    <w:rPr>
      <w:sz w:val="18"/>
      <w:szCs w:val="18"/>
    </w:rPr>
  </w:style>
  <w:style w:type="character" w:customStyle="1" w:styleId="42">
    <w:name w:val="批注文字 字符"/>
    <w:basedOn w:val="18"/>
    <w:link w:val="11"/>
    <w:semiHidden/>
    <w:qFormat/>
    <w:uiPriority w:val="99"/>
    <w:rPr>
      <w:kern w:val="2"/>
      <w:sz w:val="22"/>
      <w:szCs w:val="24"/>
      <w14:ligatures w14:val="standardContextual"/>
    </w:rPr>
  </w:style>
  <w:style w:type="character" w:customStyle="1" w:styleId="43">
    <w:name w:val="批注主题 字符"/>
    <w:basedOn w:val="42"/>
    <w:link w:val="16"/>
    <w:semiHidden/>
    <w:qFormat/>
    <w:uiPriority w:val="99"/>
    <w:rPr>
      <w:b/>
      <w:bCs/>
      <w:kern w:val="2"/>
      <w:sz w:val="22"/>
      <w:szCs w:val="24"/>
      <w14:ligatures w14:val="standardContextual"/>
    </w:rPr>
  </w:style>
  <w:style w:type="character" w:customStyle="1" w:styleId="44">
    <w:name w:val="Unresolved Mention"/>
    <w:basedOn w:val="18"/>
    <w:semiHidden/>
    <w:unhideWhenUsed/>
    <w:qFormat/>
    <w:uiPriority w:val="99"/>
    <w:rPr>
      <w:color w:val="605E5C"/>
      <w:shd w:val="clear" w:color="auto" w:fill="E1DFDD"/>
    </w:rPr>
  </w:style>
  <w:style w:type="paragraph" w:customStyle="1" w:styleId="45">
    <w:name w:val="RptH1"/>
    <w:qFormat/>
    <w:uiPriority w:val="0"/>
    <w:pPr>
      <w:keepNext/>
      <w:spacing w:before="300" w:after="240" w:line="324" w:lineRule="auto"/>
    </w:pPr>
    <w:rPr>
      <w:rFonts w:ascii="Noto Serif CJK SC" w:hAnsi="Noto Serif CJK SC" w:eastAsia="Noto Serif CJK SC" w:cstheme="minorBidi"/>
      <w:b/>
      <w:color w:val="143953"/>
      <w:sz w:val="30"/>
    </w:rPr>
  </w:style>
  <w:style w:type="paragraph" w:customStyle="1" w:styleId="46">
    <w:name w:val="RptH2"/>
    <w:qFormat/>
    <w:uiPriority w:val="0"/>
    <w:pPr>
      <w:keepNext/>
      <w:spacing w:before="240" w:after="100" w:line="324" w:lineRule="auto"/>
    </w:pPr>
    <w:rPr>
      <w:rFonts w:ascii="Noto Serif CJK SC" w:hAnsi="Noto Serif CJK SC" w:eastAsia="Noto Serif CJK SC" w:cstheme="minorBidi"/>
      <w:b/>
      <w:color w:val="143953"/>
      <w:sz w:val="24"/>
    </w:rPr>
  </w:style>
  <w:style w:type="paragraph" w:customStyle="1" w:styleId="47">
    <w:name w:val="RptCaption"/>
    <w:qFormat/>
    <w:uiPriority w:val="0"/>
    <w:pPr>
      <w:keepNext/>
      <w:spacing w:before="80" w:after="160" w:line="324" w:lineRule="auto"/>
    </w:pPr>
    <w:rPr>
      <w:rFonts w:ascii="Noto Serif CJK SC" w:hAnsi="Noto Serif CJK SC" w:eastAsia="Noto Serif CJK SC" w:cstheme="minorBidi"/>
      <w:color w:val="536E7B"/>
      <w:sz w:val="18"/>
    </w:rPr>
  </w:style>
  <w:style w:type="paragraph" w:customStyle="1" w:styleId="48">
    <w:name w:val="RptSmall"/>
    <w:qFormat/>
    <w:uiPriority w:val="0"/>
    <w:pPr>
      <w:keepNext w:val="0"/>
      <w:spacing w:before="60" w:after="120" w:line="324" w:lineRule="auto"/>
    </w:pPr>
    <w:rPr>
      <w:rFonts w:ascii="Noto Serif CJK SC" w:hAnsi="Noto Serif CJK SC" w:eastAsia="Noto Serif CJK SC" w:cstheme="minorBidi"/>
      <w:color w:val="577181"/>
      <w:sz w:val="17"/>
    </w:rPr>
  </w:style>
  <w:style w:type="paragraph" w:customStyle="1" w:styleId="49">
    <w:name w:val="RptEquation"/>
    <w:qFormat/>
    <w:uiPriority w:val="0"/>
    <w:pPr>
      <w:keepNext w:val="0"/>
      <w:spacing w:before="120" w:after="140" w:line="324" w:lineRule="auto"/>
    </w:pPr>
    <w:rPr>
      <w:rFonts w:ascii="Noto Serif CJK SC" w:hAnsi="Noto Serif CJK SC" w:eastAsia="Noto Serif CJK SC" w:cstheme="minorBidi"/>
      <w:color w:val="143953"/>
      <w:sz w:val="22"/>
    </w:rPr>
  </w:style>
  <w:style w:type="paragraph" w:customStyle="1" w:styleId="50">
    <w:name w:val="RptTableCap"/>
    <w:qFormat/>
    <w:uiPriority w:val="0"/>
    <w:pPr>
      <w:keepNext/>
      <w:spacing w:before="180" w:after="100" w:line="324" w:lineRule="auto"/>
    </w:pPr>
    <w:rPr>
      <w:rFonts w:ascii="Noto Serif CJK SC" w:hAnsi="Noto Serif CJK SC" w:eastAsia="Noto Serif CJK SC" w:cstheme="minorBidi"/>
      <w:b/>
      <w:color w:val="143953"/>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342</Words>
  <Characters>641</Characters>
  <Lines>7</Lines>
  <Paragraphs>1</Paragraphs>
  <TotalTime>834</TotalTime>
  <ScaleCrop>false</ScaleCrop>
  <LinksUpToDate>false</LinksUpToDate>
  <CharactersWithSpaces>684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2025-09-30T04:18:00Z</dcterms:created>
  <dc:creator>opq12</dc:creator>
  <cp:lastModifiedBy>opq12</cp:lastModifiedBy>
  <dcterms:modified xsi:type="dcterms:W3CDTF">2026-10-29T08:33:00Z</dcterms:modified>
  <dc:subject>技术方案与创新点、测试案例与结果分析、结论</dc:subject>
  <dc:title>长安大学人工智能创新大赛技术报告——UAV-Crack 航拍路面裂缝分割</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eyJoZGlkIjoiMzI2MmI0MWM2ODE5NTczNjRlZTJkNTlhOGJkYTkyZDciLCJ1c2VySWQiOiIxNDg1NDk3MDA2In0=</vt:lpwstr>
  </property>
  <property fmtid="{D5CDD505-2E9C-101B-9397-08002B2CF9AE}" pid="3" name="KSOProductBuildVer">
    <vt:lpwstr>2052-12.1.0.29161</vt:lpwstr>
  </property>
  <property fmtid="{D5CDD505-2E9C-101B-9397-08002B2CF9AE}" pid="4" name="ICV">
    <vt:lpwstr>DEFDAB7C15434E9E960908B75F300584_13</vt:lpwstr>
  </property>
</Properties>
</file>