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2025年10月27日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3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8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2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LaTeX/PDF、Typst/PDF、EPUB以及Reveal.js幻灯片等格式。</w:t>
      </w:r>
    </w:p>
    <w:bookmarkEnd w:id="33"/>
    <w:bookmarkStart w:id="40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4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来解决这个问题。</w:t>
      </w:r>
    </w:p>
    <w:bookmarkStart w:id="35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r>
        <w:rPr>
          <w:rFonts w:hint="eastAsia"/>
        </w:rPr>
        <w:t xml:space="preserve">，以及更多例子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r>
        <w:t xml:space="preserve">。</w:t>
      </w:r>
    </w:p>
    <w:bookmarkEnd w:id="35"/>
    <w:bookmarkStart w:id="36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r>
        <w:t xml:space="preserve">。</w:t>
      </w:r>
    </w:p>
    <w:bookmarkEnd w:id="36"/>
    <w:bookmarkStart w:id="3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37"/>
    <w:bookmarkStart w:id="38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38"/>
    <w:bookmarkStart w:id="39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可能无法正常工作在其他CSL样式文件上。</w:t>
      </w:r>
    </w:p>
    <w:bookmarkEnd w:id="39"/>
    <w:bookmarkEnd w:id="40"/>
    <w:bookmarkStart w:id="42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41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默认是英文（或其他非中文）在前，如果你需要中文在前，可以将对应代码修改为：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42"/>
    <w:bookmarkStart w:id="44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_extensions/docx-quotes/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_extensions/latex-body-quotes/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正文中的引号，将中文直角引号转换为德语引号（其他东欧语系也有类似的引号），再交给</w:t>
      </w:r>
      <w:r>
        <w:t xml:space="preserve"> </w:t>
      </w:r>
      <w:hyperlink r:id="rId43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宏包恢复为蝌蚪引号。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_extensions/latex-header-quotes/</w:t>
      </w:r>
      <w:r>
        <w:rPr>
          <w:rFonts w:hint="eastAsia"/>
        </w:rPr>
        <w:t xml:space="preserve">：专门处理</w:t>
      </w:r>
      <w:r>
        <w:t xml:space="preserve"> LaTeX </w:t>
      </w:r>
      <w:r>
        <w:rPr>
          <w:rFonts w:hint="eastAsia"/>
        </w:rPr>
        <w:t xml:space="preserve">标题，既保证</w:t>
      </w:r>
      <w:r>
        <w:t xml:space="preserve"> PDF </w:t>
      </w:r>
      <w:r>
        <w:rPr>
          <w:rFonts w:hint="eastAsia"/>
        </w:rPr>
        <w:t xml:space="preserve">里显示正确，也让</w:t>
      </w:r>
      <w:r>
        <w:t xml:space="preserve"> PDF </w:t>
      </w:r>
      <w:r>
        <w:rPr>
          <w:rFonts w:hint="eastAsia"/>
        </w:rPr>
        <w:t xml:space="preserve">书签保持</w:t>
      </w:r>
      <w:r>
        <w:t xml:space="preserve"> Unicode </w:t>
      </w:r>
      <w:r>
        <w:rPr>
          <w:rFonts w:hint="eastAsia"/>
        </w:rPr>
        <w:t xml:space="preserve">文本。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_extensions/typst-quotes/</w:t>
      </w:r>
      <w:r>
        <w:rPr>
          <w:rFonts w:hint="eastAsia"/>
        </w:rPr>
        <w:t xml:space="preserve">：在</w:t>
      </w:r>
      <w:r>
        <w:t xml:space="preserve"> Typst </w:t>
      </w:r>
      <w:r>
        <w:rPr>
          <w:rFonts w:hint="eastAsia"/>
        </w:rPr>
        <w:t xml:space="preserve">输出中转换中文直角引号，避免</w:t>
      </w:r>
      <w:r>
        <w:t xml:space="preserve"> PDF </w:t>
      </w:r>
      <w:r>
        <w:rPr>
          <w:rFonts w:hint="eastAsia"/>
        </w:rPr>
        <w:t xml:space="preserve">中的中西文混排问题。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_extensions/cnbib-quotes.lua</w:t>
      </w:r>
      <w:r>
        <w:rPr>
          <w:rFonts w:hint="eastAsia"/>
        </w:rPr>
        <w:t xml:space="preserve">：处理</w:t>
      </w:r>
      <w:r>
        <w:t xml:space="preserve"> HTML、EPUB、LaTeX </w:t>
      </w:r>
      <w:r>
        <w:rPr>
          <w:rFonts w:hint="eastAsia"/>
        </w:rPr>
        <w:t xml:space="preserve">和</w:t>
      </w:r>
      <w:r>
        <w:t xml:space="preserve"> Typst </w:t>
      </w:r>
      <w:r>
        <w:rPr>
          <w:rFonts w:hint="eastAsia"/>
        </w:rPr>
        <w:t xml:space="preserve">参考文献中的引号，确保中文条目使用期望的直角引号，而英文条目保持蝌蚪引号。</w:t>
      </w:r>
    </w:p>
    <w:p>
      <w:pPr>
        <w:pStyle w:val="BodyText"/>
      </w:pPr>
      <w:r>
        <w:rPr>
          <w:rFonts w:hint="eastAsia"/>
        </w:rPr>
        <w:t xml:space="preserve">这样，无论是在Word、LaTeX还是Typst中，都可以得到符合规范的引号效果；而对于HTML/EPUB的参考文献，则会做“反向处理”，将包裹中文的蝌蚪引号转换回直角引号。</w:t>
      </w:r>
    </w:p>
    <w:bookmarkEnd w:id="44"/>
    <w:bookmarkStart w:id="48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45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46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_extensions/auto-correct.py</w:t>
      </w:r>
      <w:r>
        <w:rPr>
          <w:rFonts w:hint="eastAsia"/>
        </w:rPr>
        <w:t xml:space="preserve">来解决这个问题，借助</w:t>
      </w:r>
      <w:hyperlink r:id="rId47">
        <w:r>
          <w:rPr>
            <w:rStyle w:val="Hyperlink"/>
          </w:rPr>
          <w:t xml:space="preserve">AutoCorrect</w:t>
        </w:r>
      </w:hyperlink>
      <w:r>
        <w:t xml:space="preserve"> </w:t>
      </w:r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48"/>
    <w:bookmarkStart w:id="49" w:name="段落右对齐或居中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段落右对齐或居中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一般而言，段落是左对齐的，但有时我们希望某些段落右对齐或居中。本项目提供了一个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_extensions/text-align/text-align.lua</w:t>
      </w:r>
      <w:r>
        <w:rPr>
          <w:rFonts w:hint="eastAsia"/>
        </w:rPr>
        <w:t xml:space="preserve">，可以实现段落右对齐或居中，例如：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DOCX、PDF（LaTeX/Typst）、HTML 和 EPUB 等格式。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支持DOCX、PDF（LaTeX/Typst）、HTML和EPUB等格式。</w:t>
      </w:r>
    </w:p>
    <w:p>
      <w:pPr>
        <w:pStyle w:val="BodyText"/>
      </w:pPr>
      <w:r>
        <w:rPr>
          <w:rFonts w:hint="eastAsia"/>
        </w:rPr>
        <w:t xml:space="preserve">2025年10月27日</w:t>
      </w:r>
    </w:p>
    <w:p>
      <w:pPr>
        <w:pStyle w:val="BodyText"/>
      </w:pPr>
      <w:r>
        <w:rPr>
          <w:rFonts w:hint="eastAsia"/>
        </w:rPr>
        <w:t xml:space="preserve">如果希望段落居中，只需使用</w:t>
      </w:r>
      <w:r>
        <w:rPr>
          <w:rStyle w:val="VerbatimChar"/>
        </w:rPr>
        <w:t xml:space="preserve">.center</w:t>
      </w:r>
      <w:r>
        <w:rPr>
          <w:rFonts w:hint="eastAsia"/>
        </w:rPr>
        <w:t xml:space="preserve">类：</w:t>
      </w:r>
    </w:p>
    <w:p>
      <w:pPr>
        <w:pStyle w:val="SourceCode"/>
      </w:pPr>
      <w:r>
        <w:rPr>
          <w:rStyle w:val="NormalTok"/>
        </w:rPr>
        <w:t xml:space="preserve">::: {.center}</w:t>
      </w:r>
      <w:r>
        <w:br/>
      </w:r>
      <w:r>
        <w:rPr>
          <w:rStyle w:val="NormalTok"/>
        </w:rPr>
        <w:t xml:space="preserve">这段文字会水平居中显示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这段文字会水平居中显示</w:t>
      </w:r>
    </w:p>
    <w:bookmarkEnd w:id="49"/>
    <w:bookmarkStart w:id="55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_extensions/custom-fonts/custom-fonts.lua</w:t>
      </w:r>
      <w:r>
        <w:rPr>
          <w:rFonts w:hint="eastAsia"/>
        </w:rPr>
        <w:t xml:space="preserve">，可以实现在DOCX、PDF（LaTeX/Typst）、HTML和EPUB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54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50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50"/>
    <w:bookmarkStart w:id="51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51"/>
    <w:bookmarkStart w:id="52" w:name="pdf-格式typst"/>
    <w:p>
      <w:pPr>
        <w:pStyle w:val="Heading3"/>
      </w:pPr>
      <w:r>
        <w:t xml:space="preserve">7.1.3 PDF </w:t>
      </w:r>
      <w:r>
        <w:rPr>
          <w:rFonts w:hint="eastAsia"/>
        </w:rPr>
        <w:t xml:space="preserve">格式（Typst）</w:t>
      </w:r>
    </w:p>
    <w:p>
      <w:pPr>
        <w:pStyle w:val="BodyText"/>
      </w:pPr>
      <w:r>
        <w:rPr>
          <w:rFonts w:hint="eastAsia"/>
        </w:rPr>
        <w:t xml:space="preserve">通过Typst的</w:t>
      </w:r>
      <w:r>
        <w:rPr>
          <w:rStyle w:val="VerbatimChar"/>
        </w:rPr>
        <w:t xml:space="preserve">#text(font: "...")[...]</w:t>
      </w:r>
      <w:r>
        <w:rPr>
          <w:rFonts w:hint="eastAsia"/>
        </w:rPr>
        <w:t xml:space="preserve">语法直接切换字体，渲染时会写入</w:t>
      </w:r>
      <w:r>
        <w:rPr>
          <w:rStyle w:val="VerbatimChar"/>
        </w:rPr>
        <w:t xml:space="preserve">custom.typst</w:t>
      </w:r>
      <w:r>
        <w:rPr>
          <w:rFonts w:hint="eastAsia"/>
        </w:rPr>
        <w:t xml:space="preserve">中声明的字体：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#text(font: "FZFangSong-Z02")[...]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#text(font: "FZKai-Z03")[...]</w:t>
      </w:r>
    </w:p>
    <w:bookmarkEnd w:id="52"/>
    <w:bookmarkStart w:id="53" w:name="html-和-epub-格式"/>
    <w:p>
      <w:pPr>
        <w:pStyle w:val="Heading3"/>
      </w:pPr>
      <w:r>
        <w:t xml:space="preserve">7.1.4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53"/>
    <w:bookmarkEnd w:id="54"/>
    <w:bookmarkEnd w:id="55"/>
    <w:bookmarkStart w:id="56" w:name="移除首段样式"/>
    <w:p>
      <w:pPr>
        <w:pStyle w:val="Heading1"/>
      </w:pPr>
      <w:r>
        <w:t xml:space="preserve">8. </w:t>
      </w:r>
      <w:r>
        <w:rPr>
          <w:rFonts w:hint="eastAsia"/>
        </w:rPr>
        <w:t xml:space="preserve">移除首段样式</w:t>
      </w:r>
    </w:p>
    <w:p>
      <w:pPr>
        <w:pStyle w:val="BodyText"/>
      </w:pPr>
      <w:r>
        <w:rPr>
          <w:rFonts w:hint="eastAsia"/>
        </w:rPr>
        <w:t xml:space="preserve">在Pandoc生成的Word文档中，章节的第一段样式为</w:t>
      </w:r>
      <w:r>
        <w:rPr>
          <w:rStyle w:val="VerbatimChar"/>
        </w:rPr>
        <w:t xml:space="preserve">First Paragraph</w:t>
      </w:r>
      <w:r>
        <w:rPr>
          <w:rFonts w:hint="eastAsia"/>
        </w:rPr>
        <w:t xml:space="preserve">，这在英文写作中是需要的，因为英文文章的首段样式和其他段落样式不同，比如首段不缩进，而其他段落则缩进。但是在中文写作中，首段样式和其他段落样式是相同的，因此需要移除首段样式。</w:t>
      </w:r>
    </w:p>
    <w:p>
      <w:pPr>
        <w:pStyle w:val="BodyText"/>
      </w:pPr>
      <w:r>
        <w:rPr>
          <w:rFonts w:hint="eastAsia"/>
        </w:rPr>
        <w:t xml:space="preserve">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_extensions/no-first-paragraph/no-first-paragraph.lua</w:t>
      </w:r>
      <w:r>
        <w:rPr>
          <w:rFonts w:hint="eastAsia"/>
        </w:rPr>
        <w:t xml:space="preserve">来实现这个需求，直接在</w:t>
      </w:r>
      <w:r>
        <w:rPr>
          <w:rStyle w:val="VerbatimChar"/>
        </w:rPr>
        <w:t xml:space="preserve">_quarto.yml</w:t>
      </w:r>
      <w:r>
        <w:rPr>
          <w:rFonts w:hint="eastAsia"/>
        </w:rPr>
        <w:t xml:space="preserve">中添加这个filter即可。</w:t>
      </w:r>
    </w:p>
    <w:bookmarkEnd w:id="56"/>
    <w:bookmarkStart w:id="268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267" w:name="refs"/>
    <w:bookmarkStart w:id="58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57">
        <w:r>
          <w:rPr>
            <w:rStyle w:val="Hyperlink"/>
          </w:rPr>
          <w:t xml:space="preserve">10.1086/700936</w:t>
        </w:r>
      </w:hyperlink>
      <w:r>
        <w:t xml:space="preserve">.</w:t>
      </w:r>
    </w:p>
    <w:bookmarkEnd w:id="58"/>
    <w:bookmarkStart w:id="60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59">
        <w:r>
          <w:rPr>
            <w:rStyle w:val="Hyperlink"/>
          </w:rPr>
          <w:t xml:space="preserve">https://github.com/quarto-dev/quarto-cli</w:t>
        </w:r>
      </w:hyperlink>
      <w:r>
        <w:t xml:space="preserve">.</w:t>
      </w:r>
    </w:p>
    <w:bookmarkEnd w:id="60"/>
    <w:bookmarkStart w:id="62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1">
        <w:r>
          <w:rPr>
            <w:rStyle w:val="Hyperlink"/>
          </w:rPr>
          <w:t xml:space="preserve">10.1080/13504851.2021.1965528</w:t>
        </w:r>
      </w:hyperlink>
      <w:r>
        <w:t xml:space="preserve">.</w:t>
      </w:r>
    </w:p>
    <w:bookmarkEnd w:id="62"/>
    <w:bookmarkStart w:id="64" w:name="ref-brown2023"/>
    <w:p>
      <w:pPr>
        <w:pStyle w:val="Bibliography"/>
      </w:pPr>
      <w:r>
        <w:t xml:space="preserve">Brown T G, 2023. Laws of the land: Fengshui and the state in Qing dynasty China[M/OL]. Princeton: Princeton University Press. DOI:</w:t>
      </w:r>
      <w:r>
        <w:t xml:space="preserve"> </w:t>
      </w:r>
      <w:hyperlink r:id="rId63">
        <w:r>
          <w:rPr>
            <w:rStyle w:val="Hyperlink"/>
          </w:rPr>
          <w:t xml:space="preserve">10.1515/9780691246727</w:t>
        </w:r>
      </w:hyperlink>
      <w:r>
        <w:t xml:space="preserve">.</w:t>
      </w:r>
    </w:p>
    <w:bookmarkEnd w:id="64"/>
    <w:bookmarkStart w:id="66" w:name="ref-chatwin2022"/>
    <w:p>
      <w:pPr>
        <w:pStyle w:val="Bibliography"/>
      </w:pPr>
      <w:r>
        <w:t xml:space="preserve">Chatwin J, 2022. Frank Dikötter on paying attention to China’s primary sources[EB/OL]. The Wire China. (2022-11-06)[2022-11-07].</w:t>
      </w:r>
      <w:r>
        <w:t xml:space="preserve"> </w:t>
      </w:r>
      <w:hyperlink r:id="rId65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66"/>
    <w:bookmarkStart w:id="68" w:name="ref-chiang2022"/>
    <w:p>
      <w:pPr>
        <w:pStyle w:val="Bibliography"/>
      </w:pPr>
      <w:r>
        <w:t xml:space="preserve">Chiang Y L, 2022. Study gods: how the new Chinese elite prepare for global competition[M/OL]. Princeton: Princeton University Press. DOI:</w:t>
      </w:r>
      <w:r>
        <w:t xml:space="preserve"> </w:t>
      </w:r>
      <w:hyperlink r:id="rId67">
        <w:r>
          <w:rPr>
            <w:rStyle w:val="Hyperlink"/>
          </w:rPr>
          <w:t xml:space="preserve">10.1515/9780691237190</w:t>
        </w:r>
      </w:hyperlink>
      <w:r>
        <w:t xml:space="preserve">.</w:t>
      </w:r>
    </w:p>
    <w:bookmarkEnd w:id="68"/>
    <w:bookmarkStart w:id="70" w:name="ref-congdon2014"/>
    <w:p>
      <w:pPr>
        <w:pStyle w:val="Bibliography"/>
      </w:pPr>
      <w:r>
        <w:t xml:space="preserve">Congdon C, Flynn D, Redman M, 2014. Balancing</w:t>
      </w:r>
      <w:r>
        <w:t xml:space="preserve"> </w:t>
      </w:r>
      <w:r>
        <w:t xml:space="preserve">“we”</w:t>
      </w:r>
      <w:r>
        <w:t xml:space="preserve"> </w:t>
      </w:r>
      <w:r>
        <w:t xml:space="preserve">and</w:t>
      </w:r>
      <w:r>
        <w:t xml:space="preserve"> </w:t>
      </w:r>
      <w:r>
        <w:t xml:space="preserve">“me”</w:t>
      </w:r>
      <w:r>
        <w:t xml:space="preserve">: the best collaborative spaces also support solitude[J/OL]. Harvard Business Review. (2014-10-01)[2021-10-04].</w:t>
      </w:r>
      <w:r>
        <w:t xml:space="preserve"> </w:t>
      </w:r>
      <w:hyperlink r:id="rId69">
        <w:r>
          <w:rPr>
            <w:rStyle w:val="Hyperlink"/>
          </w:rPr>
          <w:t xml:space="preserve">https://hbr.org/2014/10/balancing-we-and-me-the-best-collaborative-spaces-also-support-solitude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 reviewer 2: how to reject a manuscript for arbitrary reasons[EB/OL].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 UK Biobank[J/OL].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 Chinese world order: Traditional China’s foreign relations.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</w:t>
      </w:r>
    </w:p>
    <w:bookmarkEnd w:id="79"/>
    <w:bookmarkStart w:id="81" w:name="ref-fairbank1978"/>
    <w:p>
      <w:pPr>
        <w:pStyle w:val="Bibliography"/>
      </w:pPr>
      <w:r>
        <w:t xml:space="preserve">Fairbank J K, 1978. The Cambridge history of China: late Ch’ing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 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 Cambridge history of China: Late Ch’ing 1800–1911, part 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</w:t>
      </w:r>
    </w:p>
    <w:bookmarkEnd w:id="83"/>
    <w:bookmarkStart w:id="85" w:name="ref-fletcher1978"/>
    <w:p>
      <w:pPr>
        <w:pStyle w:val="Bibliography"/>
      </w:pPr>
      <w:r>
        <w:t xml:space="preserve">Fletcher J, 1978b. Sino-Russian relations, 1800–62[G/OL]//Fairbank J K. The Cambridge history of China: Late Ch’ing 1800–1911, part 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 Ch’ing order in Mongolia, Sinkiang and Tibet[G/OL]//Fairbank J K. The Cambridge history of China: Late Ch’ing 1800–1911, part 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gill2022"/>
    <w:p>
      <w:pPr>
        <w:pStyle w:val="Bibliography"/>
      </w:pPr>
      <w:r>
        <w:t xml:space="preserve">Gill B, 2022. Daring to struggle: China’s global ambitions under Xi Jinping[M/OL]. New York: Oxford University Press. DOI:</w:t>
      </w:r>
      <w:r>
        <w:t xml:space="preserve"> </w:t>
      </w:r>
      <w:hyperlink r:id="rId96">
        <w:r>
          <w:rPr>
            <w:rStyle w:val="Hyperlink"/>
          </w:rPr>
          <w:t xml:space="preserve">10.1093/oso/9780197545645.001.0001</w:t>
        </w:r>
      </w:hyperlink>
      <w:r>
        <w:t xml:space="preserve">.</w:t>
      </w:r>
    </w:p>
    <w:bookmarkEnd w:id="97"/>
    <w:bookmarkStart w:id="99" w:name="ref-grey2021"/>
    <w:p>
      <w:pPr>
        <w:pStyle w:val="Bibliography"/>
      </w:pPr>
      <w:r>
        <w:t xml:space="preserve">Grey A, 2021. Language rights in a changing China: a national overview and Zhuang case study[M/OL]. Boston: De Gruyter Mouton. DOI:</w:t>
      </w:r>
      <w:r>
        <w:t xml:space="preserve"> </w:t>
      </w:r>
      <w:hyperlink r:id="rId98">
        <w:r>
          <w:rPr>
            <w:rStyle w:val="Hyperlink"/>
          </w:rPr>
          <w:t xml:space="preserve">10.1515/9781501512551</w:t>
        </w:r>
      </w:hyperlink>
      <w:r>
        <w:t xml:space="preserve">.</w:t>
      </w:r>
    </w:p>
    <w:bookmarkEnd w:id="99"/>
    <w:bookmarkStart w:id="101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0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1"/>
    <w:bookmarkStart w:id="103" w:name="ref-hasmath2024"/>
    <w:p>
      <w:pPr>
        <w:pStyle w:val="Bibliography"/>
      </w:pPr>
      <w:r>
        <w:t xml:space="preserve">Hasmath R, 2024. The operations of contemporary Han Chinese privilege[J/OL]. China Information, 38(1): 3–23. DOI:</w:t>
      </w:r>
      <w:r>
        <w:t xml:space="preserve"> </w:t>
      </w:r>
      <w:hyperlink r:id="rId102">
        <w:r>
          <w:rPr>
            <w:rStyle w:val="Hyperlink"/>
          </w:rPr>
          <w:t xml:space="preserve">10.1177/0920203X231193086</w:t>
        </w:r>
      </w:hyperlink>
      <w:r>
        <w:t xml:space="preserve">.</w:t>
      </w:r>
    </w:p>
    <w:bookmarkEnd w:id="103"/>
    <w:bookmarkStart w:id="105" w:name="ref-he2025"/>
    <w:p>
      <w:pPr>
        <w:pStyle w:val="Bibliography"/>
      </w:pPr>
      <w:r>
        <w:t xml:space="preserve">He D, Tang W, 2025. Constructed community: rise and engines of Chinese nationalism under Xi Jinping[J/OL]. Journal of Contemporary China, 34(153): 504–526. DOI:</w:t>
      </w:r>
      <w:r>
        <w:t xml:space="preserve"> </w:t>
      </w:r>
      <w:hyperlink r:id="rId104">
        <w:r>
          <w:rPr>
            <w:rStyle w:val="Hyperlink"/>
          </w:rPr>
          <w:t xml:space="preserve">10.1080/10670564.2024.2339303</w:t>
        </w:r>
      </w:hyperlink>
      <w:r>
        <w:t xml:space="preserve">.</w:t>
      </w:r>
    </w:p>
    <w:bookmarkEnd w:id="105"/>
    <w:bookmarkStart w:id="107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7"/>
    <w:bookmarkStart w:id="109" w:name="ref-ho1984"/>
    <w:p>
      <w:pPr>
        <w:pStyle w:val="Bibliography"/>
      </w:pPr>
      <w:r>
        <w:t xml:space="preserve">Ho S P S, 1984. Colonialism and development: Korea, Taiwan, and Kwantung[G/OL]//Myers R H, Peattie M R. The Japanese Colonial Empire, 1895–1945. Princeton: Princeton University Press: 347–398. DOI:</w:t>
      </w:r>
      <w:r>
        <w:t xml:space="preserve"> </w:t>
      </w:r>
      <w:hyperlink r:id="rId10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9"/>
    <w:bookmarkStart w:id="111" w:name="ref-holst2020"/>
    <w:p>
      <w:pPr>
        <w:pStyle w:val="Bibliography"/>
      </w:pPr>
      <w:r>
        <w:t xml:space="preserve">Holst M R, 9 workshop participants who wished to remain anonymous, 2020. How to handle abuse of power by PhD supervisors: a workshop on early career researcher’s needs[Z/OL]. (2020-11-09). DOI:</w:t>
      </w:r>
      <w:r>
        <w:t xml:space="preserve"> </w:t>
      </w:r>
      <w:hyperlink r:id="rId11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1"/>
    <w:bookmarkStart w:id="112" w:name="ref-hsu2000"/>
    <w:p>
      <w:pPr>
        <w:pStyle w:val="Bibliography"/>
      </w:pPr>
      <w:r>
        <w:t xml:space="preserve">Hsü I C Y, 2000. The rise of modern China[M]. 6th ed. New York: Oxford University Press.</w:t>
      </w:r>
    </w:p>
    <w:bookmarkEnd w:id="112"/>
    <w:bookmarkStart w:id="113" w:name="ref-hua2021a"/>
    <w:p>
      <w:pPr>
        <w:pStyle w:val="Bibliography"/>
      </w:pPr>
      <w:r>
        <w:t xml:space="preserve">Hua R, 2021. Peasants versus empires: transnational civil justice and national legal decolonization in Manchuria, 1881–1951[D]. PhD thesis. Cambridge, MA: Harvard University.</w:t>
      </w:r>
    </w:p>
    <w:bookmarkEnd w:id="113"/>
    <w:bookmarkStart w:id="115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“China’s Destiny”</w:t>
      </w:r>
      <w:r>
        <w:t xml:space="preserve">[G/OL]//Chiang K. China’s destiny and Chinese economic theory. Leiden: Brill: 9–25. DOI:</w:t>
      </w:r>
      <w:r>
        <w:t xml:space="preserve"> </w:t>
      </w:r>
      <w:hyperlink r:id="rId11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5"/>
    <w:bookmarkStart w:id="117" w:name="ref-kang2025"/>
    <w:p>
      <w:pPr>
        <w:pStyle w:val="Bibliography"/>
      </w:pPr>
      <w:r>
        <w:t xml:space="preserve">Kang D C, Wong J S H, Chan Z T, 2025. What does China want?[J/OL]. International Security, 50(1): 46–81. DOI:</w:t>
      </w:r>
      <w:r>
        <w:t xml:space="preserve"> </w:t>
      </w:r>
      <w:hyperlink r:id="rId116">
        <w:r>
          <w:rPr>
            <w:rStyle w:val="Hyperlink"/>
          </w:rPr>
          <w:t xml:space="preserve">10.1162/ISEC.a.5</w:t>
        </w:r>
      </w:hyperlink>
      <w:r>
        <w:t xml:space="preserve">.</w:t>
      </w:r>
    </w:p>
    <w:bookmarkEnd w:id="117"/>
    <w:bookmarkStart w:id="119" w:name="ref-ke2024"/>
    <w:p>
      <w:pPr>
        <w:pStyle w:val="Bibliography"/>
      </w:pPr>
      <w:r>
        <w:t xml:space="preserve">Ke X, Li S, 2024. Ritual narratives of infrastructure ceremonies: time, demands, and relations in modern Chinese history[J/OL]. China Information, 38(1): 68–89. DOI:</w:t>
      </w:r>
      <w:r>
        <w:t xml:space="preserve"> </w:t>
      </w:r>
      <w:hyperlink r:id="rId118">
        <w:r>
          <w:rPr>
            <w:rStyle w:val="Hyperlink"/>
          </w:rPr>
          <w:t xml:space="preserve">10.1177/0920203X231220191</w:t>
        </w:r>
      </w:hyperlink>
      <w:r>
        <w:t xml:space="preserve">.</w:t>
      </w:r>
    </w:p>
    <w:bookmarkEnd w:id="119"/>
    <w:bookmarkStart w:id="121" w:name="ref-ritvikmath2019"/>
    <w:p>
      <w:pPr>
        <w:pStyle w:val="Bibliography"/>
      </w:pPr>
      <w:r>
        <w:t xml:space="preserve">Kharkar R, 2019. Vector auto regression: time series talk[Z/OL]. (2019-10-03)[2020-04-01].</w:t>
      </w:r>
      <w:r>
        <w:t xml:space="preserve"> </w:t>
      </w:r>
      <w:hyperlink r:id="rId12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21"/>
    <w:bookmarkStart w:id="123" w:name="ref-kim2018"/>
    <w:p>
      <w:pPr>
        <w:pStyle w:val="Bibliography"/>
      </w:pPr>
      <w:r>
        <w:t xml:space="preserve">Kim S, Lee Y, 2018. Why do women want to be beautiful? A 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2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23"/>
    <w:bookmarkStart w:id="125" w:name="ref-kinkel2022"/>
    <w:p>
      <w:pPr>
        <w:pStyle w:val="Bibliography"/>
      </w:pPr>
      <w:r>
        <w:t xml:space="preserve">Kinkel J J, 2022. Growth and survival: an ecological analysis of court reform in urban China[M/OL]. Cambridge: Cambridge University Press. DOI:</w:t>
      </w:r>
      <w:r>
        <w:t xml:space="preserve"> </w:t>
      </w:r>
      <w:hyperlink r:id="rId124">
        <w:r>
          <w:rPr>
            <w:rStyle w:val="Hyperlink"/>
          </w:rPr>
          <w:t xml:space="preserve">10.1017/9781009086868</w:t>
        </w:r>
      </w:hyperlink>
      <w:r>
        <w:t xml:space="preserve">.</w:t>
      </w:r>
    </w:p>
    <w:bookmarkEnd w:id="125"/>
    <w:bookmarkStart w:id="127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 Pandoc Scholar[J/OL]. PeerJ Computer Science, 3: 23. DOI:</w:t>
      </w:r>
      <w:r>
        <w:t xml:space="preserve"> </w:t>
      </w:r>
      <w:hyperlink r:id="rId126">
        <w:r>
          <w:rPr>
            <w:rStyle w:val="Hyperlink"/>
          </w:rPr>
          <w:t xml:space="preserve">10.7717/peerj-cs.112</w:t>
        </w:r>
      </w:hyperlink>
      <w:r>
        <w:t xml:space="preserve">.</w:t>
      </w:r>
    </w:p>
    <w:bookmarkEnd w:id="127"/>
    <w:bookmarkStart w:id="129" w:name="ref-lavelle2011"/>
    <w:p>
      <w:pPr>
        <w:pStyle w:val="Bibliography"/>
      </w:pPr>
      <w:r>
        <w:t xml:space="preserve">Lavelle P, 2011. Cultivating empire: Zuo Zongtang’s agriculture, environment, and reconstruction in the late Qing[G/OL]//Cochran S, Pickowicz P G. China on the margins. Ithaca: Cornell University Press: 43–64. DOI:</w:t>
      </w:r>
      <w:r>
        <w:t xml:space="preserve"> </w:t>
      </w:r>
      <w:hyperlink r:id="rId128">
        <w:r>
          <w:rPr>
            <w:rStyle w:val="Hyperlink"/>
          </w:rPr>
          <w:t xml:space="preserve">10.1515/9781942242468-004</w:t>
        </w:r>
      </w:hyperlink>
      <w:r>
        <w:t xml:space="preserve">.</w:t>
      </w:r>
    </w:p>
    <w:bookmarkEnd w:id="129"/>
    <w:bookmarkStart w:id="130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47">
        <w:r>
          <w:rPr>
            <w:rStyle w:val="Hyperlink"/>
          </w:rPr>
          <w:t xml:space="preserve">https://github.com/huacnlee/autocorrect</w:t>
        </w:r>
      </w:hyperlink>
      <w:r>
        <w:t xml:space="preserve">.</w:t>
      </w:r>
    </w:p>
    <w:bookmarkEnd w:id="130"/>
    <w:bookmarkStart w:id="132" w:name="ref-li2013a"/>
    <w:p>
      <w:pPr>
        <w:pStyle w:val="Bibliography"/>
      </w:pPr>
      <w:r>
        <w:t xml:space="preserve">Li H, 2013. Reinventing modern China: imagination and authenticity in Chinese historical writing[M/OL]. Honolulu: University of Hawai‘i Press. DOI:</w:t>
      </w:r>
      <w:r>
        <w:t xml:space="preserve"> </w:t>
      </w:r>
      <w:hyperlink r:id="rId131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32"/>
    <w:bookmarkStart w:id="134" w:name="ref-lin2023d"/>
    <w:p>
      <w:pPr>
        <w:pStyle w:val="Bibliography"/>
      </w:pPr>
      <w:r>
        <w:t xml:space="preserve">Lin C, 2023. Red tourism in China: commodification of propaganda[M/OL]. London: Routledge. DOI:</w:t>
      </w:r>
      <w:r>
        <w:t xml:space="preserve"> </w:t>
      </w:r>
      <w:hyperlink r:id="rId133">
        <w:r>
          <w:rPr>
            <w:rStyle w:val="Hyperlink"/>
          </w:rPr>
          <w:t xml:space="preserve">10.4324/9781003231783</w:t>
        </w:r>
      </w:hyperlink>
      <w:r>
        <w:t xml:space="preserve">.</w:t>
      </w:r>
    </w:p>
    <w:bookmarkEnd w:id="134"/>
    <w:bookmarkStart w:id="136" w:name="ref-lin2024"/>
    <w:p>
      <w:pPr>
        <w:pStyle w:val="Bibliography"/>
      </w:pPr>
      <w:r>
        <w:t xml:space="preserve">Lin Z, Lee C, Kaur S, 2024. The socialization of nationalist and socialist values: construction of the model youth in a Chinese reality TV show[J/OL]. China Information, 38(3): 384–404. DOI:</w:t>
      </w:r>
      <w:r>
        <w:t xml:space="preserve"> </w:t>
      </w:r>
      <w:hyperlink r:id="rId135">
        <w:r>
          <w:rPr>
            <w:rStyle w:val="Hyperlink"/>
          </w:rPr>
          <w:t xml:space="preserve">10.1177/0920203X241241370</w:t>
        </w:r>
      </w:hyperlink>
      <w:r>
        <w:t xml:space="preserve">.</w:t>
      </w:r>
    </w:p>
    <w:bookmarkEnd w:id="136"/>
    <w:bookmarkStart w:id="13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3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38">
        <w:r>
          <w:rPr>
            <w:rStyle w:val="Hyperlink"/>
          </w:rPr>
          <w:t xml:space="preserve">10.5281/zenodo.13894261</w:t>
        </w:r>
      </w:hyperlink>
      <w:r>
        <w:t xml:space="preserve">.</w:t>
      </w:r>
    </w:p>
    <w:bookmarkEnd w:id="139"/>
    <w:bookmarkStart w:id="141" w:name="ref-meng2024"/>
    <w:p>
      <w:pPr>
        <w:pStyle w:val="Bibliography"/>
      </w:pPr>
      <w:r>
        <w:t xml:space="preserve">Meng W, Wang F, Xin G, 2024. Making agile governance work: the community grid as a</w:t>
      </w:r>
      <w:r>
        <w:t xml:space="preserve"> </w:t>
      </w:r>
      <w:r>
        <w:t xml:space="preserve">“safety valve”</w:t>
      </w:r>
      <w:r>
        <w:t xml:space="preserve"> </w:t>
      </w:r>
      <w:r>
        <w:t xml:space="preserve">institution during the COVID-19 pandemic[J/OL]. Journal of Chinese Governance, 9(2): 197–220. DOI:</w:t>
      </w:r>
      <w:r>
        <w:t xml:space="preserve"> </w:t>
      </w:r>
      <w:hyperlink r:id="rId140">
        <w:r>
          <w:rPr>
            <w:rStyle w:val="Hyperlink"/>
          </w:rPr>
          <w:t xml:space="preserve">10.1080/23812346.2024.2332005</w:t>
        </w:r>
      </w:hyperlink>
      <w:r>
        <w:t xml:space="preserve">.</w:t>
      </w:r>
    </w:p>
    <w:bookmarkEnd w:id="141"/>
    <w:bookmarkStart w:id="143" w:name="ref-mittelbach2022"/>
    <w:p>
      <w:pPr>
        <w:pStyle w:val="Bibliography"/>
      </w:pPr>
      <w:r>
        <w:t xml:space="preserve">Mittelbach F, 2022. Tagged and accessible PDF with LaTeX[Z/OL]. (2022-09)[2023-02-10].</w:t>
      </w:r>
      <w:r>
        <w:t xml:space="preserve"> </w:t>
      </w:r>
      <w:hyperlink r:id="rId14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43"/>
    <w:bookmarkStart w:id="144" w:name="ref-mullaney2017"/>
    <w:p>
      <w:pPr>
        <w:pStyle w:val="Bibliography"/>
      </w:pPr>
      <w:r>
        <w:t xml:space="preserve">Mullaney T S, 2017. The Chinese typewriter: a history[M]. Cambridge, MA: The MIT Press.</w:t>
      </w:r>
    </w:p>
    <w:bookmarkEnd w:id="144"/>
    <w:bookmarkStart w:id="146" w:name="ref-ng2020"/>
    <w:p>
      <w:pPr>
        <w:pStyle w:val="Bibliography"/>
      </w:pPr>
      <w:r>
        <w:t xml:space="preserve">Ng E, 2020. A time of lost gods: mediumship, madness, and the ghost after Mao[M/OL]. Oakland: University of California Press. DOI:</w:t>
      </w:r>
      <w:r>
        <w:t xml:space="preserve"> </w:t>
      </w:r>
      <w:hyperlink r:id="rId145">
        <w:r>
          <w:rPr>
            <w:rStyle w:val="Hyperlink"/>
          </w:rPr>
          <w:t xml:space="preserve">10.1525/9780520972636</w:t>
        </w:r>
      </w:hyperlink>
      <w:r>
        <w:t xml:space="preserve">.</w:t>
      </w:r>
    </w:p>
    <w:bookmarkEnd w:id="146"/>
    <w:bookmarkStart w:id="148" w:name="ref-pang2004"/>
    <w:p>
      <w:pPr>
        <w:pStyle w:val="Bibliography"/>
      </w:pPr>
      <w:r>
        <w:t xml:space="preserve">Pang L, Brauw A de, Rozelle S, 2004. Working until you drop: the elderly of rural China[J/OL]. The China Journal, 52: 73–94. DOI:</w:t>
      </w:r>
      <w:r>
        <w:t xml:space="preserve"> </w:t>
      </w:r>
      <w:hyperlink r:id="rId147">
        <w:r>
          <w:rPr>
            <w:rStyle w:val="Hyperlink"/>
          </w:rPr>
          <w:t xml:space="preserve">10.2307/4127885</w:t>
        </w:r>
      </w:hyperlink>
      <w:r>
        <w:t xml:space="preserve">.</w:t>
      </w:r>
    </w:p>
    <w:bookmarkEnd w:id="148"/>
    <w:bookmarkStart w:id="149" w:name="ref-pantucci2022"/>
    <w:p>
      <w:pPr>
        <w:pStyle w:val="Bibliography"/>
      </w:pPr>
      <w:r>
        <w:t xml:space="preserve">Pantucci R, Petersen A, 2022. Sinostan: China’s inadvertent empire[M]. New York: Oxford University Press.</w:t>
      </w:r>
    </w:p>
    <w:bookmarkEnd w:id="149"/>
    <w:bookmarkStart w:id="151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50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51"/>
    <w:bookmarkStart w:id="153" w:name="ref-qiaoan2022"/>
    <w:p>
      <w:pPr>
        <w:pStyle w:val="Bibliography"/>
      </w:pPr>
      <w:r>
        <w:t xml:space="preserve">Qiaoan R, 2022. Civil society in China: how society speaks to the state[M/OL]. London: Routledge. DOI:</w:t>
      </w:r>
      <w:r>
        <w:t xml:space="preserve"> </w:t>
      </w:r>
      <w:hyperlink r:id="rId152">
        <w:r>
          <w:rPr>
            <w:rStyle w:val="Hyperlink"/>
          </w:rPr>
          <w:t xml:space="preserve">10.4324/9781003049319</w:t>
        </w:r>
      </w:hyperlink>
      <w:r>
        <w:t xml:space="preserve">.</w:t>
      </w:r>
    </w:p>
    <w:bookmarkEnd w:id="153"/>
    <w:bookmarkStart w:id="155" w:name="ref-rentola2024"/>
    <w:p>
      <w:pPr>
        <w:pStyle w:val="Bibliography"/>
      </w:pPr>
      <w:r>
        <w:t xml:space="preserve">Rentola K, 2024. How Finland survived Stalin: from winter war to Cold War, 1939–1950[M/OL]. Robinson R, tran. New Haven: Yale University Press. DOI:</w:t>
      </w:r>
      <w:r>
        <w:t xml:space="preserve"> </w:t>
      </w:r>
      <w:hyperlink r:id="rId154">
        <w:r>
          <w:rPr>
            <w:rStyle w:val="Hyperlink"/>
          </w:rPr>
          <w:t xml:space="preserve">10.12987/9780300274875</w:t>
        </w:r>
      </w:hyperlink>
      <w:r>
        <w:t xml:space="preserve">.</w:t>
      </w:r>
    </w:p>
    <w:bookmarkEnd w:id="155"/>
    <w:bookmarkStart w:id="157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5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57"/>
    <w:bookmarkStart w:id="159" w:name="ref-segawa2022"/>
    <w:p>
      <w:pPr>
        <w:pStyle w:val="Bibliography"/>
      </w:pPr>
      <w:r>
        <w:t xml:space="preserve">Segawa M, 2022. Ancestral genealogies in modern China: a study of lineage organizations in Hong Kong and mainland China[M/OL]. London: Routledge. DOI:</w:t>
      </w:r>
      <w:r>
        <w:t xml:space="preserve"> </w:t>
      </w:r>
      <w:hyperlink r:id="rId158">
        <w:r>
          <w:rPr>
            <w:rStyle w:val="Hyperlink"/>
          </w:rPr>
          <w:t xml:space="preserve">10.4324/9781003240365</w:t>
        </w:r>
      </w:hyperlink>
      <w:r>
        <w:t xml:space="preserve">.</w:t>
      </w:r>
    </w:p>
    <w:bookmarkEnd w:id="159"/>
    <w:bookmarkStart w:id="161" w:name="ref-shi2021a"/>
    <w:p>
      <w:pPr>
        <w:pStyle w:val="Bibliography"/>
      </w:pPr>
      <w:r>
        <w:t xml:space="preserve">Shi P, 2021. On Li Hongzhang’s coastal defense measures under the Sino-Japanese conflict in the 1870s[C/OL]//2nd International Conference on Language, Art and Cultural Exchange (ICLACE 2021). Atlantis Press: 574–579. DOI:</w:t>
      </w:r>
      <w:r>
        <w:t xml:space="preserve"> </w:t>
      </w:r>
      <w:hyperlink r:id="rId160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61"/>
    <w:bookmarkStart w:id="162" w:name="ref-spence2013"/>
    <w:p>
      <w:pPr>
        <w:pStyle w:val="Bibliography"/>
      </w:pPr>
      <w:r>
        <w:t xml:space="preserve">Spence J D, 2013. The search for modern China[M]. 3rd ed. New York: W. W. Norton &amp; Company.</w:t>
      </w:r>
    </w:p>
    <w:bookmarkEnd w:id="162"/>
    <w:bookmarkStart w:id="164" w:name="ref-sung2024"/>
    <w:p>
      <w:pPr>
        <w:pStyle w:val="Bibliography"/>
      </w:pPr>
      <w:r>
        <w:t xml:space="preserve">Sung D, 2024. Women of Chinese modern art: gender and reforming traditions in national and global spheres, 1900s–1930s[M/OL]. Berlin: De Gruyter Oldenbourg. DOI:</w:t>
      </w:r>
      <w:r>
        <w:t xml:space="preserve"> </w:t>
      </w:r>
      <w:hyperlink r:id="rId163">
        <w:r>
          <w:rPr>
            <w:rStyle w:val="Hyperlink"/>
          </w:rPr>
          <w:t xml:space="preserve">10.1515/9783110798920</w:t>
        </w:r>
      </w:hyperlink>
      <w:r>
        <w:t xml:space="preserve">.</w:t>
      </w:r>
    </w:p>
    <w:bookmarkEnd w:id="164"/>
    <w:bookmarkStart w:id="166" w:name="ref-tan2023a"/>
    <w:p>
      <w:pPr>
        <w:pStyle w:val="Bibliography"/>
      </w:pPr>
      <w:r>
        <w:t xml:space="preserve">Tan J, 2023. Digital masquerade: feminist rights and queer media in China[M/OL]. New York: New York University Press. DOI:</w:t>
      </w:r>
      <w:r>
        <w:t xml:space="preserve"> </w:t>
      </w:r>
      <w:hyperlink r:id="rId165">
        <w:r>
          <w:rPr>
            <w:rStyle w:val="Hyperlink"/>
          </w:rPr>
          <w:t xml:space="preserve">10.18574/nyu/9781479811854.001.0001</w:t>
        </w:r>
      </w:hyperlink>
      <w:r>
        <w:t xml:space="preserve">.</w:t>
      </w:r>
    </w:p>
    <w:bookmarkEnd w:id="166"/>
    <w:bookmarkStart w:id="168" w:name="ref-tenen2014"/>
    <w:p>
      <w:pPr>
        <w:pStyle w:val="Bibliography"/>
      </w:pPr>
      <w:r>
        <w:t xml:space="preserve">Tenen D, Wythoff G, 2014. Sustainable authorship in plain text using Pandoc and Markdown[J/OL]. Programming Historian(3). DOI:</w:t>
      </w:r>
      <w:r>
        <w:t xml:space="preserve"> </w:t>
      </w:r>
      <w:hyperlink r:id="rId167">
        <w:r>
          <w:rPr>
            <w:rStyle w:val="Hyperlink"/>
          </w:rPr>
          <w:t xml:space="preserve">10.46430/phen0041</w:t>
        </w:r>
      </w:hyperlink>
      <w:r>
        <w:t xml:space="preserve">.</w:t>
      </w:r>
    </w:p>
    <w:bookmarkEnd w:id="168"/>
    <w:bookmarkStart w:id="170" w:name="ref-ungeneralassembly1962"/>
    <w:p>
      <w:pPr>
        <w:pStyle w:val="Bibliography"/>
      </w:pPr>
      <w:r>
        <w:t xml:space="preserve">UN General Assembly, 1962. General Assembly resolution 1803 (XVII) of 14 December 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69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70"/>
    <w:bookmarkStart w:id="172" w:name="ref-vincent1942"/>
    <w:p>
      <w:pPr>
        <w:pStyle w:val="Bibliography"/>
      </w:pPr>
      <w:r>
        <w:t xml:space="preserve">Vincent J C, 1942. Memorandum by the counselor of embassy in China (Vincent) to the ambassador in China (Gauss), document 192[EB/OL]. Foreign Relations of the United States: Diplomatic Papers, China. (1942-10-07)[2023-09-21].</w:t>
      </w:r>
      <w:r>
        <w:t xml:space="preserve"> </w:t>
      </w:r>
      <w:hyperlink r:id="rId171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72"/>
    <w:bookmarkStart w:id="174" w:name="ref-wang2022k"/>
    <w:p>
      <w:pPr>
        <w:pStyle w:val="Bibliography"/>
      </w:pPr>
      <w:r>
        <w:t xml:space="preserve">Wang Q E, 2022. Western historiography in Asia: circulation, critique and comparison[M/OL]. Michihiro O, Li L, eds. Berlin: De Gruyter Oldenbourg. DOI:</w:t>
      </w:r>
      <w:r>
        <w:t xml:space="preserve"> </w:t>
      </w:r>
      <w:hyperlink r:id="rId173">
        <w:r>
          <w:rPr>
            <w:rStyle w:val="Hyperlink"/>
          </w:rPr>
          <w:t xml:space="preserve">10.1515/9783110717495</w:t>
        </w:r>
      </w:hyperlink>
      <w:r>
        <w:t xml:space="preserve">.</w:t>
      </w:r>
    </w:p>
    <w:bookmarkEnd w:id="174"/>
    <w:bookmarkStart w:id="17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7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76"/>
    <w:bookmarkStart w:id="178" w:name="ref-xu2021e"/>
    <w:p>
      <w:pPr>
        <w:pStyle w:val="Bibliography"/>
      </w:pPr>
      <w:r>
        <w:t xml:space="preserve">Xu A, 2021. From culturalist nationalism to conservatism: origins and diversification of conservative ideas in Republican China[M/OL]. Berlin: De Gruyter Oldenbourg. DOI:</w:t>
      </w:r>
      <w:r>
        <w:t xml:space="preserve"> </w:t>
      </w:r>
      <w:hyperlink r:id="rId177">
        <w:r>
          <w:rPr>
            <w:rStyle w:val="Hyperlink"/>
          </w:rPr>
          <w:t xml:space="preserve">10.1515/9783110740189</w:t>
        </w:r>
      </w:hyperlink>
      <w:r>
        <w:t xml:space="preserve">.</w:t>
      </w:r>
    </w:p>
    <w:bookmarkEnd w:id="178"/>
    <w:bookmarkStart w:id="180" w:name="ref-yang2023e"/>
    <w:p>
      <w:pPr>
        <w:pStyle w:val="Bibliography"/>
      </w:pPr>
      <w:r>
        <w:t xml:space="preserve">Yang Z, Li L, Lin K, et al., 2023. The dawn of LMMs: preliminary explorations with GPT-4V(ision)[EB/OL]. (2023-09-29). DOI:</w:t>
      </w:r>
      <w:r>
        <w:t xml:space="preserve"> </w:t>
      </w:r>
      <w:hyperlink r:id="rId179">
        <w:r>
          <w:rPr>
            <w:rStyle w:val="Hyperlink"/>
          </w:rPr>
          <w:t xml:space="preserve">10.48550/arXiv.2309.17421</w:t>
        </w:r>
      </w:hyperlink>
      <w:r>
        <w:t xml:space="preserve">.</w:t>
      </w:r>
    </w:p>
    <w:bookmarkEnd w:id="180"/>
    <w:bookmarkStart w:id="182" w:name="ref-zarrow2012"/>
    <w:p>
      <w:pPr>
        <w:pStyle w:val="Bibliography"/>
      </w:pPr>
      <w:r>
        <w:t xml:space="preserve">Zarrow P, 2012. After empire: the conceptual transformation of the Chinese state, 1885–1924[M/OL]. Stanford: Stanford University Press. DOI:</w:t>
      </w:r>
      <w:r>
        <w:t xml:space="preserve"> </w:t>
      </w:r>
      <w:hyperlink r:id="rId18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82"/>
    <w:bookmarkStart w:id="18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83"/>
    <w:bookmarkStart w:id="18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84">
        <w:r>
          <w:rPr>
            <w:rStyle w:val="Hyperlink"/>
          </w:rPr>
          <w:t xml:space="preserve">10.11821/dlxb202004014</w:t>
        </w:r>
      </w:hyperlink>
      <w:r>
        <w:t xml:space="preserve">.</w:t>
      </w:r>
    </w:p>
    <w:bookmarkEnd w:id="185"/>
    <w:bookmarkStart w:id="186" w:name="ref-chichuang2008"/>
    <w:p>
      <w:pPr>
        <w:pStyle w:val="Bibliography"/>
      </w:pPr>
      <w:r>
        <w:rPr>
          <w:rFonts w:hint="eastAsia"/>
        </w:rPr>
        <w:t xml:space="preserve">迟闯,</w:t>
      </w:r>
      <w:r>
        <w:t xml:space="preserve"> 2008. </w:t>
      </w:r>
      <w:r>
        <w:rPr>
          <w:rFonts w:hint="eastAsia"/>
        </w:rPr>
        <w:t xml:space="preserve">俄罗斯远东地区自然资源开发利用与中俄资源合作研究[D].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长春:</w:t>
      </w:r>
      <w:r>
        <w:t xml:space="preserve"> </w:t>
      </w:r>
      <w:r>
        <w:rPr>
          <w:rFonts w:hint="eastAsia"/>
        </w:rPr>
        <w:t xml:space="preserve">吉林大学.</w:t>
      </w:r>
    </w:p>
    <w:bookmarkEnd w:id="186"/>
    <w:bookmarkStart w:id="18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87"/>
    <w:bookmarkStart w:id="188" w:name="ref-duzhongyuan1936"/>
    <w:p>
      <w:pPr>
        <w:pStyle w:val="Bibliography"/>
      </w:pPr>
      <w:r>
        <w:rPr>
          <w:rFonts w:hint="eastAsia"/>
        </w:rPr>
        <w:t xml:space="preserve">杜重遠,</w:t>
      </w:r>
      <w:r>
        <w:t xml:space="preserve"> 1936. </w:t>
      </w:r>
      <w:r>
        <w:rPr>
          <w:rFonts w:hint="eastAsia"/>
        </w:rPr>
        <w:t xml:space="preserve">獄中雜感[M].</w:t>
      </w:r>
    </w:p>
    <w:bookmarkEnd w:id="188"/>
    <w:bookmarkStart w:id="189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</w:p>
    <w:bookmarkEnd w:id="189"/>
    <w:bookmarkStart w:id="190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90"/>
    <w:bookmarkStart w:id="191" w:name="ref-gaoyue2011"/>
    <w:p>
      <w:pPr>
        <w:pStyle w:val="Bibliography"/>
      </w:pPr>
      <w:r>
        <w:rPr>
          <w:rFonts w:hint="eastAsia"/>
        </w:rPr>
        <w:t xml:space="preserve">高月,</w:t>
      </w:r>
      <w:r>
        <w:t xml:space="preserve"> 2011. </w:t>
      </w:r>
      <w:r>
        <w:rPr>
          <w:rFonts w:hint="eastAsia"/>
        </w:rPr>
        <w:t xml:space="preserve">清末东北新政研究——近代中国民族国家构建视野下的疆域统合[D].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191"/>
    <w:bookmarkStart w:id="19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92">
        <w:r>
          <w:rPr>
            <w:rStyle w:val="Hyperlink"/>
          </w:rPr>
          <w:t xml:space="preserve">10.19744/j.cnki.11-1235/f.2020.0055</w:t>
        </w:r>
      </w:hyperlink>
      <w:r>
        <w:t xml:space="preserve">.</w:t>
      </w:r>
    </w:p>
    <w:bookmarkEnd w:id="193"/>
    <w:bookmarkStart w:id="19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</w:p>
    <w:bookmarkEnd w:id="194"/>
    <w:bookmarkStart w:id="19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95"/>
    <w:bookmarkStart w:id="19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96"/>
    <w:bookmarkStart w:id="197" w:name="ref-gongfu2004"/>
    <w:p>
      <w:pPr>
        <w:pStyle w:val="Bibliography"/>
      </w:pPr>
      <w:r>
        <w:rPr>
          <w:rFonts w:hint="eastAsia"/>
        </w:rPr>
        <w:t xml:space="preserve">宫富,</w:t>
      </w:r>
      <w:r>
        <w:t xml:space="preserve"> 2004. </w:t>
      </w:r>
      <w:r>
        <w:rPr>
          <w:rFonts w:hint="eastAsia"/>
        </w:rPr>
        <w:t xml:space="preserve">民族想象与国家叙事——</w:t>
      </w:r>
      <w:r>
        <w:rPr>
          <w:rFonts w:hint="eastAsia"/>
        </w:rPr>
        <w:t xml:space="preserve">“战国策派”</w:t>
      </w:r>
      <w:r>
        <w:rPr>
          <w:rFonts w:hint="eastAsia"/>
        </w:rPr>
        <w:t xml:space="preserve">的文化思想与文学形态研究[D].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197"/>
    <w:bookmarkStart w:id="199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98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99"/>
    <w:bookmarkStart w:id="200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</w:p>
    <w:bookmarkEnd w:id="200"/>
    <w:bookmarkStart w:id="202" w:name="ref-hudifei2005"/>
    <w:p>
      <w:pPr>
        <w:pStyle w:val="Bibliography"/>
      </w:pPr>
      <w:r>
        <w:rPr>
          <w:rFonts w:hint="eastAsia"/>
        </w:rPr>
        <w:t xml:space="preserve">胡涤非,</w:t>
      </w:r>
      <w:r>
        <w:t xml:space="preserve"> 2005. </w:t>
      </w:r>
      <w:r>
        <w:rPr>
          <w:rFonts w:hint="eastAsia"/>
        </w:rPr>
        <w:t xml:space="preserve">近代中国政治变迁中的民族主义[D/OL].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1">
        <w:r>
          <w:rPr>
            <w:rStyle w:val="Hyperlink"/>
          </w:rPr>
          <w:t xml:space="preserve">10.7666/d.y650887</w:t>
        </w:r>
      </w:hyperlink>
      <w:r>
        <w:t xml:space="preserve">.</w:t>
      </w:r>
    </w:p>
    <w:bookmarkEnd w:id="202"/>
    <w:bookmarkStart w:id="203" w:name="ref-huizeyu2013"/>
    <w:p>
      <w:pPr>
        <w:pStyle w:val="Bibliography"/>
      </w:pPr>
      <w:r>
        <w:rPr>
          <w:rFonts w:hint="eastAsia"/>
        </w:rPr>
        <w:t xml:space="preserve">惠泽宇,</w:t>
      </w:r>
      <w:r>
        <w:t xml:space="preserve"> 2013. </w:t>
      </w:r>
      <w:r>
        <w:rPr>
          <w:rFonts w:hint="eastAsia"/>
        </w:rPr>
        <w:t xml:space="preserve">民族地区资源开发中少数民族利益保障研究[D].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</w:p>
    <w:bookmarkEnd w:id="203"/>
    <w:bookmarkStart w:id="204" w:name="ref-jiajianfei2002"/>
    <w:p>
      <w:pPr>
        <w:pStyle w:val="Bibliography"/>
      </w:pPr>
      <w:r>
        <w:rPr>
          <w:rFonts w:hint="eastAsia"/>
        </w:rPr>
        <w:t xml:space="preserve">贾建飞,</w:t>
      </w:r>
      <w:r>
        <w:t xml:space="preserve"> 2002. </w:t>
      </w:r>
      <w:r>
        <w:rPr>
          <w:rFonts w:hint="eastAsia"/>
        </w:rPr>
        <w:t xml:space="preserve">晚清西北史地学研究[D].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204"/>
    <w:bookmarkStart w:id="20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</w:p>
    <w:bookmarkEnd w:id="205"/>
    <w:bookmarkStart w:id="20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207"/>
    <w:bookmarkStart w:id="20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20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209"/>
    <w:bookmarkStart w:id="21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10"/>
    <w:bookmarkStart w:id="21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</w:p>
    <w:bookmarkEnd w:id="211"/>
    <w:bookmarkStart w:id="212" w:name="ref-lixiaopeng2014"/>
    <w:p>
      <w:pPr>
        <w:pStyle w:val="Bibliography"/>
      </w:pPr>
      <w:r>
        <w:rPr>
          <w:rFonts w:hint="eastAsia"/>
        </w:rPr>
        <w:t xml:space="preserve">李晓鹏,</w:t>
      </w:r>
      <w:r>
        <w:t xml:space="preserve"> 2014. </w:t>
      </w:r>
      <w:r>
        <w:rPr>
          <w:rFonts w:hint="eastAsia"/>
        </w:rPr>
        <w:t xml:space="preserve">迈向后现代国家：现代国家建构及其未来[D].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</w:p>
    <w:bookmarkEnd w:id="212"/>
    <w:bookmarkStart w:id="213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13"/>
    <w:bookmarkStart w:id="215" w:name="ref-linshijun2011"/>
    <w:p>
      <w:pPr>
        <w:pStyle w:val="Bibliography"/>
      </w:pPr>
      <w:r>
        <w:rPr>
          <w:rFonts w:hint="eastAsia"/>
        </w:rPr>
        <w:t xml:space="preserve">林士俊,</w:t>
      </w:r>
      <w:r>
        <w:t xml:space="preserve"> 2011. </w:t>
      </w:r>
      <w:r>
        <w:rPr>
          <w:rFonts w:hint="eastAsia"/>
        </w:rPr>
        <w:t xml:space="preserve">清末边疆治理与国家整合研究[D/OL].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  <w:r>
        <w:t xml:space="preserve"> DOI:</w:t>
      </w:r>
      <w:r>
        <w:t xml:space="preserve"> </w:t>
      </w:r>
      <w:hyperlink r:id="rId214">
        <w:r>
          <w:rPr>
            <w:rStyle w:val="Hyperlink"/>
          </w:rPr>
          <w:t xml:space="preserve">10.7666/d.y1821225</w:t>
        </w:r>
      </w:hyperlink>
      <w:r>
        <w:t xml:space="preserve">.</w:t>
      </w:r>
    </w:p>
    <w:bookmarkEnd w:id="215"/>
    <w:bookmarkStart w:id="217" w:name="ref-liuchao2005"/>
    <w:p>
      <w:pPr>
        <w:pStyle w:val="Bibliography"/>
      </w:pPr>
      <w:r>
        <w:rPr>
          <w:rFonts w:hint="eastAsia"/>
        </w:rPr>
        <w:t xml:space="preserve">刘超,</w:t>
      </w:r>
      <w:r>
        <w:t xml:space="preserve"> 2005. </w:t>
      </w:r>
      <w:r>
        <w:rPr>
          <w:rFonts w:hint="eastAsia"/>
        </w:rPr>
        <w:t xml:space="preserve">民族主义与中国历史书写——清末民国时期中学中国历史教科书研究[D/OL].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16">
        <w:r>
          <w:rPr>
            <w:rStyle w:val="Hyperlink"/>
          </w:rPr>
          <w:t xml:space="preserve">10.7666/d.y769580</w:t>
        </w:r>
      </w:hyperlink>
      <w:r>
        <w:t xml:space="preserve">.</w:t>
      </w:r>
    </w:p>
    <w:bookmarkEnd w:id="217"/>
    <w:bookmarkStart w:id="21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218"/>
    <w:bookmarkStart w:id="219" w:name="ref-liuxitao2008"/>
    <w:p>
      <w:pPr>
        <w:pStyle w:val="Bibliography"/>
      </w:pPr>
      <w:r>
        <w:rPr>
          <w:rFonts w:hint="eastAsia"/>
        </w:rPr>
        <w:t xml:space="preserve">刘喜韬,</w:t>
      </w:r>
      <w:r>
        <w:t xml:space="preserve"> 2008. </w:t>
      </w:r>
      <w:r>
        <w:rPr>
          <w:rFonts w:hint="eastAsia"/>
        </w:rPr>
        <w:t xml:space="preserve">新疆生产建设兵团与地方用地合作模式研究[D].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中国矿业大学.</w:t>
      </w:r>
    </w:p>
    <w:bookmarkEnd w:id="219"/>
    <w:bookmarkStart w:id="220" w:name="ref-liuye2002"/>
    <w:p>
      <w:pPr>
        <w:pStyle w:val="Bibliography"/>
      </w:pPr>
      <w:r>
        <w:rPr>
          <w:rFonts w:hint="eastAsia"/>
        </w:rPr>
        <w:t xml:space="preserve">刘晔,</w:t>
      </w:r>
      <w:r>
        <w:t xml:space="preserve"> 2002. </w:t>
      </w:r>
      <w:r>
        <w:rPr>
          <w:rFonts w:hint="eastAsia"/>
        </w:rPr>
        <w:t xml:space="preserve">迈向现代国家：知识分子与近代中国国家建设[D].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20"/>
    <w:bookmarkStart w:id="222" w:name="ref-liuzhuo2006"/>
    <w:p>
      <w:pPr>
        <w:pStyle w:val="Bibliography"/>
      </w:pPr>
      <w:r>
        <w:rPr>
          <w:rFonts w:hint="eastAsia"/>
        </w:rPr>
        <w:t xml:space="preserve">刘卓,</w:t>
      </w:r>
      <w:r>
        <w:t xml:space="preserve"> 2006. </w:t>
      </w:r>
      <w:r>
        <w:rPr>
          <w:rFonts w:hint="eastAsia"/>
        </w:rPr>
        <w:t xml:space="preserve">新疆的内地商人研究——以晚清、民国为中心[D/OL].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21">
        <w:r>
          <w:rPr>
            <w:rStyle w:val="Hyperlink"/>
          </w:rPr>
          <w:t xml:space="preserve">10.7666/d.y955345</w:t>
        </w:r>
      </w:hyperlink>
      <w:r>
        <w:t xml:space="preserve">.</w:t>
      </w:r>
    </w:p>
    <w:bookmarkEnd w:id="222"/>
    <w:bookmarkStart w:id="224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223">
        <w:r>
          <w:rPr>
            <w:rStyle w:val="Hyperlink"/>
          </w:rPr>
          <w:t xml:space="preserve">10.11868/j.issn.1005-5053.2015.2.002</w:t>
        </w:r>
      </w:hyperlink>
      <w:r>
        <w:t xml:space="preserve">.</w:t>
      </w:r>
    </w:p>
    <w:bookmarkEnd w:id="224"/>
    <w:bookmarkStart w:id="225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</w:p>
    <w:bookmarkEnd w:id="225"/>
    <w:bookmarkStart w:id="227" w:name="ref-luyuefeng2023"/>
    <w:p>
      <w:pPr>
        <w:pStyle w:val="Bibliography"/>
      </w:pPr>
      <w:r>
        <w:rPr>
          <w:rFonts w:hint="eastAsia"/>
        </w:rPr>
        <w:t xml:space="preserve">吕悦风,</w:t>
      </w:r>
      <w:r>
        <w:t xml:space="preserve"> 2023. </w:t>
      </w:r>
      <w:r>
        <w:rPr>
          <w:rFonts w:hint="eastAsia"/>
        </w:rPr>
        <w:t xml:space="preserve">城乡生态系统服务流的传导机理与量化模拟研究[D/OL].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26">
        <w:r>
          <w:rPr>
            <w:rStyle w:val="Hyperlink"/>
          </w:rPr>
          <w:t xml:space="preserve">10.27461/d.cnki.gzjdx.2023.000024</w:t>
        </w:r>
      </w:hyperlink>
      <w:r>
        <w:t xml:space="preserve">.</w:t>
      </w:r>
    </w:p>
    <w:bookmarkEnd w:id="227"/>
    <w:bookmarkStart w:id="229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228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229"/>
    <w:bookmarkStart w:id="230" w:name="ref-maxuefeng2007"/>
    <w:p>
      <w:pPr>
        <w:pStyle w:val="Bibliography"/>
      </w:pPr>
      <w:r>
        <w:rPr>
          <w:rFonts w:hint="eastAsia"/>
        </w:rPr>
        <w:t xml:space="preserve">马雪峰,</w:t>
      </w:r>
      <w:r>
        <w:t xml:space="preserve"> 2007. </w:t>
      </w:r>
      <w:r>
        <w:rPr>
          <w:rFonts w:hint="eastAsia"/>
        </w:rPr>
        <w:t xml:space="preserve">近代民族主义背景下的社群构建——以云南回族为例[D].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北京大学.</w:t>
      </w:r>
    </w:p>
    <w:bookmarkEnd w:id="230"/>
    <w:bookmarkStart w:id="23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31"/>
    <w:bookmarkStart w:id="233" w:name="ref-mozhibin2020"/>
    <w:p>
      <w:pPr>
        <w:pStyle w:val="Bibliography"/>
      </w:pPr>
      <w:r>
        <w:rPr>
          <w:rFonts w:hint="eastAsia"/>
        </w:rPr>
        <w:t xml:space="preserve">莫智斌,</w:t>
      </w:r>
      <w:r>
        <w:t xml:space="preserve"> 2020. </w:t>
      </w:r>
      <w:r>
        <w:rPr>
          <w:rFonts w:hint="eastAsia"/>
        </w:rPr>
        <w:t xml:space="preserve">城乡住宅用地权能差异研究[D/OL].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32">
        <w:r>
          <w:rPr>
            <w:rStyle w:val="Hyperlink"/>
          </w:rPr>
          <w:t xml:space="preserve">10.27461/d.cnki.gzjdx.2019.000562</w:t>
        </w:r>
      </w:hyperlink>
      <w:r>
        <w:t xml:space="preserve">.</w:t>
      </w:r>
    </w:p>
    <w:bookmarkEnd w:id="233"/>
    <w:bookmarkStart w:id="234" w:name="ref-ouyangyunzi2002"/>
    <w:p>
      <w:pPr>
        <w:pStyle w:val="Bibliography"/>
      </w:pPr>
      <w:r>
        <w:rPr>
          <w:rFonts w:hint="eastAsia"/>
        </w:rPr>
        <w:t xml:space="preserve">欧阳云梓,</w:t>
      </w:r>
      <w:r>
        <w:t xml:space="preserve"> 2002. </w:t>
      </w:r>
      <w:r>
        <w:rPr>
          <w:rFonts w:hint="eastAsia"/>
        </w:rPr>
        <w:t xml:space="preserve">中苏关系中的新疆问题研究（1933–1949）[D].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天津:</w:t>
      </w:r>
      <w:r>
        <w:t xml:space="preserve"> </w:t>
      </w:r>
      <w:r>
        <w:rPr>
          <w:rFonts w:hint="eastAsia"/>
        </w:rPr>
        <w:t xml:space="preserve">南开大学.</w:t>
      </w:r>
    </w:p>
    <w:bookmarkEnd w:id="234"/>
    <w:bookmarkStart w:id="23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</w:p>
    <w:bookmarkEnd w:id="235"/>
    <w:bookmarkStart w:id="23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236"/>
    <w:bookmarkStart w:id="237" w:name="ref-ruannanyan2007"/>
    <w:p>
      <w:pPr>
        <w:pStyle w:val="Bibliography"/>
      </w:pPr>
      <w:r>
        <w:rPr>
          <w:rFonts w:hint="eastAsia"/>
        </w:rPr>
        <w:t xml:space="preserve">阮南燕,</w:t>
      </w:r>
      <w:r>
        <w:t xml:space="preserve"> 2007. </w:t>
      </w:r>
      <w:r>
        <w:rPr>
          <w:rFonts w:hint="eastAsia"/>
        </w:rPr>
        <w:t xml:space="preserve">民族国家戏剧：想象、建构与歧路——1949–1966中国话剧创作研究[D].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</w:p>
    <w:bookmarkEnd w:id="237"/>
    <w:bookmarkStart w:id="238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238"/>
    <w:bookmarkStart w:id="240" w:name="ref-sunwen2020"/>
    <w:p>
      <w:pPr>
        <w:pStyle w:val="Bibliography"/>
      </w:pPr>
      <w:r>
        <w:rPr>
          <w:rFonts w:hint="eastAsia"/>
        </w:rPr>
        <w:t xml:space="preserve">孙雯,</w:t>
      </w:r>
      <w:r>
        <w:t xml:space="preserve"> 2020. </w:t>
      </w:r>
      <w:r>
        <w:rPr>
          <w:rFonts w:hint="eastAsia"/>
        </w:rPr>
        <w:t xml:space="preserve">中国民族国家构建与边疆民族地区治理[D/OL].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中共中央党校.</w:t>
      </w:r>
      <w:r>
        <w:t xml:space="preserve"> DOI:</w:t>
      </w:r>
      <w:r>
        <w:t xml:space="preserve"> </w:t>
      </w:r>
      <w:hyperlink r:id="rId239">
        <w:r>
          <w:rPr>
            <w:rStyle w:val="Hyperlink"/>
          </w:rPr>
          <w:t xml:space="preserve">10.27479/d.cnki.gzgcd.2019.000013</w:t>
        </w:r>
      </w:hyperlink>
      <w:r>
        <w:t xml:space="preserve">.</w:t>
      </w:r>
    </w:p>
    <w:bookmarkEnd w:id="240"/>
    <w:bookmarkStart w:id="241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</w:p>
    <w:bookmarkEnd w:id="241"/>
    <w:bookmarkStart w:id="242" w:name="ref-wantao2014"/>
    <w:p>
      <w:pPr>
        <w:pStyle w:val="Bibliography"/>
      </w:pPr>
      <w:r>
        <w:rPr>
          <w:rFonts w:hint="eastAsia"/>
        </w:rPr>
        <w:t xml:space="preserve">万涛,</w:t>
      </w:r>
      <w:r>
        <w:t xml:space="preserve"> 2014. </w:t>
      </w:r>
      <w:r>
        <w:rPr>
          <w:rFonts w:hint="eastAsia"/>
        </w:rPr>
        <w:t xml:space="preserve">近代大学的国家主义取向——以四川大学为例（1902–1945）[D].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重庆:</w:t>
      </w:r>
      <w:r>
        <w:t xml:space="preserve"> </w:t>
      </w:r>
      <w:r>
        <w:rPr>
          <w:rFonts w:hint="eastAsia"/>
        </w:rPr>
        <w:t xml:space="preserve">西南大学.</w:t>
      </w:r>
    </w:p>
    <w:bookmarkEnd w:id="242"/>
    <w:bookmarkStart w:id="243" w:name="ref-wangjiang2007"/>
    <w:p>
      <w:pPr>
        <w:pStyle w:val="Bibliography"/>
      </w:pPr>
      <w:r>
        <w:rPr>
          <w:rFonts w:hint="eastAsia"/>
        </w:rPr>
        <w:t xml:space="preserve">王江,</w:t>
      </w:r>
      <w:r>
        <w:t xml:space="preserve"> 2007. </w:t>
      </w:r>
      <w:r>
        <w:rPr>
          <w:rFonts w:hint="eastAsia"/>
        </w:rPr>
        <w:t xml:space="preserve">《禹贡》半月刊研究[D].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中国人民大学.</w:t>
      </w:r>
    </w:p>
    <w:bookmarkEnd w:id="243"/>
    <w:bookmarkStart w:id="244" w:name="ref-wangmingye2005"/>
    <w:p>
      <w:pPr>
        <w:pStyle w:val="Bibliography"/>
      </w:pPr>
      <w:r>
        <w:rPr>
          <w:rFonts w:hint="eastAsia"/>
        </w:rPr>
        <w:t xml:space="preserve">王鸣野,</w:t>
      </w:r>
      <w:r>
        <w:t xml:space="preserve"> 2005. </w:t>
      </w:r>
      <w:r>
        <w:rPr>
          <w:rFonts w:hint="eastAsia"/>
        </w:rPr>
        <w:t xml:space="preserve">清季新疆二十八年——以军政一体化为中心[D].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中国社会科学院.</w:t>
      </w:r>
    </w:p>
    <w:bookmarkEnd w:id="244"/>
    <w:bookmarkStart w:id="246" w:name="ref-wuyiqun2007"/>
    <w:p>
      <w:pPr>
        <w:pStyle w:val="Bibliography"/>
      </w:pPr>
      <w:r>
        <w:rPr>
          <w:rFonts w:hint="eastAsia"/>
        </w:rPr>
        <w:t xml:space="preserve">吴轶群,</w:t>
      </w:r>
      <w:r>
        <w:t xml:space="preserve"> 2007. </w:t>
      </w:r>
      <w:r>
        <w:rPr>
          <w:rFonts w:hint="eastAsia"/>
        </w:rPr>
        <w:t xml:space="preserve">清代新疆边境地区城市对比研究——以伊犁、喀什噶尔为中心[D/OL].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45">
        <w:r>
          <w:rPr>
            <w:rStyle w:val="Hyperlink"/>
          </w:rPr>
          <w:t xml:space="preserve">10.7666/d.y1171452</w:t>
        </w:r>
      </w:hyperlink>
      <w:r>
        <w:t xml:space="preserve">.</w:t>
      </w:r>
    </w:p>
    <w:bookmarkEnd w:id="246"/>
    <w:bookmarkStart w:id="248" w:name="ref-yangming2021"/>
    <w:p>
      <w:pPr>
        <w:pStyle w:val="Bibliography"/>
      </w:pPr>
      <w:r>
        <w:rPr>
          <w:rFonts w:hint="eastAsia"/>
        </w:rPr>
        <w:t xml:space="preserve">杨明,</w:t>
      </w:r>
      <w:r>
        <w:t xml:space="preserve"> 2021. </w:t>
      </w:r>
      <w:r>
        <w:rPr>
          <w:rFonts w:hint="eastAsia"/>
        </w:rPr>
        <w:t xml:space="preserve">联合到对立：村寨社会结构与国家边疆建设策略——基于20世纪上半叶川西北羌族村寨的调查[D/OL].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  <w:r>
        <w:t xml:space="preserve"> DOI:</w:t>
      </w:r>
      <w:r>
        <w:t xml:space="preserve"> </w:t>
      </w:r>
      <w:hyperlink r:id="rId247">
        <w:r>
          <w:rPr>
            <w:rStyle w:val="Hyperlink"/>
          </w:rPr>
          <w:t xml:space="preserve">10.27159/d.cnki.ghzsu.2021.003441</w:t>
        </w:r>
      </w:hyperlink>
      <w:r>
        <w:t xml:space="preserve">.</w:t>
      </w:r>
    </w:p>
    <w:bookmarkEnd w:id="248"/>
    <w:bookmarkStart w:id="250" w:name="ref-yaoyuting2022"/>
    <w:p>
      <w:pPr>
        <w:pStyle w:val="Bibliography"/>
      </w:pPr>
      <w:r>
        <w:rPr>
          <w:rFonts w:hint="eastAsia"/>
        </w:rPr>
        <w:t xml:space="preserve">姚妤婷,</w:t>
      </w:r>
      <w:r>
        <w:t xml:space="preserve"> 2022. </w:t>
      </w:r>
      <w:r>
        <w:rPr>
          <w:rFonts w:hint="eastAsia"/>
        </w:rPr>
        <w:t xml:space="preserve">利益、权利与规则：征地冲突研究[D/OL].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49">
        <w:r>
          <w:rPr>
            <w:rStyle w:val="Hyperlink"/>
          </w:rPr>
          <w:t xml:space="preserve">10.27461/d.cnki.gzjdx.2022.000798</w:t>
        </w:r>
      </w:hyperlink>
      <w:r>
        <w:t xml:space="preserve">.</w:t>
      </w:r>
    </w:p>
    <w:bookmarkEnd w:id="250"/>
    <w:bookmarkStart w:id="251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</w:p>
    <w:bookmarkEnd w:id="251"/>
    <w:bookmarkStart w:id="253" w:name="ref-yinlu2016"/>
    <w:p>
      <w:pPr>
        <w:pStyle w:val="Bibliography"/>
      </w:pPr>
      <w:r>
        <w:rPr>
          <w:rFonts w:hint="eastAsia"/>
        </w:rPr>
        <w:t xml:space="preserve">殷璐,</w:t>
      </w:r>
      <w:r>
        <w:t xml:space="preserve"> 2016. </w:t>
      </w:r>
      <w:r>
        <w:rPr>
          <w:rFonts w:hint="eastAsia"/>
        </w:rPr>
        <w:t xml:space="preserve">民族国家想象下的现代性追求——清末民初的中国戏剧转型[D/OL].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  <w:r>
        <w:t xml:space="preserve"> DOI:</w:t>
      </w:r>
      <w:r>
        <w:t xml:space="preserve"> </w:t>
      </w:r>
      <w:hyperlink r:id="rId252">
        <w:r>
          <w:rPr>
            <w:rStyle w:val="Hyperlink"/>
          </w:rPr>
          <w:t xml:space="preserve">10.27235/d.cnki.gnjiu.2016.000894</w:t>
        </w:r>
      </w:hyperlink>
      <w:r>
        <w:t xml:space="preserve">.</w:t>
      </w:r>
    </w:p>
    <w:bookmarkEnd w:id="253"/>
    <w:bookmarkStart w:id="255" w:name="ref-yinwei2021"/>
    <w:p>
      <w:pPr>
        <w:pStyle w:val="Bibliography"/>
      </w:pPr>
      <w:r>
        <w:rPr>
          <w:rFonts w:hint="eastAsia"/>
        </w:rPr>
        <w:t xml:space="preserve">尹威,</w:t>
      </w:r>
      <w:r>
        <w:t xml:space="preserve"> 2021. </w:t>
      </w:r>
      <w:r>
        <w:rPr>
          <w:rFonts w:hint="eastAsia"/>
        </w:rPr>
        <w:t xml:space="preserve">抗战时期的边地书写研究[D/OL].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华东师范大学.</w:t>
      </w:r>
      <w:r>
        <w:t xml:space="preserve"> DOI:</w:t>
      </w:r>
      <w:r>
        <w:t xml:space="preserve"> </w:t>
      </w:r>
      <w:hyperlink r:id="rId254">
        <w:r>
          <w:rPr>
            <w:rStyle w:val="Hyperlink"/>
          </w:rPr>
          <w:t xml:space="preserve">10.27149/d.cnki.ghdsu.2021.002844</w:t>
        </w:r>
      </w:hyperlink>
      <w:r>
        <w:t xml:space="preserve">.</w:t>
      </w:r>
    </w:p>
    <w:bookmarkEnd w:id="255"/>
    <w:bookmarkStart w:id="256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256"/>
    <w:bookmarkStart w:id="257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257"/>
    <w:bookmarkStart w:id="258" w:name="ref-zhangteng2013"/>
    <w:p>
      <w:pPr>
        <w:pStyle w:val="Bibliography"/>
      </w:pPr>
      <w:r>
        <w:rPr>
          <w:rFonts w:hint="eastAsia"/>
        </w:rPr>
        <w:t xml:space="preserve">张腾,</w:t>
      </w:r>
      <w:r>
        <w:t xml:space="preserve"> 2013. </w:t>
      </w:r>
      <w:r>
        <w:rPr>
          <w:rFonts w:hint="eastAsia"/>
        </w:rPr>
        <w:t xml:space="preserve">从王朝体系到民族国家——清朝民族政策调整及其变化[D].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银川:</w:t>
      </w:r>
      <w:r>
        <w:t xml:space="preserve"> </w:t>
      </w:r>
      <w:r>
        <w:rPr>
          <w:rFonts w:hint="eastAsia"/>
        </w:rPr>
        <w:t xml:space="preserve">宁夏大学.</w:t>
      </w:r>
    </w:p>
    <w:bookmarkEnd w:id="258"/>
    <w:bookmarkStart w:id="259" w:name="ref-zhangyuan2014"/>
    <w:p>
      <w:pPr>
        <w:pStyle w:val="Bibliography"/>
      </w:pPr>
      <w:r>
        <w:rPr>
          <w:rFonts w:hint="eastAsia"/>
        </w:rPr>
        <w:t xml:space="preserve">张媛,</w:t>
      </w:r>
      <w:r>
        <w:t xml:space="preserve"> 2014. </w:t>
      </w:r>
      <w:r>
        <w:rPr>
          <w:rFonts w:hint="eastAsia"/>
        </w:rPr>
        <w:t xml:space="preserve">媒介、地理与认同：中国西南地区少数民族国家认同的形成与变迁[D].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259"/>
    <w:bookmarkStart w:id="261" w:name="ref-zhangzhun2009"/>
    <w:p>
      <w:pPr>
        <w:pStyle w:val="Bibliography"/>
      </w:pPr>
      <w:r>
        <w:rPr>
          <w:rFonts w:hint="eastAsia"/>
        </w:rPr>
        <w:t xml:space="preserve">张准,</w:t>
      </w:r>
      <w:r>
        <w:t xml:space="preserve"> 2009. </w:t>
      </w:r>
      <w:r>
        <w:rPr>
          <w:rFonts w:hint="eastAsia"/>
        </w:rPr>
        <w:t xml:space="preserve">美国镀金时代经济发展研究[D/OL].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成都:</w:t>
      </w:r>
      <w:r>
        <w:t xml:space="preserve"> </w:t>
      </w:r>
      <w:r>
        <w:rPr>
          <w:rFonts w:hint="eastAsia"/>
        </w:rPr>
        <w:t xml:space="preserve">四川大学.</w:t>
      </w:r>
      <w:r>
        <w:t xml:space="preserve"> DOI:</w:t>
      </w:r>
      <w:r>
        <w:t xml:space="preserve"> </w:t>
      </w:r>
      <w:hyperlink r:id="rId260">
        <w:r>
          <w:rPr>
            <w:rStyle w:val="Hyperlink"/>
          </w:rPr>
          <w:t xml:space="preserve">10.7666/d.y9026491</w:t>
        </w:r>
      </w:hyperlink>
      <w:r>
        <w:t xml:space="preserve">.</w:t>
      </w:r>
    </w:p>
    <w:bookmarkEnd w:id="261"/>
    <w:bookmarkStart w:id="26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262">
        <w:r>
          <w:rPr>
            <w:rStyle w:val="Hyperlink"/>
          </w:rPr>
          <w:t xml:space="preserve">10.6052/j.issn.1000-4750.2022.04.0339</w:t>
        </w:r>
      </w:hyperlink>
      <w:r>
        <w:t xml:space="preserve">.</w:t>
      </w:r>
    </w:p>
    <w:bookmarkEnd w:id="263"/>
    <w:bookmarkStart w:id="26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264"/>
    <w:bookmarkStart w:id="265" w:name="ref-zhuyaohui2004"/>
    <w:p>
      <w:pPr>
        <w:pStyle w:val="Bibliography"/>
      </w:pPr>
      <w:r>
        <w:rPr>
          <w:rFonts w:hint="eastAsia"/>
        </w:rPr>
        <w:t xml:space="preserve">朱耀辉,</w:t>
      </w:r>
      <w:r>
        <w:t xml:space="preserve"> 2004. </w:t>
      </w:r>
      <w:r>
        <w:rPr>
          <w:rFonts w:hint="eastAsia"/>
        </w:rPr>
        <w:t xml:space="preserve">城市文明与近代西欧民族国家的兴起——以英国和法国为讨论中心（12–17世纪）[D].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65"/>
    <w:bookmarkStart w:id="266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</w:p>
    <w:bookmarkEnd w:id="266"/>
    <w:bookmarkEnd w:id="267"/>
    <w:bookmarkEnd w:id="268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CenterAlign">
    <w:name w:val="Center Alig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2025-10-27T01:20:21Z</dcterms:created>
  <dcterms:modified xsi:type="dcterms:W3CDTF">2025-10-27T01:20:21Z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2025年10月27日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2025年10月27日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