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用</w:t>
      </w:r>
      <w:r>
        <w:t xml:space="preserve"> </w:t>
      </w:r>
      <w:r>
        <w:t xml:space="preserve">Quarto</w:t>
      </w:r>
      <w:r>
        <w:t xml:space="preserve"> </w:t>
      </w:r>
      <w:r>
        <w:t xml:space="preserve">写作中文学术论文</w:t>
      </w:r>
    </w:p>
    <w:p>
      <w:pPr>
        <w:pStyle w:val="Subtitle"/>
      </w:pPr>
      <w:r>
        <w:t xml:space="preserve">一个简单的示例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Ben</w:t>
      </w:r>
    </w:p>
    <w:p>
      <w:pPr>
        <w:pStyle w:val="Date"/>
      </w:pPr>
      <w:r>
        <w:t xml:space="preserve">2024年5月29日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前言</w:t>
      </w:r>
    </w:p>
    <w:p>
      <w:pPr>
        <w:pStyle w:val="FirstParagraph"/>
      </w:pPr>
      <w:r>
        <w:t xml:space="preserve">学术论文写作，是科研工作的核心环节。写好一篇学术论文，不仅需要有大量的文献阅读、扎实的实证研究，还需要有清晰的逻辑思维、精准的表达能力。除此之外，</w:t>
      </w:r>
      <w:r>
        <w:rPr>
          <w:rFonts w:hint="eastAsia"/>
          <w:lang w:eastAsia="zh-CN"/>
        </w:rPr>
        <w:t>“</w:t>
      </w:r>
      <w:r>
        <w:t xml:space="preserve">用什么工具写</w:t>
      </w:r>
      <w:r>
        <w:rPr>
          <w:rFonts w:hint="eastAsia"/>
          <w:lang w:eastAsia="zh-CN"/>
        </w:rPr>
        <w:t>”</w:t>
      </w:r>
      <w:r>
        <w:t xml:space="preserve">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t xml:space="preserve">在学术论文写作方面，Word使用体验较差，LaTeX学习曲线陡峭，这两者似乎都不是完美的选择。有没有一种既易于上手，又能够满足学术论文写作需求的工具呢？答案是肯定的，这个工具就是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 Quarto 中使用 R 绘图</w:t>
      </w:r>
    </w:p>
    <w:p>
      <w:pPr>
        <w:pStyle w:val="BodyText"/>
      </w:pPr>
      <w: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t xml:space="preserve">本项目的目标，就是基于Pandoc和Quarto，提供一套完整的Markdown学术写作方案，解决中文写作者在使用Markdown写作时遇到的各种问题，包括中文引号处理、中西文自动添加空格、参考文献列表按拼音排序（包括多音字）、中文参考文献本地化等。输出为格式完美的Word、HTML、PDF等格式。</w:t>
      </w:r>
    </w:p>
    <w:bookmarkEnd w:id="35"/>
    <w:bookmarkStart w:id="51" w:name="参考文献本地化"/>
    <w:p>
      <w:pPr>
        <w:pStyle w:val="Heading1"/>
      </w:pPr>
      <w:r>
        <w:t xml:space="preserve">2. 参考文献本地化</w:t>
      </w:r>
    </w:p>
    <w:p>
      <w:pPr>
        <w:pStyle w:val="FirstParagraph"/>
      </w:pPr>
      <w:r>
        <w:t xml:space="preserve">Pandoc使用CSL（Citation Style Language）来格式化参考文献信息，然而CSL不支持多语言的参考文献格式化，例如在Pandoc中将语言设置为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t xml:space="preserve">时，所以文献的本地化字符都会被转换为英文，例如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t xml:space="preserve">等。</w:t>
      </w:r>
    </w:p>
    <w:p>
      <w:pPr>
        <w:pStyle w:val="BodyText"/>
      </w:pPr>
      <w:r>
        <w:t xml:space="preserve">本项目使用Lua filter</w:t>
      </w:r>
      <w:r>
        <w:t xml:space="preserve"> </w:t>
      </w:r>
      <w:r>
        <w:rPr>
          <w:rStyle w:val="VerbatimChar"/>
        </w:rPr>
        <w:t xml:space="preserve">localiz-cnbib.lua</w:t>
      </w:r>
      <w:r>
        <w:t xml:space="preserve">来解决这个问题。</w:t>
      </w:r>
    </w:p>
    <w:bookmarkStart w:id="40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</w:t>
      </w:r>
      <w:r>
        <w:t xml:space="preserve">et al.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等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t xml:space="preserve">表示</w:t>
      </w:r>
      <w:r>
        <w:t xml:space="preserve"> </w:t>
      </w:r>
      <w:bookmarkStart w:id="36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6"/>
      <w:r>
        <w:t xml:space="preserve">。对于中文文献，</w:t>
      </w:r>
      <w:r>
        <w:rPr>
          <w:rStyle w:val="VerbatimChar"/>
        </w:rPr>
        <w:t xml:space="preserve">et al.</w:t>
      </w:r>
      <w:r>
        <w:t xml:space="preserve">则应该替换为</w:t>
      </w:r>
      <w:r>
        <w:rPr>
          <w:rStyle w:val="VerbatimChar"/>
        </w:rPr>
        <w:t xml:space="preserve">等</w:t>
      </w:r>
      <w:r>
        <w:t xml:space="preserve"> </w:t>
      </w:r>
      <w:bookmarkStart w:id="37" w:name="cite_6"/>
      <w:r>
        <w:t xml:space="preserve">(</w:t>
      </w:r>
      <w:hyperlink w:anchor="ref-qinhui2019">
        <w:r>
          <w:rPr>
            <w:rStyle w:val="Hyperlink"/>
          </w:rPr>
          <w:t xml:space="preserve">秦晖 等,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</w:rPr>
          <w:t xml:space="preserve">賈禎 等,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</w:rPr>
          <w:t xml:space="preserve">赵继之 等, 2024</w:t>
        </w:r>
      </w:hyperlink>
      <w:r>
        <w:t xml:space="preserve">)</w:t>
      </w:r>
      <w:bookmarkEnd w:id="37"/>
      <w:r>
        <w:t xml:space="preserve">。</w:t>
      </w:r>
    </w:p>
    <w:p>
      <w:pPr>
        <w:pStyle w:val="BodyText"/>
      </w:pPr>
      <w: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t xml:space="preserve">或</w:t>
      </w:r>
      <w:r>
        <w:rPr>
          <w:rStyle w:val="VerbatimChar"/>
        </w:rPr>
        <w:t xml:space="preserve">等</w:t>
      </w:r>
      <w:r>
        <w:t xml:space="preserve">来表示</w:t>
      </w:r>
      <w:r>
        <w:t xml:space="preserve"> </w:t>
      </w:r>
      <w:bookmarkStart w:id="38" w:name="cite_7"/>
      <w:r>
        <w:t xml:space="preserve">(</w:t>
      </w:r>
      <w:hyperlink w:anchor="ref-lushaowei2015">
        <w:r>
          <w:rPr>
            <w:rStyle w:val="Hyperlink"/>
          </w:rPr>
          <w:t xml:space="preserve">卢少微 等,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8"/>
      <w:r>
        <w:t xml:space="preserve">，以及更多例子</w:t>
      </w:r>
      <w:r>
        <w:t xml:space="preserve"> </w:t>
      </w:r>
      <w:bookmarkStart w:id="39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</w:rPr>
          <w:t xml:space="preserve">葛延风 等,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</w:rPr>
          <w:t xml:space="preserve">曹晶晶 等,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39"/>
      <w:r>
        <w:t xml:space="preserve">。</w:t>
      </w:r>
    </w:p>
    <w:bookmarkEnd w:id="40"/>
    <w:bookmarkStart w:id="43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</w:t>
      </w:r>
      <w:r>
        <w:t xml:space="preserve">vol.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第X卷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vol.</w:t>
      </w:r>
      <w:r>
        <w:t xml:space="preserve">应该替换为</w:t>
      </w:r>
      <w:r>
        <w:rPr>
          <w:rStyle w:val="VerbatimChar"/>
        </w:rPr>
        <w:t xml:space="preserve">第 X 卷</w:t>
      </w:r>
      <w:r>
        <w:t xml:space="preserve"> </w:t>
      </w:r>
      <w:bookmarkStart w:id="41" w:name="cite_9"/>
      <w:r>
        <w:t xml:space="preserve">(</w:t>
      </w:r>
      <w:hyperlink w:anchor="ref-gezhaoguang2000a">
        <w:r>
          <w:rPr>
            <w:rStyle w:val="Hyperlink"/>
          </w:rPr>
          <w:t xml:space="preserve">葛兆光,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</w:rPr>
          <w:t xml:space="preserve">中国人民大学清史研究所 等, 1983</w:t>
        </w:r>
      </w:hyperlink>
      <w:r>
        <w:t xml:space="preserve">)</w:t>
      </w:r>
      <w:bookmarkEnd w:id="41"/>
      <w:r>
        <w:t xml:space="preserve">。但英文文献中</w:t>
      </w:r>
      <w:r>
        <w:rPr>
          <w:rStyle w:val="VerbatimChar"/>
        </w:rPr>
        <w:t xml:space="preserve">vol.</w:t>
      </w:r>
      <w:r>
        <w:t xml:space="preserve">仍然需要保留</w:t>
      </w:r>
      <w:r>
        <w:t xml:space="preserve"> </w:t>
      </w:r>
      <w:bookmarkStart w:id="42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2"/>
      <w:r>
        <w:t xml:space="preserve">。</w:t>
      </w:r>
    </w:p>
    <w:bookmarkEnd w:id="43"/>
    <w:bookmarkStart w:id="45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</w:t>
      </w:r>
      <w:r>
        <w:t xml:space="preserve">ed.</w:t>
      </w:r>
      <w:r>
        <w:t xml:space="preserve">”</w:t>
      </w:r>
      <w:r>
        <w:t xml:space="preserve"> </w:t>
      </w:r>
      <w:r>
        <w:t xml:space="preserve">和</w:t>
      </w:r>
      <w:r>
        <w:t xml:space="preserve"> </w:t>
      </w:r>
      <w:r>
        <w:t xml:space="preserve">“</w:t>
      </w:r>
      <w:r>
        <w:t xml:space="preserve">eds.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编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eds.</w:t>
      </w:r>
      <w:r>
        <w:t xml:space="preserve">和</w:t>
      </w:r>
      <w:r>
        <w:rPr>
          <w:rStyle w:val="VerbatimChar"/>
        </w:rPr>
        <w:t xml:space="preserve">ed.</w:t>
      </w:r>
      <w:r>
        <w:t xml:space="preserve">应该替换为</w:t>
      </w:r>
      <w:r>
        <w:rPr>
          <w:rStyle w:val="VerbatimChar"/>
        </w:rPr>
        <w:t xml:space="preserve">编</w:t>
      </w:r>
      <w:r>
        <w:t xml:space="preserve"> </w:t>
      </w:r>
      <w:bookmarkStart w:id="44" w:name="cite_11"/>
      <w:r>
        <w:t xml:space="preserve">(</w:t>
      </w:r>
      <w:hyperlink w:anchor="ref-lihongzhang2007">
        <w:r>
          <w:rPr>
            <w:rStyle w:val="Hyperlink"/>
          </w:rPr>
          <w:t xml:space="preserve">李鸿章,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</w:rPr>
          <w:t xml:space="preserve">梁启超,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</w:rPr>
          <w:t xml:space="preserve">费孝通,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</w:rPr>
          <w:t xml:space="preserve">左宗棠, 1986</w:t>
        </w:r>
      </w:hyperlink>
      <w:r>
        <w:t xml:space="preserve">)</w:t>
      </w:r>
      <w:bookmarkEnd w:id="44"/>
      <w:r>
        <w:t xml:space="preserve">，不管</w:t>
      </w:r>
      <w:r>
        <w:rPr>
          <w:rStyle w:val="VerbatimChar"/>
        </w:rPr>
        <w:t xml:space="preserve">ed.</w:t>
      </w:r>
      <w:r>
        <w:t xml:space="preserve">既可以表示</w:t>
      </w:r>
      <w:r>
        <w:rPr>
          <w:rStyle w:val="VerbatimChar"/>
        </w:rPr>
        <w:t xml:space="preserve">编</w:t>
      </w:r>
      <w:r>
        <w:t xml:space="preserve">，也可以表示</w:t>
      </w:r>
      <w:r>
        <w:rPr>
          <w:rStyle w:val="VerbatimChar"/>
        </w:rPr>
        <w:t xml:space="preserve">第 X 版</w:t>
      </w:r>
      <w:r>
        <w:t xml:space="preserve">，相对比较复杂，请参考下面的例子。</w:t>
      </w:r>
    </w:p>
    <w:bookmarkEnd w:id="45"/>
    <w:bookmarkStart w:id="48" w:name="ed.-替换为编或第x版"/>
    <w:p>
      <w:pPr>
        <w:pStyle w:val="Heading2"/>
      </w:pPr>
      <w:r>
        <w:t xml:space="preserve">2.4</w:t>
      </w:r>
      <w:r>
        <w:t xml:space="preserve"> </w:t>
      </w:r>
      <w:r>
        <w:t xml:space="preserve">“</w:t>
      </w:r>
      <w:r>
        <w:t xml:space="preserve">ed.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编</w:t>
      </w:r>
      <w:r>
        <w:rPr>
          <w:rFonts w:hint="eastAsia"/>
          <w:lang w:eastAsia="zh-CN"/>
        </w:rPr>
        <w:t>”</w:t>
      </w:r>
      <w:r>
        <w:t xml:space="preserve">或</w:t>
      </w:r>
      <w:r>
        <w:rPr>
          <w:rFonts w:hint="eastAsia"/>
          <w:lang w:eastAsia="zh-CN"/>
        </w:rPr>
        <w:t>“</w:t>
      </w:r>
      <w:r>
        <w:t xml:space="preserve">第X版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t xml:space="preserve">既可以表示</w:t>
      </w:r>
      <w:r>
        <w:rPr>
          <w:rStyle w:val="VerbatimChar"/>
        </w:rPr>
        <w:t xml:space="preserve">编</w:t>
      </w:r>
      <w:r>
        <w:t xml:space="preserve"> </w:t>
      </w:r>
      <w:bookmarkStart w:id="46" w:name="cite_12"/>
      <w:r>
        <w:t xml:space="preserve">(</w:t>
      </w:r>
      <w:hyperlink w:anchor="ref-feixiaotong1989">
        <w:r>
          <w:rPr>
            <w:rStyle w:val="Hyperlink"/>
          </w:rPr>
          <w:t xml:space="preserve">费孝通,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</w:rPr>
          <w:t xml:space="preserve">左宗棠, 1986</w:t>
        </w:r>
      </w:hyperlink>
      <w:r>
        <w:t xml:space="preserve">)</w:t>
      </w:r>
      <w:bookmarkEnd w:id="46"/>
      <w:r>
        <w:t xml:space="preserve">，也可以表示</w:t>
      </w:r>
      <w:r>
        <w:rPr>
          <w:rStyle w:val="VerbatimChar"/>
        </w:rPr>
        <w:t xml:space="preserve">第 X 版</w:t>
      </w:r>
      <w:r>
        <w:t xml:space="preserve"> </w:t>
      </w:r>
      <w:bookmarkStart w:id="47" w:name="cite_13"/>
      <w:r>
        <w:t xml:space="preserve">(</w:t>
      </w:r>
      <w:hyperlink w:anchor="ref-qinhui2019">
        <w:r>
          <w:rPr>
            <w:rStyle w:val="Hyperlink"/>
          </w:rPr>
          <w:t xml:space="preserve">秦晖 等,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</w:rPr>
          <w:t xml:space="preserve">陶希圣, 2016</w:t>
        </w:r>
      </w:hyperlink>
      <w:r>
        <w:t xml:space="preserve">)</w:t>
      </w:r>
      <w:bookmarkEnd w:id="47"/>
      <w:r>
        <w:t xml:space="preserve">，虽然非常灵活，但也给替换带来了一定的困难，不过好在判断条件比较明确。</w:t>
      </w:r>
    </w:p>
    <w:bookmarkEnd w:id="48"/>
    <w:bookmarkStart w:id="50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</w:t>
      </w:r>
      <w:r>
        <w:t xml:space="preserve">tran.</w:t>
      </w:r>
      <w:r>
        <w:t xml:space="preserve">”</w:t>
      </w:r>
      <w:r>
        <w:t xml:space="preserve"> </w:t>
      </w:r>
      <w:r>
        <w:t xml:space="preserve">和</w:t>
      </w:r>
      <w:r>
        <w:t xml:space="preserve"> </w:t>
      </w:r>
      <w:r>
        <w:t xml:space="preserve">“</w:t>
      </w:r>
      <w:r>
        <w:t xml:space="preserve">trans.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译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tran.</w:t>
      </w:r>
      <w:r>
        <w:t xml:space="preserve">和</w:t>
      </w:r>
      <w:r>
        <w:rPr>
          <w:rStyle w:val="VerbatimChar"/>
        </w:rPr>
        <w:t xml:space="preserve">trans.</w:t>
      </w:r>
      <w:r>
        <w:t xml:space="preserve">应该替换为</w:t>
      </w:r>
      <w:r>
        <w:rPr>
          <w:rStyle w:val="VerbatimChar"/>
        </w:rPr>
        <w:t xml:space="preserve">译</w:t>
      </w:r>
      <w:r>
        <w:t xml:space="preserve"> </w:t>
      </w:r>
      <w:bookmarkStart w:id="49" w:name="cite_14"/>
      <w:r>
        <w:t xml:space="preserve">(</w:t>
      </w:r>
      <w:hyperlink w:anchor="ref-hanqilan2004">
        <w:r>
          <w:rPr>
            <w:rStyle w:val="Hyperlink"/>
          </w:rPr>
          <w:t xml:space="preserve">韩起澜,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</w:rPr>
          <w:t xml:space="preserve">迈克尔·赫克特,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</w:rPr>
          <w:t xml:space="preserve">陆德芙 等, 2019</w:t>
        </w:r>
      </w:hyperlink>
      <w:r>
        <w:t xml:space="preserve">)</w:t>
      </w:r>
      <w:bookmarkEnd w:id="49"/>
      <w:r>
        <w:t xml:space="preserve">。</w:t>
      </w:r>
    </w:p>
    <w:p>
      <w:pPr>
        <w:pStyle w:val="BodyText"/>
      </w:pPr>
      <w:r>
        <w:t xml:space="preserve">值得一提的是，Lua filter</w:t>
      </w:r>
      <w:r>
        <w:t xml:space="preserve"> </w:t>
      </w:r>
      <w:r>
        <w:rPr>
          <w:rStyle w:val="VerbatimChar"/>
        </w:rPr>
        <w:t xml:space="preserve">localiz-cnbib.lua</w:t>
      </w:r>
      <w: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t xml:space="preserve">文件，或者提交issue给我。</w:t>
      </w:r>
    </w:p>
    <w:p>
      <w:pPr>
        <w:pStyle w:val="BodyText"/>
      </w:pPr>
      <w:r>
        <w:t xml:space="preserve">需要注意，本项目中</w:t>
      </w:r>
      <w:r>
        <w:rPr>
          <w:rStyle w:val="VerbatimChar"/>
        </w:rPr>
        <w:t xml:space="preserve">gb-author-date.csl</w:t>
      </w:r>
      <w:r>
        <w:t xml:space="preserve">和</w:t>
      </w:r>
      <w:r>
        <w:rPr>
          <w:rStyle w:val="VerbatimChar"/>
        </w:rPr>
        <w:t xml:space="preserve">gb-numeric.csl</w:t>
      </w:r>
      <w:r>
        <w:t xml:space="preserve">是我根据Zotero Styles网站下载的CSL样式文件修改而来。与原始样式文件相比，我修改之后的样式文件更加符合GB/T 7714-2015标准，</w:t>
      </w:r>
      <w:r>
        <w:rPr>
          <w:rStyle w:val="VerbatimChar"/>
        </w:rPr>
        <w:t xml:space="preserve">localiz-cnbib.lua</w:t>
      </w:r>
      <w: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t xml:space="preserve">可能无法正常工作在其他CSL样式文件上。</w:t>
      </w:r>
    </w:p>
    <w:bookmarkEnd w:id="50"/>
    <w:bookmarkEnd w:id="51"/>
    <w:bookmarkStart w:id="54" w:name="中文参考文献按照拼音排序"/>
    <w:p>
      <w:pPr>
        <w:pStyle w:val="Heading1"/>
      </w:pPr>
      <w:r>
        <w:t xml:space="preserve">3. 中文参考文献按照拼音排序</w:t>
      </w:r>
    </w:p>
    <w:p>
      <w:pPr>
        <w:pStyle w:val="FirstParagraph"/>
      </w:pPr>
      <w:r>
        <w:t xml:space="preserve">在著者年份制的参考文献表中，中文参考文献一般需要按照拼音排序。基于GB/T 7714-2015的BiLaTeX样式包</w:t>
      </w:r>
      <w:hyperlink r:id="rId52">
        <w:r>
          <w:rPr>
            <w:rStyle w:val="Hyperlink"/>
          </w:rPr>
          <w:t xml:space="preserve">biblatex-gb7714-2015</w:t>
        </w:r>
      </w:hyperlink>
      <w:r>
        <w:t xml:space="preserve">支持使用</w:t>
      </w:r>
      <w:r>
        <w:rPr>
          <w:rStyle w:val="VerbatimChar"/>
        </w:rPr>
        <w:t xml:space="preserve">biber</w:t>
      </w:r>
      <w: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t xml:space="preserve">本项目使用Python filter</w:t>
      </w:r>
      <w:r>
        <w:t xml:space="preserve"> </w:t>
      </w:r>
      <w:r>
        <w:rPr>
          <w:rStyle w:val="VerbatimChar"/>
        </w:rPr>
        <w:t xml:space="preserve">sort-cnbib.py</w:t>
      </w:r>
      <w:r>
        <w:t xml:space="preserve">来解决这个问题，借助Python的</w:t>
      </w:r>
      <w:r>
        <w:rPr>
          <w:rStyle w:val="VerbatimChar"/>
        </w:rPr>
        <w:t xml:space="preserve">pypinyin</w:t>
      </w:r>
      <w:r>
        <w:t xml:space="preserve">库获取中文文献的著者拼音，然后通过Panflute</w:t>
      </w:r>
      <w:r>
        <w:t xml:space="preserve"> </w:t>
      </w:r>
      <w:bookmarkStart w:id="53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3"/>
      <w:r>
        <w:t xml:space="preserve">修改Pandoc 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t xml:space="preserve">需要注意的是，</w:t>
      </w:r>
      <w:r>
        <w:rPr>
          <w:rStyle w:val="VerbatimChar"/>
        </w:rPr>
        <w:t xml:space="preserve">sort-cnbib.py</w:t>
      </w:r>
      <w:r>
        <w:t xml:space="preserve">只需用于author-date引用格式，numeric引用格式不需要排序，因为数字本身就是有序的。</w:t>
      </w:r>
    </w:p>
    <w:bookmarkEnd w:id="54"/>
    <w:bookmarkStart w:id="56" w:name="中文引号的处理"/>
    <w:p>
      <w:pPr>
        <w:pStyle w:val="Heading1"/>
      </w:pPr>
      <w:r>
        <w:t xml:space="preserve">4. 中文引号的处理</w:t>
      </w:r>
    </w:p>
    <w:p>
      <w:pPr>
        <w:pStyle w:val="FirstParagraph"/>
      </w:pPr>
      <w:r>
        <w:t xml:space="preserve">中文排版之难，引号为首。引号的处理，是中文排版非常tricky的问题，</w:t>
      </w:r>
      <w:r>
        <w:rPr>
          <w:rFonts w:hint="eastAsia"/>
          <w:lang w:eastAsia="zh-CN"/>
        </w:rPr>
        <w:t>“</w:t>
      </w:r>
      <w:r>
        <w:t xml:space="preserve">万恶之源</w:t>
      </w:r>
      <w:r>
        <w:rPr>
          <w:rFonts w:hint="eastAsia"/>
          <w:lang w:eastAsia="zh-CN"/>
        </w:rPr>
        <w:t>”</w:t>
      </w:r>
      <w:r>
        <w:t xml:space="preserve">在于是简体中文和西文的引号相同，但却要求呈现出不同的效果。具体来说，简体中文使用的引号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t xml:space="preserve">来替代简体中文的引号，然而中华人民共和国的国家标准规定了使用简体中文的引号，在正式的学术论文这种做法是不被推荐的。</w:t>
      </w:r>
    </w:p>
    <w:p>
      <w:pPr>
        <w:pStyle w:val="BodyText"/>
      </w:pPr>
      <w: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t xml:space="preserve">，借助以下这几个Lua 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t xml:space="preserve">：处理 Word 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t xml:space="preserve">：处理 Word 和 HTML 参考文献中的引号，使 Word 包裹中文的引号看上去更宽，HTML 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t xml:space="preserve">：处理 LaTeX 中的引号，将中文直角引号转换为德语引号（其他东欧语系也有类似的引号），然后通过</w:t>
      </w:r>
      <w:r>
        <w:t xml:space="preserve"> </w:t>
      </w:r>
      <w:hyperlink r:id="rId55">
        <w:r>
          <w:rPr>
            <w:rStyle w:val="Hyperlink"/>
          </w:rPr>
          <w:t xml:space="preserve">newunicodechar</w:t>
        </w:r>
      </w:hyperlink>
      <w:r>
        <w:t xml:space="preserve"> </w:t>
      </w:r>
      <w:r>
        <w:t xml:space="preserve">宏包将其转换为蝌蚪引号，并对标题中的中文引号进行特别处理。</w:t>
      </w:r>
    </w:p>
    <w:p>
      <w:pPr>
        <w:pStyle w:val="FirstParagraph"/>
      </w:pPr>
      <w:r>
        <w:t xml:space="preserve">这样，无论是在Word中还是在LaTeX中，都可以得到符合规范的引号效果，而对于HTML来说，则做</w:t>
      </w:r>
      <w:r>
        <w:rPr>
          <w:rFonts w:hint="eastAsia"/>
          <w:lang w:eastAsia="zh-CN"/>
        </w:rPr>
        <w:t>“</w:t>
      </w:r>
      <w:r>
        <w:t xml:space="preserve">反向处理</w:t>
      </w:r>
      <w:r>
        <w:rPr>
          <w:rFonts w:hint="eastAsia"/>
          <w:lang w:eastAsia="zh-CN"/>
        </w:rPr>
        <w:t>”</w:t>
      </w:r>
      <w:r>
        <w:t xml:space="preserve">，将包裹中文的蝌蚪引号转换为直角引号。</w:t>
      </w:r>
    </w:p>
    <w:bookmarkEnd w:id="56"/>
    <w:bookmarkStart w:id="61" w:name="中西文盘古之白"/>
    <w:p>
      <w:pPr>
        <w:pStyle w:val="Heading1"/>
      </w:pPr>
      <w:r>
        <w:t xml:space="preserve">5. 中西文盘古之白</w:t>
      </w:r>
    </w:p>
    <w:p>
      <w:pPr>
        <w:pStyle w:val="FirstParagraph"/>
      </w:pPr>
      <w:hyperlink r:id="rId57">
        <w:r>
          <w:rPr>
            <w:rStyle w:val="Hyperlink"/>
          </w:rPr>
          <w:t xml:space="preserve">pangu.js</w:t>
        </w:r>
      </w:hyperlink>
      <w:r>
        <w:t xml:space="preserve">中提到：</w:t>
      </w:r>
    </w:p>
    <w:p>
      <w:pPr>
        <w:pStyle w:val="BlockText"/>
      </w:pPr>
      <w: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t xml:space="preserve">尽管手动在中英文、数字之间加一个空格是一个好</w:t>
      </w:r>
      <w:hyperlink r:id="rId58">
        <w:r>
          <w:rPr>
            <w:rStyle w:val="Hyperlink"/>
          </w:rPr>
          <w:t xml:space="preserve">习惯</w:t>
        </w:r>
      </w:hyperlink>
      <w: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t xml:space="preserve">本项目提供了一个Python filter</w:t>
      </w:r>
      <w:r>
        <w:t xml:space="preserve"> </w:t>
      </w:r>
      <w:r>
        <w:rPr>
          <w:rStyle w:val="VerbatimChar"/>
        </w:rPr>
        <w:t xml:space="preserve">auto-correct.py</w:t>
      </w:r>
      <w:r>
        <w:t xml:space="preserve">来解决这个问题，借助</w:t>
      </w:r>
      <w:hyperlink r:id="rId59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0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0"/>
      <w:r>
        <w:t xml:space="preserve">的Python库，</w:t>
      </w:r>
      <w:r>
        <w:rPr>
          <w:rFonts w:hint="eastAsia"/>
          <w:lang w:eastAsia="zh-CN"/>
        </w:rPr>
        <w:t>“</w:t>
      </w:r>
      <w:r>
        <w:t xml:space="preserve">自动纠正</w:t>
      </w:r>
      <w:r>
        <w:rPr>
          <w:rFonts w:hint="eastAsia"/>
          <w:lang w:eastAsia="zh-CN"/>
        </w:rPr>
        <w:t>”</w:t>
      </w:r>
      <w:r>
        <w:t xml:space="preserve">或</w:t>
      </w:r>
      <w:r>
        <w:rPr>
          <w:rFonts w:hint="eastAsia"/>
          <w:lang w:eastAsia="zh-CN"/>
        </w:rPr>
        <w:t>“</w:t>
      </w:r>
      <w:r>
        <w:t xml:space="preserve">检查并建议</w:t>
      </w:r>
      <w:r>
        <w:rPr>
          <w:rFonts w:hint="eastAsia"/>
          <w:lang w:eastAsia="zh-CN"/>
        </w:rPr>
        <w:t>”</w:t>
      </w:r>
      <w:r>
        <w:t xml:space="preserve">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t xml:space="preserve">filter，可以实现修改Pandoc 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t xml:space="preserve">需要注意的是，LaTeX和Word会自动处理中英文之间的空格，因此无需使用这个Python filter，只有在转换为其他格式时才需要使用，例如HTML、ePub等格式。</w:t>
      </w:r>
    </w:p>
    <w:bookmarkEnd w:id="61"/>
    <w:bookmarkStart w:id="182" w:name="bibliography"/>
    <w:p>
      <w:pPr>
        <w:pStyle w:val="Heading1"/>
      </w:pPr>
      <w:r>
        <w:t xml:space="preserve">参考文献</w:t>
      </w:r>
    </w:p>
    <w:bookmarkStart w:id="181" w:name="refs"/>
    <w:bookmarkStart w:id="63" w:name="ref-acemoglu2019"/>
    <w:p>
      <w:pPr>
        <w:pStyle w:val="Bibliography"/>
      </w:pPr>
      <w:r>
        <w:t xml:space="preserve">Acemoglu D, Naidu S, Restrepo P, et al., 2019. Democracy</w:t>
      </w:r>
      <w:r>
        <w:t xml:space="preserve"> </w:t>
      </w:r>
      <w:r>
        <w:t xml:space="preserve">Does Cause Growth</w:t>
      </w:r>
      <w:r>
        <w:t xml:space="preserve">[J/OL]. Journal of Political Economy, 127(1): 47–100. DOI:</w:t>
      </w:r>
      <w:r>
        <w:t xml:space="preserve"> </w:t>
      </w:r>
      <w:hyperlink r:id="rId62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3"/>
    <w:bookmarkStart w:id="66" w:name="ref-allaire2024"/>
    <w:p>
      <w:pPr>
        <w:pStyle w:val="Bibliography"/>
      </w:pPr>
      <w:r>
        <w:t xml:space="preserve">Allaire J J, Teague C, Scheidegger C, et al., 2024. Quarto[CP/OL]. 1.5.39. (2024-05-23)[2024-05-26].</w:t>
      </w:r>
      <w:r>
        <w:t xml:space="preserve"> </w:t>
      </w:r>
      <w:hyperlink r:id="rId64">
        <w:r>
          <w:rPr>
            <w:rStyle w:val="Hyperlink"/>
          </w:rPr>
          <w:t xml:space="preserve">https://github.com/quarto-dev/quarto-cli</w:t>
        </w:r>
      </w:hyperlink>
      <w:r>
        <w:t xml:space="preserve">. DOI:</w:t>
      </w:r>
      <w:r>
        <w:t xml:space="preserve"> </w:t>
      </w:r>
      <w:hyperlink r:id="rId65">
        <w:r>
          <w:rPr>
            <w:rStyle w:val="Hyperlink"/>
          </w:rPr>
          <w:t xml:space="preserve">10.5281/zenodo.10960780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6"/>
    <w:bookmarkStart w:id="68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7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</w:t>
      </w:r>
      <w:r>
        <w:t xml:space="preserve"> </w:t>
      </w:r>
      <w:r>
        <w:t xml:space="preserve">Paying Attention</w:t>
      </w:r>
      <w:r>
        <w:t xml:space="preserve"> </w:t>
      </w:r>
      <w:r>
        <w:t xml:space="preserve">to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Primary Sources</w:t>
      </w:r>
      <w:r>
        <w:t xml:space="preserve">[EB/OL]. The Wire China. (2022-11-06)[2022-11-07].</w:t>
      </w:r>
      <w:r>
        <w:t xml:space="preserve"> </w:t>
      </w:r>
      <w:hyperlink r:id="rId69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</w:t>
      </w:r>
      <w:r>
        <w:t xml:space="preserve"> </w:t>
      </w:r>
      <w:r>
        <w:t xml:space="preserve">How</w:t>
      </w:r>
      <w:r>
        <w:t xml:space="preserve"> </w:t>
      </w:r>
      <w:r>
        <w:t xml:space="preserve">to Reject a Manuscript for Arbitrary Reasons[R/OL]. Preprint.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7"/>
    <w:bookmarkStart w:id="79" w:name="ref-fairbank1968a"/>
    <w:p>
      <w:pPr>
        <w:pStyle w:val="Bibliography"/>
      </w:pPr>
      <w:r>
        <w:t xml:space="preserve">Fairbank J K, 1968. A</w:t>
      </w:r>
      <w:r>
        <w:t xml:space="preserve"> </w:t>
      </w:r>
      <w:r>
        <w:t xml:space="preserve">Preliminary Framework</w:t>
      </w:r>
      <w:r>
        <w:t xml:space="preserve">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3"/>
    <w:bookmarkStart w:id="85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</w:t>
      </w:r>
      <w:r>
        <w:t xml:space="preserve"> </w:t>
      </w:r>
      <w:r>
        <w:t xml:space="preserve">Geography</w:t>
      </w:r>
      <w:r>
        <w:t xml:space="preserve">:</w:t>
      </w:r>
      <w:r>
        <w:t xml:space="preserve"> </w:t>
      </w:r>
      <w:r>
        <w:t xml:space="preserve">World-Economy</w:t>
      </w:r>
      <w:r>
        <w:t xml:space="preserve">,</w:t>
      </w:r>
      <w:r>
        <w:t xml:space="preserve"> </w:t>
      </w:r>
      <w:r>
        <w:t xml:space="preserve">Nation-State</w:t>
      </w:r>
      <w:r>
        <w:t xml:space="preserve"> </w:t>
      </w:r>
      <w:r>
        <w:t xml:space="preserve">and</w:t>
      </w:r>
      <w:r>
        <w:t xml:space="preserve"> </w:t>
      </w:r>
      <w:r>
        <w:t xml:space="preserve">Locality</w:t>
      </w:r>
      <w:r>
        <w:t xml:space="preserve">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</w:t>
      </w:r>
      <w:r>
        <w:t xml:space="preserve">Augmented Generation</w:t>
      </w:r>
      <w:r>
        <w:t xml:space="preserve"> </w:t>
      </w:r>
      <w:r>
        <w:t xml:space="preserve">for</w:t>
      </w:r>
      <w:r>
        <w:t xml:space="preserve"> </w:t>
      </w:r>
      <w:r>
        <w:t xml:space="preserve">Large Language Models</w:t>
      </w:r>
      <w:r>
        <w:t xml:space="preserve">:</w:t>
      </w:r>
      <w:r>
        <w:t xml:space="preserve"> </w:t>
      </w:r>
      <w:r>
        <w:t xml:space="preserve">A Survey</w:t>
      </w:r>
      <w:r>
        <w:t xml:space="preserve">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</w:t>
      </w:r>
      <w:r>
        <w:t xml:space="preserve"> </w:t>
      </w:r>
      <w:r>
        <w:t xml:space="preserve">Missing Middle</w:t>
      </w:r>
      <w:r>
        <w:t xml:space="preserve">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harrison2009"/>
    <w:p>
      <w:pPr>
        <w:pStyle w:val="Bibliography"/>
      </w:pPr>
      <w:r>
        <w:t xml:space="preserve">Harrison C E, Johnson A, 2009. Introduction: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Identity</w:t>
      </w:r>
      <w:r>
        <w:t xml:space="preserve">[J/OL]. Osiris, 24(1): 1–14. DOI:</w:t>
      </w:r>
      <w:r>
        <w:t xml:space="preserve"> </w:t>
      </w:r>
      <w:hyperlink r:id="rId94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5"/>
    <w:bookmarkStart w:id="97" w:name="ref-hessler2021"/>
    <w:p>
      <w:pPr>
        <w:pStyle w:val="Bibliography"/>
      </w:pPr>
      <w:r>
        <w:t xml:space="preserve">Hessler P, 2021. China’s</w:t>
      </w:r>
      <w:r>
        <w:t xml:space="preserve"> </w:t>
      </w:r>
      <w:r>
        <w:t xml:space="preserve">Reform Generation Adapts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  <w:r>
        <w:t xml:space="preserve"> </w:t>
      </w:r>
      <w:r>
        <w:t xml:space="preserve">in the</w:t>
      </w:r>
      <w:r>
        <w:t xml:space="preserve"> </w:t>
      </w:r>
      <w:r>
        <w:t xml:space="preserve">Middle Class</w:t>
      </w:r>
      <w:r>
        <w:t xml:space="preserve">[J/OL]. The New Yorker. (2021-12-27)[2021-10-02].</w:t>
      </w:r>
      <w:r>
        <w:t xml:space="preserve"> </w:t>
      </w:r>
      <w:hyperlink r:id="rId96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7"/>
    <w:bookmarkStart w:id="99" w:name="ref-ho1984"/>
    <w:p>
      <w:pPr>
        <w:pStyle w:val="Bibliography"/>
      </w:pPr>
      <w:r>
        <w:t xml:space="preserve">Ho S P S, 1984. Colonialism and</w:t>
      </w:r>
      <w:r>
        <w:t xml:space="preserve"> </w:t>
      </w:r>
      <w:r>
        <w:t xml:space="preserve">Development</w:t>
      </w:r>
      <w:r>
        <w:t xml:space="preserve">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98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99"/>
    <w:bookmarkStart w:id="101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</w:t>
      </w:r>
      <w:r>
        <w:t xml:space="preserve"> </w:t>
      </w:r>
      <w:r>
        <w:t xml:space="preserve">A</w:t>
      </w:r>
      <w:r>
        <w:t xml:space="preserve"> </w:t>
      </w:r>
      <w:r>
        <w:t xml:space="preserve">Workshop on Early Career Researcher’s Needs[Z/OL]. (2020-11-09). DOI:</w:t>
      </w:r>
      <w:r>
        <w:t xml:space="preserve"> </w:t>
      </w:r>
      <w:hyperlink r:id="rId100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1"/>
    <w:bookmarkStart w:id="102" w:name="ref-hsu2000"/>
    <w:p>
      <w:pPr>
        <w:pStyle w:val="Bibliography"/>
      </w:pPr>
      <w:r>
        <w:t xml:space="preserve">Hsü I C Y, 2000. The</w:t>
      </w:r>
      <w:r>
        <w:t xml:space="preserve"> </w:t>
      </w:r>
      <w:r>
        <w:t xml:space="preserve">Rise</w:t>
      </w:r>
      <w:r>
        <w:t xml:space="preserve"> </w:t>
      </w:r>
      <w:r>
        <w:t xml:space="preserve">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2"/>
    <w:bookmarkStart w:id="103" w:name="ref-hua2021a"/>
    <w:p>
      <w:pPr>
        <w:pStyle w:val="Bibliography"/>
      </w:pPr>
      <w:r>
        <w:t xml:space="preserve">Hua R, 2021. Peasants</w:t>
      </w:r>
      <w:r>
        <w:t xml:space="preserve"> </w:t>
      </w:r>
      <w:r>
        <w:t xml:space="preserve">Versus Empires</w:t>
      </w:r>
      <w:r>
        <w:t xml:space="preserve">:</w:t>
      </w:r>
      <w:r>
        <w:t xml:space="preserve"> </w:t>
      </w:r>
      <w:r>
        <w:t xml:space="preserve">Transnational Civil Justice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Legal Decolonization</w:t>
      </w:r>
      <w:r>
        <w:t xml:space="preserve"> </w:t>
      </w:r>
      <w:r>
        <w:t xml:space="preserve">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3"/>
    <w:bookmarkStart w:id="105" w:name="ref-jaffe2013"/>
    <w:p>
      <w:pPr>
        <w:pStyle w:val="Bibliography"/>
      </w:pPr>
      <w:r>
        <w:t xml:space="preserve">Jaffe P, 2013. The</w:t>
      </w:r>
      <w:r>
        <w:t xml:space="preserve"> </w:t>
      </w:r>
      <w:r>
        <w:t xml:space="preserve">Secret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4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5"/>
    <w:bookmarkStart w:id="107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6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7"/>
    <w:bookmarkStart w:id="109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08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09"/>
    <w:bookmarkStart w:id="111" w:name="ref-krewinkel2017"/>
    <w:p>
      <w:pPr>
        <w:pStyle w:val="Bibliography"/>
      </w:pPr>
      <w:r>
        <w:t xml:space="preserve">Krewinkel A, Winkler R, 2017. Formatting</w:t>
      </w:r>
      <w:r>
        <w:t xml:space="preserve"> </w:t>
      </w:r>
      <w:r>
        <w:t xml:space="preserve">Open Science</w:t>
      </w:r>
      <w:r>
        <w:t xml:space="preserve">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0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1"/>
    <w:bookmarkStart w:id="112" w:name="ref-lee2024c"/>
    <w:p>
      <w:pPr>
        <w:pStyle w:val="Bibliography"/>
      </w:pPr>
      <w:r>
        <w:t xml:space="preserve">Lee J, 2024. AutoCorrect[CP/OL]. 2.10.0. (2024-05-22)[2024-05-27].</w:t>
      </w:r>
      <w:r>
        <w:t xml:space="preserve"> </w:t>
      </w:r>
      <w:hyperlink r:id="rId59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2"/>
    <w:bookmarkStart w:id="114" w:name="ref-li2013a"/>
    <w:p>
      <w:pPr>
        <w:pStyle w:val="Bibliography"/>
      </w:pPr>
      <w:r>
        <w:t xml:space="preserve">Li H, 2013. Reinventing</w:t>
      </w:r>
      <w:r>
        <w:t xml:space="preserve"> </w:t>
      </w:r>
      <w:r>
        <w:t xml:space="preserve">Modern China</w:t>
      </w:r>
      <w:r>
        <w:t xml:space="preserve">:</w:t>
      </w:r>
      <w:r>
        <w:t xml:space="preserve"> </w:t>
      </w:r>
      <w:r>
        <w:t xml:space="preserve">Imagination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Authenticity</w:t>
      </w:r>
      <w:r>
        <w:t xml:space="preserve"> </w:t>
      </w:r>
      <w:r>
        <w:t xml:space="preserve">in</w:t>
      </w:r>
      <w:r>
        <w:t xml:space="preserve"> </w:t>
      </w:r>
      <w:r>
        <w:t xml:space="preserve">Chinese Historical Writing</w:t>
      </w:r>
      <w:r>
        <w:t xml:space="preserve">[M/OL]. Honolulu: University of Hawai‘i Press. DOI:</w:t>
      </w:r>
      <w:r>
        <w:t xml:space="preserve"> </w:t>
      </w:r>
      <w:hyperlink r:id="rId113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4"/>
    <w:bookmarkStart w:id="117" w:name="ref-macfarlane2024"/>
    <w:p>
      <w:pPr>
        <w:pStyle w:val="Bibliography"/>
      </w:pPr>
      <w:r>
        <w:t xml:space="preserve">MacFarlane J, Krewinkel A, Rosenthal J, 2024. Pandoc[CP/OL]. 3.2. (2024-05-12)[2024-05-15].</w:t>
      </w:r>
      <w:r>
        <w:t xml:space="preserve"> </w:t>
      </w:r>
      <w:hyperlink r:id="rId115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6">
        <w:r>
          <w:rPr>
            <w:rStyle w:val="Hyperlink"/>
          </w:rPr>
          <w:t xml:space="preserve">10.5281/zenodo.11179936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7"/>
    <w:bookmarkStart w:id="119" w:name="ref-mittelbach2022"/>
    <w:p>
      <w:pPr>
        <w:pStyle w:val="Bibliography"/>
      </w:pPr>
      <w:r>
        <w:t xml:space="preserve">Mittelbach F, 2022. Tagged and</w:t>
      </w:r>
      <w:r>
        <w:t xml:space="preserve"> </w:t>
      </w:r>
      <w:r>
        <w:t xml:space="preserve">Accessible 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18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19"/>
    <w:bookmarkStart w:id="120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 Typewriter</w:t>
      </w:r>
      <w:r>
        <w:t xml:space="preserve">:</w:t>
      </w:r>
      <w:r>
        <w:t xml:space="preserve"> </w:t>
      </w:r>
      <w:r>
        <w:t xml:space="preserve">A History</w:t>
      </w:r>
      <w:r>
        <w:t xml:space="preserve">[M]. Cambridge, MA: The MIT Press.</w:t>
      </w:r>
    </w:p>
    <w:bookmarkEnd w:id="120"/>
    <w:bookmarkStart w:id="122" w:name="ref-pang2004"/>
    <w:p>
      <w:pPr>
        <w:pStyle w:val="Bibliography"/>
      </w:pPr>
      <w:r>
        <w:t xml:space="preserve">Pang L, Brauw A de, Rozelle S, 2004. Working Until</w:t>
      </w:r>
      <w:r>
        <w:t xml:space="preserve"> </w:t>
      </w:r>
      <w:r>
        <w:t xml:space="preserve">You Drop</w:t>
      </w:r>
      <w:r>
        <w:t xml:space="preserve">:</w:t>
      </w:r>
      <w:r>
        <w:t xml:space="preserve"> </w:t>
      </w:r>
      <w:r>
        <w:t xml:space="preserve">The Elderly</w:t>
      </w:r>
      <w:r>
        <w:t xml:space="preserve"> </w:t>
      </w:r>
      <w:r>
        <w:t xml:space="preserve">of</w:t>
      </w:r>
      <w:r>
        <w:t xml:space="preserve"> </w:t>
      </w:r>
      <w:r>
        <w:t xml:space="preserve">Rural China</w:t>
      </w:r>
      <w:r>
        <w:t xml:space="preserve">[J/OL]. The China Journal, 52: 73–94. DOI:</w:t>
      </w:r>
      <w:r>
        <w:t xml:space="preserve"> </w:t>
      </w:r>
      <w:hyperlink r:id="rId121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2"/>
    <w:bookmarkStart w:id="124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3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4"/>
    <w:bookmarkStart w:id="126" w:name="ref-scott1998"/>
    <w:p>
      <w:pPr>
        <w:pStyle w:val="Bibliography"/>
      </w:pPr>
      <w:r>
        <w:t xml:space="preserve">Scott J C, 1998. Seeing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State</w:t>
      </w:r>
      <w:r>
        <w:t xml:space="preserve">:</w:t>
      </w:r>
      <w:r>
        <w:t xml:space="preserve"> </w:t>
      </w:r>
      <w:r>
        <w:t xml:space="preserve">How Certain Schemes</w:t>
      </w:r>
      <w:r>
        <w:t xml:space="preserve"> </w:t>
      </w:r>
      <w:r>
        <w:t xml:space="preserve">to</w:t>
      </w:r>
      <w:r>
        <w:t xml:space="preserve"> </w:t>
      </w:r>
      <w:r>
        <w:t xml:space="preserve">Improve</w:t>
      </w:r>
      <w:r>
        <w:t xml:space="preserve"> </w:t>
      </w:r>
      <w:r>
        <w:t xml:space="preserve">the</w:t>
      </w:r>
      <w:r>
        <w:t xml:space="preserve"> </w:t>
      </w:r>
      <w:r>
        <w:t xml:space="preserve">Human Condition Have Failed</w:t>
      </w:r>
      <w:r>
        <w:t xml:space="preserve">[M/OL]. New Haven: Yale University Press. DOI:</w:t>
      </w:r>
      <w:r>
        <w:t xml:space="preserve"> </w:t>
      </w:r>
      <w:hyperlink r:id="rId125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6"/>
    <w:bookmarkStart w:id="128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</w:t>
      </w:r>
      <w:r>
        <w:t xml:space="preserve"> </w:t>
      </w:r>
      <w:r>
        <w:t xml:space="preserve">Coastal Defense Measures Under</w:t>
      </w:r>
      <w:r>
        <w:t xml:space="preserve"> </w:t>
      </w:r>
      <w:r>
        <w:t xml:space="preserve">the</w:t>
      </w:r>
      <w:r>
        <w:t xml:space="preserve"> </w:t>
      </w:r>
      <w:r>
        <w:t xml:space="preserve">Sino-Japanese Conflict</w:t>
      </w:r>
      <w:r>
        <w:t xml:space="preserve"> </w:t>
      </w:r>
      <w:r>
        <w:t xml:space="preserve">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7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28"/>
    <w:bookmarkStart w:id="129" w:name="ref-spence2013"/>
    <w:p>
      <w:pPr>
        <w:pStyle w:val="Bibliography"/>
      </w:pPr>
      <w:r>
        <w:t xml:space="preserve">Spence J D, 2013. The</w:t>
      </w:r>
      <w:r>
        <w:t xml:space="preserve"> </w:t>
      </w:r>
      <w:r>
        <w:t xml:space="preserve">Search</w:t>
      </w:r>
      <w:r>
        <w:t xml:space="preserve"> </w:t>
      </w:r>
      <w:r>
        <w:t xml:space="preserve">for</w:t>
      </w:r>
      <w:r>
        <w:t xml:space="preserve"> </w:t>
      </w:r>
      <w:r>
        <w:t xml:space="preserve">Modern China</w:t>
      </w:r>
      <w:r>
        <w:t xml:space="preserve">[M]. 3rd ed. New York: W. W. Norton &amp; Company.</w:t>
      </w:r>
    </w:p>
    <w:bookmarkEnd w:id="129"/>
    <w:bookmarkStart w:id="131" w:name="ref-tenen2014"/>
    <w:p>
      <w:pPr>
        <w:pStyle w:val="Bibliography"/>
      </w:pPr>
      <w:r>
        <w:t xml:space="preserve">Tenen D, Wythoff G, 2014. Sustainable</w:t>
      </w:r>
      <w:r>
        <w:t xml:space="preserve"> </w:t>
      </w:r>
      <w:r>
        <w:t xml:space="preserve">Authorship</w:t>
      </w:r>
      <w:r>
        <w:t xml:space="preserve"> </w:t>
      </w:r>
      <w:r>
        <w:t xml:space="preserve">in</w:t>
      </w:r>
      <w:r>
        <w:t xml:space="preserve"> </w:t>
      </w:r>
      <w:r>
        <w:t xml:space="preserve">Plain Text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0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1"/>
    <w:bookmarkStart w:id="133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</w:t>
      </w:r>
      <w:r>
        <w:t xml:space="preserve">Permanent</w:t>
      </w:r>
      <w:r>
        <w:t xml:space="preserve"> </w:t>
      </w:r>
      <w:r>
        <w:t xml:space="preserve">Sovereignty over Natural Resources”</w:t>
      </w:r>
      <w:r>
        <w:t xml:space="preserve">[R/OL]. United Nations(1962-12-14)[2023-03-09].</w:t>
      </w:r>
      <w:r>
        <w:t xml:space="preserve"> </w:t>
      </w:r>
      <w:hyperlink r:id="rId132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3"/>
    <w:bookmarkStart w:id="135" w:name="ref-vincent1942"/>
    <w:p>
      <w:pPr>
        <w:pStyle w:val="Bibliography"/>
      </w:pPr>
      <w:r>
        <w:t xml:space="preserve">Vincent J C, 1942. Memorandum by the</w:t>
      </w:r>
      <w:r>
        <w:t xml:space="preserve"> </w:t>
      </w:r>
      <w:r>
        <w:t xml:space="preserve">Counselor</w:t>
      </w:r>
      <w:r>
        <w:t xml:space="preserve"> </w:t>
      </w:r>
      <w:r>
        <w:t xml:space="preserve">of</w:t>
      </w:r>
      <w:r>
        <w:t xml:space="preserve"> </w:t>
      </w:r>
      <w:r>
        <w:t xml:space="preserve">Embassy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</w:t>
      </w:r>
      <w:r>
        <w:t xml:space="preserve"> </w:t>
      </w:r>
      <w:r>
        <w:t xml:space="preserve">Ambassador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</w:t>
      </w:r>
      <w:r>
        <w:t xml:space="preserve"> </w:t>
      </w:r>
      <w:r>
        <w:t xml:space="preserve">Document</w:t>
      </w:r>
      <w:r>
        <w:t xml:space="preserve"> </w:t>
      </w:r>
      <w:r>
        <w:t xml:space="preserve">192[EB/OL]. Foreign Relations of the United States: Diplomatic Papers, China. (1942-10-07)[2023-09-21].</w:t>
      </w:r>
      <w:r>
        <w:t xml:space="preserve"> </w:t>
      </w:r>
      <w:hyperlink r:id="rId134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5"/>
    <w:bookmarkStart w:id="137" w:name="ref-ward2021"/>
    <w:p>
      <w:pPr>
        <w:pStyle w:val="Bibliography"/>
      </w:pPr>
      <w:r>
        <w:t xml:space="preserve">Ward A F, 2021. People</w:t>
      </w:r>
      <w:r>
        <w:t xml:space="preserve"> </w:t>
      </w:r>
      <w:r>
        <w:t xml:space="preserve">Mistake</w:t>
      </w:r>
      <w:r>
        <w:t xml:space="preserve"> </w:t>
      </w:r>
      <w:r>
        <w:t xml:space="preserve">the</w:t>
      </w:r>
      <w:r>
        <w:t xml:space="preserve"> </w:t>
      </w:r>
      <w:r>
        <w:t xml:space="preserve">Internet</w:t>
      </w:r>
      <w:r>
        <w:t xml:space="preserve">’s</w:t>
      </w:r>
      <w:r>
        <w:t xml:space="preserve"> </w:t>
      </w:r>
      <w:r>
        <w:t xml:space="preserve">Knowledge</w:t>
      </w:r>
      <w:r>
        <w:t xml:space="preserve"> </w:t>
      </w:r>
      <w:r>
        <w:t xml:space="preserve">for</w:t>
      </w:r>
      <w:r>
        <w:t xml:space="preserve"> </w:t>
      </w:r>
      <w:r>
        <w:t xml:space="preserve">Their Own</w:t>
      </w:r>
      <w:r>
        <w:t xml:space="preserve">[J/OL]. Proceedings of the National Academy of Sciences, 118(43): e2105061118. DOI:</w:t>
      </w:r>
      <w:r>
        <w:t xml:space="preserve"> </w:t>
      </w:r>
      <w:hyperlink r:id="rId136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7"/>
    <w:bookmarkStart w:id="139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38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9"/>
    <w:bookmarkStart w:id="141" w:name="ref-zarrow2012"/>
    <w:p>
      <w:pPr>
        <w:pStyle w:val="Bibliography"/>
      </w:pPr>
      <w:r>
        <w:t xml:space="preserve">Zarrow P, 2012. After</w:t>
      </w:r>
      <w:r>
        <w:t xml:space="preserve"> </w:t>
      </w:r>
      <w:r>
        <w:t xml:space="preserve">Empire</w:t>
      </w:r>
      <w:r>
        <w:t xml:space="preserve">:</w:t>
      </w:r>
      <w:r>
        <w:t xml:space="preserve"> </w:t>
      </w:r>
      <w:r>
        <w:t xml:space="preserve">The Conceptual Transformation</w:t>
      </w:r>
      <w:r>
        <w:t xml:space="preserve"> </w:t>
      </w:r>
      <w:r>
        <w:t xml:space="preserve">of the</w:t>
      </w:r>
      <w:r>
        <w:t xml:space="preserve"> </w:t>
      </w:r>
      <w:r>
        <w:t xml:space="preserve">Chinese State</w:t>
      </w:r>
      <w:r>
        <w:t xml:space="preserve">, 1885–1924[M/OL]. Stanford: Stanford University Press. DOI:</w:t>
      </w:r>
      <w:r>
        <w:t xml:space="preserve"> </w:t>
      </w:r>
      <w:hyperlink r:id="rId140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1"/>
    <w:bookmarkStart w:id="142" w:name="ref-caidingjian2011"/>
    <w:p>
      <w:pPr>
        <w:pStyle w:val="Bibliography"/>
      </w:pPr>
      <w:r>
        <w:t xml:space="preserve">蔡定剑, 王占阳, 2011. 走向宪政[M]. 北京: 法律出版社.</w:t>
      </w:r>
    </w:p>
    <w:bookmarkEnd w:id="142"/>
    <w:bookmarkStart w:id="144" w:name="ref-caojingjing2020"/>
    <w:p>
      <w:pPr>
        <w:pStyle w:val="Bibliography"/>
      </w:pPr>
      <w:r>
        <w:t xml:space="preserve">曹晶晶, 章锦河, 王昶, 等, 2020. 距离欲对旅游者目的地选择影响的解释框架[J/OL]. 地理学报, 75(4): 860–877. DOI:</w:t>
      </w:r>
      <w:r>
        <w:t xml:space="preserve"> </w:t>
      </w:r>
      <w:hyperlink r:id="rId143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4"/>
    <w:bookmarkStart w:id="145" w:name="ref-chuanping1955"/>
    <w:p>
      <w:pPr>
        <w:pStyle w:val="Bibliography"/>
      </w:pPr>
      <w:r>
        <w:t xml:space="preserve">储安平, 1955. 在阿尔泰山之巅[N]. 人民日报, 1955-12-16: 3.</w:t>
      </w:r>
    </w:p>
    <w:bookmarkEnd w:id="145"/>
    <w:bookmarkStart w:id="146" w:name="ref-feixiaotong1989"/>
    <w:p>
      <w:pPr>
        <w:pStyle w:val="Bibliography"/>
      </w:pPr>
      <w:r>
        <w:t xml:space="preserve">费孝通, 1989. 中华民族多元一体格局[M]. 北京: 中央民族学院出版社.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6"/>
    <w:bookmarkStart w:id="147" w:name="ref-feixiaotong2013"/>
    <w:p>
      <w:pPr>
        <w:pStyle w:val="Bibliography"/>
      </w:pPr>
      <w:r>
        <w:t xml:space="preserve">费孝通, 2013. 乡土中国[M]. 刘豪兴, 编. 修订本. 上海: 上海人民出版社.</w:t>
      </w:r>
    </w:p>
    <w:bookmarkEnd w:id="147"/>
    <w:bookmarkStart w:id="148" w:name="ref-gezhaoguang2000a"/>
    <w:p>
      <w:pPr>
        <w:pStyle w:val="Bibliography"/>
      </w:pPr>
      <w:r>
        <w:t xml:space="preserve">葛兆光, 2000. 中国思想史——导论：思想史的写法: 第1卷[M]. 上海: 复旦大学出版社.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8"/>
    <w:bookmarkStart w:id="149" w:name="ref-gezhaoguang2011"/>
    <w:p>
      <w:pPr>
        <w:pStyle w:val="Bibliography"/>
      </w:pPr>
      <w:r>
        <w:t xml:space="preserve">葛兆光, 2011. 宅兹中国：重建有关「中国」的历史论述[M]. 北京: 中华书局.</w:t>
      </w:r>
    </w:p>
    <w:bookmarkEnd w:id="149"/>
    <w:bookmarkStart w:id="150" w:name="ref-gezhaoguang2014"/>
    <w:p>
      <w:pPr>
        <w:pStyle w:val="Bibliography"/>
      </w:pPr>
      <w:r>
        <w:t xml:space="preserve">葛兆光, 2014. 何為「中國」？——疆域、民族、文化與歷史[M]. 香港: 牛津大學出版社.</w:t>
      </w:r>
    </w:p>
    <w:bookmarkEnd w:id="150"/>
    <w:bookmarkStart w:id="152" w:name="ref-geyanfeng2020"/>
    <w:p>
      <w:pPr>
        <w:pStyle w:val="Bibliography"/>
      </w:pPr>
      <w:r>
        <w:t xml:space="preserve">葛延风, 王列军, 冯文猛, 等, 2020. 我国健康老龄化的挑战与策略选择[J/OL]. 管理世界, 36(4): 86–96. DOI:</w:t>
      </w:r>
      <w:r>
        <w:t xml:space="preserve"> </w:t>
      </w:r>
      <w:hyperlink r:id="rId151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2"/>
    <w:bookmarkStart w:id="154" w:name="ref-guomindahui1947"/>
    <w:p>
      <w:pPr>
        <w:pStyle w:val="Bibliography"/>
      </w:pPr>
      <w:r>
        <w:t xml:space="preserve">國民大會, 1947. 中華民國憲法[A/OL]. (1947-01-01)[2023-03-09].</w:t>
      </w:r>
      <w:r>
        <w:t xml:space="preserve"> </w:t>
      </w:r>
      <w:hyperlink r:id="rId153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4"/>
    <w:bookmarkStart w:id="155" w:name="ref-hanqilan2004"/>
    <w:p>
      <w:pPr>
        <w:pStyle w:val="Bibliography"/>
      </w:pPr>
      <w:r>
        <w:t xml:space="preserve">韩起澜, 2004. 苏北人在上海（1850–1980）[M]. 卢明华, 译. 上海: 上海古籍出版社.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5"/>
    <w:bookmarkStart w:id="156" w:name="ref-jiazhen1979"/>
    <w:p>
      <w:pPr>
        <w:pStyle w:val="Bibliography"/>
      </w:pPr>
      <w:r>
        <w:t xml:space="preserve">賈禎, 寶鋆, 文祥, 等, 1979. 籌辦夷務始末（咸豐朝）[M]. 北京: 中華書局.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6"/>
    <w:bookmarkStart w:id="158" w:name="ref-jiangyuanshan2009"/>
    <w:p>
      <w:pPr>
        <w:pStyle w:val="Bibliography"/>
      </w:pPr>
      <w:r>
        <w:t xml:space="preserve">江远山, 2009. 近代中国地域政治化研究——以广东为考察对象[D/OL]. 博士学位论文. 上海: 复旦大学. DOI:</w:t>
      </w:r>
      <w:r>
        <w:t xml:space="preserve"> </w:t>
      </w:r>
      <w:hyperlink r:id="rId157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58"/>
    <w:bookmarkStart w:id="160" w:name="ref-jiangzemin2008"/>
    <w:p>
      <w:pPr>
        <w:pStyle w:val="Bibliography"/>
      </w:pPr>
      <w:r>
        <w:t xml:space="preserve">江泽民, 2008. 对中国能源问题的思考[J/OL]. 上海交通大学学报(3): 345–359. DOI:</w:t>
      </w:r>
      <w:r>
        <w:t xml:space="preserve"> </w:t>
      </w:r>
      <w:hyperlink r:id="rId159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0"/>
    <w:bookmarkStart w:id="161" w:name="ref-kanyaoping2003"/>
    <w:p>
      <w:pPr>
        <w:pStyle w:val="Bibliography"/>
      </w:pPr>
      <w:r>
        <w:t xml:space="preserve">阚耀平, 2003. 清代天山北路人口迁移与区域开发研究[D]. 博士学位论文. 上海: 复旦大学.</w:t>
      </w:r>
    </w:p>
    <w:bookmarkEnd w:id="161"/>
    <w:bookmarkStart w:id="162" w:name="ref-lihongzhang2007"/>
    <w:p>
      <w:pPr>
        <w:pStyle w:val="Bibliography"/>
      </w:pPr>
      <w:r>
        <w:t xml:space="preserve">李鸿章, 2007. 李鸿章全集（奏议六）[M]. 顾廷龙, 戴逸, 编. 合肥: 安徽教育出版社.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2"/>
    <w:bookmarkStart w:id="163" w:name="ref-liangqichao2018"/>
    <w:p>
      <w:pPr>
        <w:pStyle w:val="Bibliography"/>
      </w:pPr>
      <w:r>
        <w:t xml:space="preserve">梁启超, 2018. 梁启超全集（第二集，论著二）[M]. 汤志钧, 汤仁泽, 编. 北京: 中国人民大学出版社.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3"/>
    <w:bookmarkStart w:id="164" w:name="ref-liucuirong1999"/>
    <w:p>
      <w:pPr>
        <w:pStyle w:val="Bibliography"/>
      </w:pPr>
      <w:r>
        <w:t xml:space="preserve">劉翠溶, 1999. 中國歷史上關於山林川澤的觀念和制度[G]//曹添旺, 賴景昌, 楊建成. 經濟成長、所得分配與制度演化. 臺北: 中央研究院中山人文社會科學研究所: 1–42.</w:t>
      </w:r>
    </w:p>
    <w:bookmarkEnd w:id="164"/>
    <w:bookmarkStart w:id="166" w:name="ref-lushaowei2015"/>
    <w:p>
      <w:pPr>
        <w:pStyle w:val="Bibliography"/>
      </w:pPr>
      <w:r>
        <w:t xml:space="preserve">卢少微, 冯春林, 聂鹏, 等, 2015. 碳纳米管用于聚合物基复合材料健康监测的研究进展[J/OL]. 航空材料学报, 35(2): 12–20. DOI:</w:t>
      </w:r>
      <w:r>
        <w:t xml:space="preserve"> </w:t>
      </w:r>
      <w:hyperlink r:id="rId165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6"/>
    <w:bookmarkStart w:id="167" w:name="ref-ludefu2019"/>
    <w:p>
      <w:pPr>
        <w:pStyle w:val="Bibliography"/>
      </w:pPr>
      <w:r>
        <w:t xml:space="preserve">陆德芙, 宋怡明, 2019. 中国36问：对一个崛起大国的洞察[M]. 余江, 郑言, 译. 香港: 香港城市大学出版社.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7"/>
    <w:bookmarkStart w:id="168" w:name="ref-marong2016"/>
    <w:p>
      <w:pPr>
        <w:pStyle w:val="Bibliography"/>
      </w:pPr>
      <w:r>
        <w:t xml:space="preserve">马戎, 2016.</w:t>
      </w:r>
      <w:r>
        <w:t xml:space="preserve"> </w:t>
      </w:r>
      <w:r>
        <w:rPr>
          <w:rFonts w:hint="eastAsia"/>
        </w:rPr>
        <w:t xml:space="preserve">“</w:t>
      </w:r>
      <w:r>
        <w:t xml:space="preserve">中华民族是一个</w:t>
      </w:r>
      <w:r>
        <w:rPr>
          <w:rFonts w:hint="eastAsia"/>
        </w:rPr>
        <w:t xml:space="preserve">”</w:t>
      </w:r>
      <w:r>
        <w:t xml:space="preserve">——围绕1939年这一议题的大讨论[M]. 北京: 社会科学文献出版社.</w:t>
      </w:r>
    </w:p>
    <w:bookmarkEnd w:id="168"/>
    <w:bookmarkStart w:id="169" w:name="ref-maikeerhekete2012"/>
    <w:p>
      <w:pPr>
        <w:pStyle w:val="Bibliography"/>
      </w:pPr>
      <w:r>
        <w:t xml:space="preserve">迈克尔·赫克特, 2012. 遏制民族主义[M]. 韩召颖, 译. 北京: 中国人民大学出版社.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0" w:name="ref-qinhui2019"/>
    <w:p>
      <w:pPr>
        <w:pStyle w:val="Bibliography"/>
      </w:pPr>
      <w:r>
        <w:t xml:space="preserve">秦晖, 金雁, 2019. 田园诗与狂想曲：关中模式与前近代社会的再认识[M]. 第3版. 南京: 江苏凤凰文艺出版社.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0"/>
    <w:bookmarkStart w:id="171" w:name="ref-qgrmdbdh2018"/>
    <w:p>
      <w:pPr>
        <w:pStyle w:val="Bibliography"/>
      </w:pPr>
      <w:r>
        <w:t xml:space="preserve">全国人民代表大会, 2018. 中华人民共和国宪法[N]. 人民日报, 2018-03-22: 1–3.</w:t>
      </w:r>
    </w:p>
    <w:bookmarkEnd w:id="171"/>
    <w:bookmarkStart w:id="172" w:name="ref-shenzhihua2003"/>
    <w:p>
      <w:pPr>
        <w:pStyle w:val="Bibliography"/>
      </w:pPr>
      <w:r>
        <w:t xml:space="preserve">沈志华, 2003. 苏联专家在中国[M]. 北京: 中国国际广播出版社.</w:t>
      </w:r>
    </w:p>
    <w:bookmarkEnd w:id="172"/>
    <w:bookmarkStart w:id="173" w:name="ref-taoxisheng2016"/>
    <w:p>
      <w:pPr>
        <w:pStyle w:val="Bibliography"/>
      </w:pPr>
      <w:r>
        <w:t xml:space="preserve">陶希圣, 2016. 潮流与点滴：陶希圣回忆录[M]. 第2版. 北京: 中国大百科全书出版社.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3"/>
    <w:bookmarkStart w:id="174" w:name="ref-yishabai2018"/>
    <w:p>
      <w:pPr>
        <w:pStyle w:val="Bibliography"/>
      </w:pPr>
      <w:r>
        <w:t xml:space="preserve">伊莎白, 柯临清, 2018. 战时中国农村的风习、改造与抵拒：兴隆场（1940–1941）[M]. 邵达, 译. 贺萧, 韩起澜, 编. 北京: 外语教学与研究出版社.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4"/>
    <w:bookmarkStart w:id="175" w:name="ref-zengwenwu1936"/>
    <w:p>
      <w:pPr>
        <w:pStyle w:val="Bibliography"/>
      </w:pPr>
      <w:r>
        <w:t xml:space="preserve">曾問吾, 1936. 中國經營西域史[M]. 上海: 商務印書館.</w:t>
      </w:r>
    </w:p>
    <w:bookmarkEnd w:id="175"/>
    <w:bookmarkStart w:id="176" w:name="ref-zhangqixiong2010"/>
    <w:p>
      <w:pPr>
        <w:pStyle w:val="Bibliography"/>
      </w:pPr>
      <w:r>
        <w:t xml:space="preserve">张启雄, 2010. 中华世界秩序原理的源起：近代中国外交纷争中的古典文化价值[G]//吴志攀, 李玉. 东亚的价值. 北京: 北京大学出版社.</w:t>
      </w:r>
    </w:p>
    <w:bookmarkEnd w:id="176"/>
    <w:bookmarkStart w:id="178" w:name="ref-zhaojizhi2024"/>
    <w:p>
      <w:pPr>
        <w:pStyle w:val="Bibliography"/>
      </w:pPr>
      <w:r>
        <w:t xml:space="preserve">赵继之, 辛公锋, 陶慕轩, 等, 2024. 超高性能混凝土单轴拉、压循环作用下力学性能及其本构模型研究[J/OL]. 工程力学, 41(4): 81–93. DOI:</w:t>
      </w:r>
      <w:r>
        <w:t xml:space="preserve"> </w:t>
      </w:r>
      <w:hyperlink r:id="rId177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8"/>
    <w:bookmarkStart w:id="179" w:name="ref-zgrmdxqsyjs1983"/>
    <w:p>
      <w:pPr>
        <w:pStyle w:val="Bibliography"/>
      </w:pPr>
      <w:r>
        <w:t xml:space="preserve">中国人民大学清史研究所, 中国人民大学档案系中国政治制度史教研室, 1983. 清代的矿业: 第1卷[M]. 北京: 中华书局.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9"/>
    <w:bookmarkStart w:id="180" w:name="ref-zuozongtang1986"/>
    <w:p>
      <w:pPr>
        <w:pStyle w:val="Bibliography"/>
      </w:pPr>
      <w:r>
        <w:t xml:space="preserve">左宗棠, 1986. 左宗棠全集（札件）[M]. 邓云生, 编. 长沙: 岳麓书社.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0"/>
    <w:bookmarkEnd w:id="181"/>
    <w:bookmarkEnd w:id="1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55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6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3" Target="https://doi.org/10.1080/14650040412331307882" TargetMode="External" /><Relationship Type="http://schemas.openxmlformats.org/officeDocument/2006/relationships/hyperlink" Id="rId94" Target="https://doi.org/10.1086/605966" TargetMode="External" /><Relationship Type="http://schemas.openxmlformats.org/officeDocument/2006/relationships/hyperlink" Id="rId62" Target="https://doi.org/10.1086/700936" TargetMode="External" /><Relationship Type="http://schemas.openxmlformats.org/officeDocument/2006/relationships/hyperlink" Id="rId104" Target="https://doi.org/10.1163/9789004212732_002" TargetMode="External" /><Relationship Type="http://schemas.openxmlformats.org/officeDocument/2006/relationships/hyperlink" Id="rId143" Target="https://doi.org/10.11821/dlxb202004014" TargetMode="External" /><Relationship Type="http://schemas.openxmlformats.org/officeDocument/2006/relationships/hyperlink" Id="rId165" Target="https://doi.org/10.11868/j.issn.1005-5053.2015.2.002" TargetMode="External" /><Relationship Type="http://schemas.openxmlformats.org/officeDocument/2006/relationships/hyperlink" Id="rId125" Target="https://doi.org/10.12987/9780300128789" TargetMode="External" /><Relationship Type="http://schemas.openxmlformats.org/officeDocument/2006/relationships/hyperlink" Id="rId108" Target="https://doi.org/10.1371/journal.pone.0201347" TargetMode="External" /><Relationship Type="http://schemas.openxmlformats.org/officeDocument/2006/relationships/hyperlink" Id="rId98" Target="https://doi.org/10.1515/9780691213873-013" TargetMode="External" /><Relationship Type="http://schemas.openxmlformats.org/officeDocument/2006/relationships/hyperlink" Id="rId140" Target="https://doi.org/10.1515/9780804781879" TargetMode="External" /><Relationship Type="http://schemas.openxmlformats.org/officeDocument/2006/relationships/hyperlink" Id="rId159" Target="https://doi.org/10.16183/j.cnki.jsjtu.2008.03.001" TargetMode="External" /><Relationship Type="http://schemas.openxmlformats.org/officeDocument/2006/relationships/hyperlink" Id="rId151" Target="https://doi.org/10.19744/j.cnki.11-1235/f.2020.0055" TargetMode="External" /><Relationship Type="http://schemas.openxmlformats.org/officeDocument/2006/relationships/hyperlink" Id="rId113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1" Target="https://doi.org/10.2307/4127885" TargetMode="External" /><Relationship Type="http://schemas.openxmlformats.org/officeDocument/2006/relationships/hyperlink" Id="rId127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0" Target="https://doi.org/10.46430/phen0041" TargetMode="External" /><Relationship Type="http://schemas.openxmlformats.org/officeDocument/2006/relationships/hyperlink" Id="rId138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65" Target="https://doi.org/10.5281/zenodo.10960780" TargetMode="External" /><Relationship Type="http://schemas.openxmlformats.org/officeDocument/2006/relationships/hyperlink" Id="rId116" Target="https://doi.org/10.5281/zenodo.11179936" TargetMode="External" /><Relationship Type="http://schemas.openxmlformats.org/officeDocument/2006/relationships/hyperlink" Id="rId100" Target="https://doi.org/10.5281/zenodo.4273761" TargetMode="External" /><Relationship Type="http://schemas.openxmlformats.org/officeDocument/2006/relationships/hyperlink" Id="rId177" Target="https://doi.org/10.6052/j.issn.1000-4750.2022.04.0339" TargetMode="External" /><Relationship Type="http://schemas.openxmlformats.org/officeDocument/2006/relationships/hyperlink" Id="rId157" Target="https://doi.org/10.7666/d.y1970854" TargetMode="External" /><Relationship Type="http://schemas.openxmlformats.org/officeDocument/2006/relationships/hyperlink" Id="rId110" Target="https://doi.org/10.7717/peerj-cs.112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59" Target="https://github.com/huacnlee/autocorrect" TargetMode="External" /><Relationship Type="http://schemas.openxmlformats.org/officeDocument/2006/relationships/hyperlink" Id="rId52" Target="https://github.com/hushidong/biblatex-gb7714-2015" TargetMode="External" /><Relationship Type="http://schemas.openxmlformats.org/officeDocument/2006/relationships/hyperlink" Id="rId115" Target="https://github.com/jgm/pandoc" TargetMode="External" /><Relationship Type="http://schemas.openxmlformats.org/officeDocument/2006/relationships/hyperlink" Id="rId64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7" Target="https://github.com/vinta/pangu.js" TargetMode="External" /><Relationship Type="http://schemas.openxmlformats.org/officeDocument/2006/relationships/hyperlink" Id="rId134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3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6" Target="https://www.newyorker.com/magazine/2022/01/03/chinas-reform-generation-adapts-to-life-in-the-middle-class" TargetMode="External" /><Relationship Type="http://schemas.openxmlformats.org/officeDocument/2006/relationships/hyperlink" Id="rId132" Target="https://www.ohchr.org/en/instruments-mechanisms/instruments/general-assembly-resolution-1803-xvii-14-december-1962-permanent" TargetMode="External" /><Relationship Type="http://schemas.openxmlformats.org/officeDocument/2006/relationships/hyperlink" Id="rId118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6" Target="https://www.youtube.com/watch?v=UQQHSbeIaB0" TargetMode="External" /><Relationship Type="http://schemas.openxmlformats.org/officeDocument/2006/relationships/hyperlink" Id="rId58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6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3" Target="https://doi.org/10.1080/14650040412331307882" TargetMode="External" /><Relationship Type="http://schemas.openxmlformats.org/officeDocument/2006/relationships/hyperlink" Id="rId94" Target="https://doi.org/10.1086/605966" TargetMode="External" /><Relationship Type="http://schemas.openxmlformats.org/officeDocument/2006/relationships/hyperlink" Id="rId62" Target="https://doi.org/10.1086/700936" TargetMode="External" /><Relationship Type="http://schemas.openxmlformats.org/officeDocument/2006/relationships/hyperlink" Id="rId104" Target="https://doi.org/10.1163/9789004212732_002" TargetMode="External" /><Relationship Type="http://schemas.openxmlformats.org/officeDocument/2006/relationships/hyperlink" Id="rId143" Target="https://doi.org/10.11821/dlxb202004014" TargetMode="External" /><Relationship Type="http://schemas.openxmlformats.org/officeDocument/2006/relationships/hyperlink" Id="rId165" Target="https://doi.org/10.11868/j.issn.1005-5053.2015.2.002" TargetMode="External" /><Relationship Type="http://schemas.openxmlformats.org/officeDocument/2006/relationships/hyperlink" Id="rId125" Target="https://doi.org/10.12987/9780300128789" TargetMode="External" /><Relationship Type="http://schemas.openxmlformats.org/officeDocument/2006/relationships/hyperlink" Id="rId108" Target="https://doi.org/10.1371/journal.pone.0201347" TargetMode="External" /><Relationship Type="http://schemas.openxmlformats.org/officeDocument/2006/relationships/hyperlink" Id="rId98" Target="https://doi.org/10.1515/9780691213873-013" TargetMode="External" /><Relationship Type="http://schemas.openxmlformats.org/officeDocument/2006/relationships/hyperlink" Id="rId140" Target="https://doi.org/10.1515/9780804781879" TargetMode="External" /><Relationship Type="http://schemas.openxmlformats.org/officeDocument/2006/relationships/hyperlink" Id="rId159" Target="https://doi.org/10.16183/j.cnki.jsjtu.2008.03.001" TargetMode="External" /><Relationship Type="http://schemas.openxmlformats.org/officeDocument/2006/relationships/hyperlink" Id="rId151" Target="https://doi.org/10.19744/j.cnki.11-1235/f.2020.0055" TargetMode="External" /><Relationship Type="http://schemas.openxmlformats.org/officeDocument/2006/relationships/hyperlink" Id="rId113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1" Target="https://doi.org/10.2307/4127885" TargetMode="External" /><Relationship Type="http://schemas.openxmlformats.org/officeDocument/2006/relationships/hyperlink" Id="rId127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0" Target="https://doi.org/10.46430/phen0041" TargetMode="External" /><Relationship Type="http://schemas.openxmlformats.org/officeDocument/2006/relationships/hyperlink" Id="rId138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65" Target="https://doi.org/10.5281/zenodo.10960780" TargetMode="External" /><Relationship Type="http://schemas.openxmlformats.org/officeDocument/2006/relationships/hyperlink" Id="rId116" Target="https://doi.org/10.5281/zenodo.11179936" TargetMode="External" /><Relationship Type="http://schemas.openxmlformats.org/officeDocument/2006/relationships/hyperlink" Id="rId100" Target="https://doi.org/10.5281/zenodo.4273761" TargetMode="External" /><Relationship Type="http://schemas.openxmlformats.org/officeDocument/2006/relationships/hyperlink" Id="rId177" Target="https://doi.org/10.6052/j.issn.1000-4750.2022.04.0339" TargetMode="External" /><Relationship Type="http://schemas.openxmlformats.org/officeDocument/2006/relationships/hyperlink" Id="rId157" Target="https://doi.org/10.7666/d.y1970854" TargetMode="External" /><Relationship Type="http://schemas.openxmlformats.org/officeDocument/2006/relationships/hyperlink" Id="rId110" Target="https://doi.org/10.7717/peerj-cs.112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59" Target="https://github.com/huacnlee/autocorrect" TargetMode="External" /><Relationship Type="http://schemas.openxmlformats.org/officeDocument/2006/relationships/hyperlink" Id="rId52" Target="https://github.com/hushidong/biblatex-gb7714-2015" TargetMode="External" /><Relationship Type="http://schemas.openxmlformats.org/officeDocument/2006/relationships/hyperlink" Id="rId115" Target="https://github.com/jgm/pandoc" TargetMode="External" /><Relationship Type="http://schemas.openxmlformats.org/officeDocument/2006/relationships/hyperlink" Id="rId64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7" Target="https://github.com/vinta/pangu.js" TargetMode="External" /><Relationship Type="http://schemas.openxmlformats.org/officeDocument/2006/relationships/hyperlink" Id="rId134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3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6" Target="https://www.newyorker.com/magazine/2022/01/03/chinas-reform-generation-adapts-to-life-in-the-middle-class" TargetMode="External" /><Relationship Type="http://schemas.openxmlformats.org/officeDocument/2006/relationships/hyperlink" Id="rId132" Target="https://www.ohchr.org/en/instruments-mechanisms/instruments/general-assembly-resolution-1803-xvii-14-december-1962-permanent" TargetMode="External" /><Relationship Type="http://schemas.openxmlformats.org/officeDocument/2006/relationships/hyperlink" Id="rId118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6" Target="https://www.youtube.com/watch?v=UQQHSbeIaB0" TargetMode="External" /><Relationship Type="http://schemas.openxmlformats.org/officeDocument/2006/relationships/hyperlink" Id="rId58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2024-05-29T04:22:57Z</dcterms:created>
  <dcterms:modified xsi:type="dcterms:W3CDTF">2024-05-29T04:22:57Z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2024年5月29日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