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用</w:t>
      </w:r>
      <w:r>
        <w:t xml:space="preserve"> </w:t>
      </w:r>
      <w:r>
        <w:t xml:space="preserve">Quarto</w:t>
      </w:r>
      <w:r>
        <w:t xml:space="preserve"> </w:t>
      </w:r>
      <w:r>
        <w:t xml:space="preserve">写作中文学术论文</w:t>
      </w:r>
    </w:p>
    <w:p>
      <w:pPr>
        <w:pStyle w:val="Subtitle"/>
      </w:pPr>
      <w:r>
        <w:t xml:space="preserve">一个简单的示例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Ben</w:t>
      </w:r>
    </w:p>
    <w:p>
      <w:pPr>
        <w:pStyle w:val="Date"/>
      </w:pPr>
      <w:r>
        <w:t xml:space="preserve">2024年5月28日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前言</w:t>
      </w:r>
    </w:p>
    <w:p>
      <w:pPr>
        <w:pStyle w:val="FirstParagraph"/>
      </w:pPr>
      <w:r>
        <w:t xml:space="preserve">学术论文写作，是科研工作的核心环节。写好一篇学术论文，不仅需要有大量的文献阅读、扎实的实证研究，还需要有清晰的逻辑思维、精准的表达能力。除此之外，</w:t>
      </w:r>
      <w:r>
        <w:rPr>
          <w:rFonts w:hint="eastAsia"/>
          <w:lang w:eastAsia="zh-CN"/>
        </w:rPr>
        <w:t>“</w:t>
      </w:r>
      <w:r>
        <w:t xml:space="preserve">用什么工具写</w:t>
      </w:r>
      <w:r>
        <w:rPr>
          <w:rFonts w:hint="eastAsia"/>
          <w:lang w:eastAsia="zh-CN"/>
        </w:rPr>
        <w:t>”</w:t>
      </w:r>
      <w:r>
        <w:t xml:space="preserve">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t xml:space="preserve">在学术论文写作方面，Word使用体验较差，LaTeX学习曲线陡峭，这两者似乎都不是完美的选择。有没有一种既易于上手，又能够满足学术论文写作需求的工具呢？答案是肯定的，这个工具就是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 Quarto 中使用 R 绘图</w:t>
      </w:r>
    </w:p>
    <w:p>
      <w:pPr>
        <w:pStyle w:val="BodyText"/>
      </w:pPr>
      <w: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t xml:space="preserve">本项目的目标，就是基于Pandoc和Quarto，提供一套完整的Markdown学术写作方案，解决中文写作者在使用Markdown写作时遇到的各种问题，包括中文引号处理、中西文自动添加空格、参考文献列表按拼音排序（包括多音字）、中文参考文献本地化等。输出为格式完美的Word、HTML、PDF等格式。</w:t>
      </w:r>
    </w:p>
    <w:bookmarkEnd w:id="35"/>
    <w:bookmarkStart w:id="51" w:name="参考文献本地化"/>
    <w:p>
      <w:pPr>
        <w:pStyle w:val="Heading1"/>
      </w:pPr>
      <w:r>
        <w:t xml:space="preserve">2. 参考文献本地化</w:t>
      </w:r>
    </w:p>
    <w:p>
      <w:pPr>
        <w:pStyle w:val="FirstParagraph"/>
      </w:pPr>
      <w:r>
        <w:t xml:space="preserve">Pandoc使用CSL (Citation Style Language)来格式化参考文献信息，然而CSL不支持多语言的参考文献格式化，例如在Pandoc中将语言设置为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t xml:space="preserve">等。</w:t>
      </w:r>
    </w:p>
    <w:p>
      <w:pPr>
        <w:pStyle w:val="BodyText"/>
      </w:pPr>
      <w:r>
        <w:t xml:space="preserve">本项目使用Lua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来解决这个问题。</w:t>
      </w:r>
    </w:p>
    <w:bookmarkStart w:id="40" w:name="et-al.替换为等"/>
    <w:p>
      <w:pPr>
        <w:pStyle w:val="Heading2"/>
      </w:pPr>
      <w:r>
        <w:t xml:space="preserve">2.1 「et al.」替换为「等」</w:t>
      </w:r>
    </w:p>
    <w:p>
      <w:pPr>
        <w:pStyle w:val="FirstParagraph"/>
      </w:pPr>
      <w: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t xml:space="preserve">表示</w:t>
      </w:r>
      <w:r>
        <w:t xml:space="preserve"> </w:t>
      </w:r>
      <w:bookmarkStart w:id="36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6"/>
      <w:r>
        <w:t xml:space="preserve">。对于中文文献，</w:t>
      </w:r>
      <w:r>
        <w:rPr>
          <w:rStyle w:val="VerbatimChar"/>
        </w:rPr>
        <w:t xml:space="preserve">et al.</w:t>
      </w:r>
      <w:r>
        <w:t xml:space="preserve">则应该替换为</w:t>
      </w:r>
      <w:r>
        <w:rPr>
          <w:rStyle w:val="VerbatimChar"/>
        </w:rPr>
        <w:t xml:space="preserve">等</w:t>
      </w:r>
      <w:r>
        <w:t xml:space="preserve"> </w:t>
      </w:r>
      <w:bookmarkStart w:id="37" w:name="cite_6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</w:rPr>
          <w:t xml:space="preserve">賈禎 等,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</w:rPr>
          <w:t xml:space="preserve">赵继之 等, 2024</w:t>
        </w:r>
      </w:hyperlink>
      <w:r>
        <w:t xml:space="preserve">)</w:t>
      </w:r>
      <w:bookmarkEnd w:id="37"/>
      <w:r>
        <w:t xml:space="preserve">。</w:t>
      </w:r>
    </w:p>
    <w:p>
      <w:pPr>
        <w:pStyle w:val="BodyText"/>
      </w:pPr>
      <w: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t xml:space="preserve">或</w:t>
      </w:r>
      <w:r>
        <w:rPr>
          <w:rStyle w:val="VerbatimChar"/>
        </w:rPr>
        <w:t xml:space="preserve">等</w:t>
      </w:r>
      <w:r>
        <w:t xml:space="preserve">来表示</w:t>
      </w:r>
      <w:r>
        <w:t xml:space="preserve"> </w:t>
      </w:r>
      <w:bookmarkStart w:id="38" w:name="cite_7"/>
      <w:r>
        <w:t xml:space="preserve">(</w:t>
      </w:r>
      <w:hyperlink w:anchor="ref-lushaowei2015">
        <w:r>
          <w:rPr>
            <w:rStyle w:val="Hyperlink"/>
          </w:rPr>
          <w:t xml:space="preserve">卢少微 等,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8"/>
      <w:r>
        <w:t xml:space="preserve">，以及更多例子</w:t>
      </w:r>
      <w:r>
        <w:t xml:space="preserve"> </w:t>
      </w:r>
      <w:bookmarkStart w:id="39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</w:rPr>
          <w:t xml:space="preserve">葛延风 等,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</w:rPr>
          <w:t xml:space="preserve">曹晶晶 等,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39"/>
      <w:r>
        <w:t xml:space="preserve">。</w:t>
      </w:r>
    </w:p>
    <w:bookmarkEnd w:id="40"/>
    <w:bookmarkStart w:id="43" w:name="vol.替换为第x卷"/>
    <w:p>
      <w:pPr>
        <w:pStyle w:val="Heading2"/>
      </w:pPr>
      <w:r>
        <w:t xml:space="preserve">2.2 「vol.」替换为「第X卷」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vol.</w:t>
      </w:r>
      <w:r>
        <w:t xml:space="preserve">应该替换为</w:t>
      </w:r>
      <w:r>
        <w:rPr>
          <w:rStyle w:val="VerbatimChar"/>
        </w:rPr>
        <w:t xml:space="preserve">第 X 卷</w:t>
      </w:r>
      <w:r>
        <w:t xml:space="preserve"> </w:t>
      </w:r>
      <w:bookmarkStart w:id="41" w:name="cite_9"/>
      <w:r>
        <w:t xml:space="preserve">(</w:t>
      </w:r>
      <w:hyperlink w:anchor="ref-gezhaoguang2000a">
        <w:r>
          <w:rPr>
            <w:rStyle w:val="Hyperlink"/>
          </w:rPr>
          <w:t xml:space="preserve">葛兆光,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</w:rPr>
          <w:t xml:space="preserve">中国人民大学清史研究所 等, 1983</w:t>
        </w:r>
      </w:hyperlink>
      <w:r>
        <w:t xml:space="preserve">)</w:t>
      </w:r>
      <w:bookmarkEnd w:id="41"/>
      <w:r>
        <w:t xml:space="preserve">。但英文文献中</w:t>
      </w:r>
      <w:r>
        <w:rPr>
          <w:rStyle w:val="VerbatimChar"/>
        </w:rPr>
        <w:t xml:space="preserve">vol.</w:t>
      </w:r>
      <w:r>
        <w:t xml:space="preserve">仍然需要保留</w:t>
      </w:r>
      <w:r>
        <w:t xml:space="preserve"> </w:t>
      </w:r>
      <w:bookmarkStart w:id="42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2"/>
      <w:r>
        <w:t xml:space="preserve">。</w:t>
      </w:r>
    </w:p>
    <w:bookmarkEnd w:id="43"/>
    <w:bookmarkStart w:id="45" w:name="ed.和eds.替换为编"/>
    <w:p>
      <w:pPr>
        <w:pStyle w:val="Heading2"/>
      </w:pPr>
      <w:r>
        <w:t xml:space="preserve">2.3 「ed.」和「eds.」替换为「编」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eds.</w:t>
      </w:r>
      <w:r>
        <w:t xml:space="preserve">和</w:t>
      </w:r>
      <w:r>
        <w:rPr>
          <w:rStyle w:val="VerbatimChar"/>
        </w:rPr>
        <w:t xml:space="preserve">ed.</w:t>
      </w:r>
      <w:r>
        <w:t xml:space="preserve">应该替换为</w:t>
      </w:r>
      <w:r>
        <w:rPr>
          <w:rStyle w:val="VerbatimChar"/>
        </w:rPr>
        <w:t xml:space="preserve">编</w:t>
      </w:r>
      <w:r>
        <w:t xml:space="preserve"> </w:t>
      </w:r>
      <w:bookmarkStart w:id="44" w:name="cite_11"/>
      <w:r>
        <w:t xml:space="preserve">(</w:t>
      </w:r>
      <w:hyperlink w:anchor="ref-lihongzhang2007">
        <w:r>
          <w:rPr>
            <w:rStyle w:val="Hyperlink"/>
          </w:rPr>
          <w:t xml:space="preserve">李鸿章,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</w:rPr>
          <w:t xml:space="preserve">梁启超,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4"/>
      <w:r>
        <w:t xml:space="preserve">，不管</w:t>
      </w: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，相对比较复杂，请参考下面的例子。</w:t>
      </w:r>
    </w:p>
    <w:bookmarkEnd w:id="45"/>
    <w:bookmarkStart w:id="48" w:name="ed.替换为编或第x版"/>
    <w:p>
      <w:pPr>
        <w:pStyle w:val="Heading2"/>
      </w:pPr>
      <w:r>
        <w:t xml:space="preserve">2.4 「ed.」替换为「编」或「第X版」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t xml:space="preserve">既可以表示</w:t>
      </w:r>
      <w:r>
        <w:rPr>
          <w:rStyle w:val="VerbatimChar"/>
        </w:rPr>
        <w:t xml:space="preserve">编</w:t>
      </w:r>
      <w:r>
        <w:t xml:space="preserve"> </w:t>
      </w:r>
      <w:bookmarkStart w:id="46" w:name="cite_12"/>
      <w:r>
        <w:t xml:space="preserve">(</w:t>
      </w:r>
      <w:hyperlink w:anchor="ref-feixiaotong1989">
        <w:r>
          <w:rPr>
            <w:rStyle w:val="Hyperlink"/>
          </w:rPr>
          <w:t xml:space="preserve">费孝通,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</w:rPr>
          <w:t xml:space="preserve">左宗棠, 1986</w:t>
        </w:r>
      </w:hyperlink>
      <w:r>
        <w:t xml:space="preserve">)</w:t>
      </w:r>
      <w:bookmarkEnd w:id="46"/>
      <w:r>
        <w:t xml:space="preserve">，也可以表示</w:t>
      </w:r>
      <w:r>
        <w:rPr>
          <w:rStyle w:val="VerbatimChar"/>
        </w:rPr>
        <w:t xml:space="preserve">第 X 版</w:t>
      </w:r>
      <w:r>
        <w:t xml:space="preserve"> </w:t>
      </w:r>
      <w:bookmarkStart w:id="47" w:name="cite_13"/>
      <w:r>
        <w:t xml:space="preserve">(</w:t>
      </w:r>
      <w:hyperlink w:anchor="ref-qinhui2019">
        <w:r>
          <w:rPr>
            <w:rStyle w:val="Hyperlink"/>
          </w:rPr>
          <w:t xml:space="preserve">秦晖 等,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</w:rPr>
          <w:t xml:space="preserve">陶希圣, 2016</w:t>
        </w:r>
      </w:hyperlink>
      <w:r>
        <w:t xml:space="preserve">)</w:t>
      </w:r>
      <w:bookmarkEnd w:id="47"/>
      <w:r>
        <w:t xml:space="preserve">，虽然非常灵活，但也给替换带来了一定的困难，不过好在判断条件比较明确。</w:t>
      </w:r>
    </w:p>
    <w:bookmarkEnd w:id="48"/>
    <w:bookmarkStart w:id="50" w:name="tran.和trans.替换为译"/>
    <w:p>
      <w:pPr>
        <w:pStyle w:val="Heading2"/>
      </w:pPr>
      <w:r>
        <w:t xml:space="preserve">2.5 「tran.」和「trans.」替换为「译」</w:t>
      </w:r>
    </w:p>
    <w:p>
      <w:pPr>
        <w:pStyle w:val="FirstParagraph"/>
      </w:pPr>
      <w:r>
        <w:t xml:space="preserve">在中文文献中，</w:t>
      </w:r>
      <w:r>
        <w:rPr>
          <w:rStyle w:val="VerbatimChar"/>
        </w:rPr>
        <w:t xml:space="preserve">tran.</w:t>
      </w:r>
      <w:r>
        <w:t xml:space="preserve">和</w:t>
      </w:r>
      <w:r>
        <w:rPr>
          <w:rStyle w:val="VerbatimChar"/>
        </w:rPr>
        <w:t xml:space="preserve">trans.</w:t>
      </w:r>
      <w:r>
        <w:t xml:space="preserve">应该替换为</w:t>
      </w:r>
      <w:r>
        <w:rPr>
          <w:rStyle w:val="VerbatimChar"/>
        </w:rPr>
        <w:t xml:space="preserve">译</w:t>
      </w:r>
      <w:r>
        <w:t xml:space="preserve"> </w:t>
      </w:r>
      <w:bookmarkStart w:id="49" w:name="cite_14"/>
      <w:r>
        <w:t xml:space="preserve">(</w:t>
      </w:r>
      <w:hyperlink w:anchor="ref-hanqilan2004">
        <w:r>
          <w:rPr>
            <w:rStyle w:val="Hyperlink"/>
          </w:rPr>
          <w:t xml:space="preserve">韩起澜,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</w:rPr>
          <w:t xml:space="preserve">伊莎白 等,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</w:rPr>
          <w:t xml:space="preserve">迈克尔·赫克特,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</w:rPr>
          <w:t xml:space="preserve">陆德芙 等, 2019</w:t>
        </w:r>
      </w:hyperlink>
      <w:r>
        <w:t xml:space="preserve">)</w:t>
      </w:r>
      <w:bookmarkEnd w:id="49"/>
      <w:r>
        <w:t xml:space="preserve">。</w:t>
      </w:r>
    </w:p>
    <w:p>
      <w:pPr>
        <w:pStyle w:val="BodyText"/>
      </w:pPr>
      <w:r>
        <w:t xml:space="preserve">值得一提的是，Lua filter</w:t>
      </w:r>
      <w:r>
        <w:t xml:space="preserve"> </w:t>
      </w:r>
      <w:r>
        <w:rPr>
          <w:rStyle w:val="VerbatimChar"/>
        </w:rPr>
        <w:t xml:space="preserve">localiz-cnbib.lua</w:t>
      </w:r>
      <w: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t xml:space="preserve">文件，或者提交issue给我。</w:t>
      </w:r>
    </w:p>
    <w:p>
      <w:pPr>
        <w:pStyle w:val="BodyText"/>
      </w:pPr>
      <w:r>
        <w:t xml:space="preserve">需要注意，本项目中</w:t>
      </w:r>
      <w:r>
        <w:rPr>
          <w:rStyle w:val="VerbatimChar"/>
        </w:rPr>
        <w:t xml:space="preserve">gb-author-date.csl</w:t>
      </w:r>
      <w:r>
        <w:t xml:space="preserve">和</w:t>
      </w:r>
      <w:r>
        <w:rPr>
          <w:rStyle w:val="VerbatimChar"/>
        </w:rPr>
        <w:t xml:space="preserve">gb-numeric.csl</w:t>
      </w:r>
      <w:r>
        <w:t xml:space="preserve">是我根据Zotero Styles网站下载的CSL样式文件修改而来。与原始样式文件相比，我修改之后的样式文件更加符合GB/T 7714-2015标准，</w:t>
      </w:r>
      <w:r>
        <w:rPr>
          <w:rStyle w:val="VerbatimChar"/>
        </w:rPr>
        <w:t xml:space="preserve">localiz-cnbib.lua</w:t>
      </w:r>
      <w: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t xml:space="preserve">可能无法正常工作在其他CSL样式文件上。</w:t>
      </w:r>
    </w:p>
    <w:bookmarkEnd w:id="50"/>
    <w:bookmarkEnd w:id="51"/>
    <w:bookmarkStart w:id="54" w:name="中文参考文献按照拼音排序"/>
    <w:p>
      <w:pPr>
        <w:pStyle w:val="Heading1"/>
      </w:pPr>
      <w:r>
        <w:t xml:space="preserve">3. 中文参考文献按照拼音排序</w:t>
      </w:r>
    </w:p>
    <w:p>
      <w:pPr>
        <w:pStyle w:val="FirstParagraph"/>
      </w:pPr>
      <w:r>
        <w:t xml:space="preserve">在著者年份制的参考文献表中，中文参考文献一般需要按照拼音排序。基于GB/T 7714-2015的BiLaTeX样式包</w:t>
      </w:r>
      <w:hyperlink r:id="rId52">
        <w:r>
          <w:rPr>
            <w:rStyle w:val="Hyperlink"/>
          </w:rPr>
          <w:t xml:space="preserve">biblatex-gb7714-2015</w:t>
        </w:r>
      </w:hyperlink>
      <w:r>
        <w:t xml:space="preserve">支持使用</w:t>
      </w:r>
      <w:r>
        <w:rPr>
          <w:rStyle w:val="VerbatimChar"/>
        </w:rPr>
        <w:t xml:space="preserve">biber</w:t>
      </w:r>
      <w: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t xml:space="preserve">本项目使用Python filter</w:t>
      </w:r>
      <w:r>
        <w:t xml:space="preserve"> </w:t>
      </w:r>
      <w:r>
        <w:rPr>
          <w:rStyle w:val="VerbatimChar"/>
        </w:rPr>
        <w:t xml:space="preserve">sort-cnbib.py</w:t>
      </w:r>
      <w:r>
        <w:t xml:space="preserve">来解决这个问题，借助Python的</w:t>
      </w:r>
      <w:r>
        <w:rPr>
          <w:rStyle w:val="VerbatimChar"/>
        </w:rPr>
        <w:t xml:space="preserve">pypinyin</w:t>
      </w:r>
      <w:r>
        <w:t xml:space="preserve">库获取中文文献的著者拼音，然后通过Panflute</w:t>
      </w:r>
      <w:r>
        <w:t xml:space="preserve"> </w:t>
      </w:r>
      <w:bookmarkStart w:id="53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3"/>
      <w:r>
        <w:t xml:space="preserve">修改Pandoc 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需要注意的是，</w:t>
      </w:r>
      <w:r>
        <w:rPr>
          <w:rStyle w:val="VerbatimChar"/>
        </w:rPr>
        <w:t xml:space="preserve">sort-cnbib.py</w:t>
      </w:r>
      <w:r>
        <w:t xml:space="preserve">只需用于author-date引用格式，numeric引用格式不需要排序，因为数字本身就是有序的。</w:t>
      </w:r>
    </w:p>
    <w:bookmarkEnd w:id="54"/>
    <w:bookmarkStart w:id="55" w:name="中文引号的处理"/>
    <w:p>
      <w:pPr>
        <w:pStyle w:val="Heading1"/>
      </w:pPr>
      <w:r>
        <w:t xml:space="preserve">4. 中文引号的处理</w:t>
      </w:r>
    </w:p>
    <w:p>
      <w:pPr>
        <w:pStyle w:val="FirstParagraph"/>
      </w:pPr>
      <w:r>
        <w:t xml:space="preserve">中文排版之难，引号为首。引号的处理，是中文排版非常tricky的问题，</w:t>
      </w:r>
      <w:r>
        <w:rPr>
          <w:rFonts w:hint="eastAsia"/>
          <w:lang w:eastAsia="zh-CN"/>
        </w:rPr>
        <w:t>“</w:t>
      </w:r>
      <w:r>
        <w:t xml:space="preserve">万恶之源</w:t>
      </w:r>
      <w:r>
        <w:rPr>
          <w:rFonts w:hint="eastAsia"/>
          <w:lang w:eastAsia="zh-CN"/>
        </w:rPr>
        <w:t>”</w:t>
      </w:r>
      <w:r>
        <w:t xml:space="preserve">在于是简体中文和西文的引号相同，但却要求呈现出不同的效果。具体来说，简体中文使用的引号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来替代简体中文的引号，然而中华人民共和国的国家标准规定了使用简体中文的引号，在正式的学术论文这种做法是不被推荐的。</w:t>
      </w:r>
    </w:p>
    <w:p>
      <w:pPr>
        <w:pStyle w:val="BodyText"/>
      </w:pPr>
      <w: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t xml:space="preserve">，借助以下这几个Lua 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t xml:space="preserve">：处理 Word 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bib-quotes.lua</w:t>
      </w:r>
      <w:r>
        <w:t xml:space="preserve">：处理 Word 和 HTML 参考文献中的引号，使 Word 包裹中文的引号看上去更宽，HTML 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t xml:space="preserve">：处理 LaTeX 中的引号，将中文直角引号转换为蝌蚪引号</w:t>
      </w:r>
    </w:p>
    <w:p>
      <w:pPr>
        <w:pStyle w:val="FirstParagraph"/>
      </w:pPr>
      <w:r>
        <w:t xml:space="preserve">这样，无论是在Word中还是在LaTeX中，都可以得到符合规范的引号效果，而对于HTML来说，则做</w:t>
      </w:r>
      <w:r>
        <w:rPr>
          <w:rFonts w:hint="eastAsia"/>
          <w:lang w:eastAsia="zh-CN"/>
        </w:rPr>
        <w:t>“</w:t>
      </w:r>
      <w:r>
        <w:t xml:space="preserve">反向处理</w:t>
      </w:r>
      <w:r>
        <w:rPr>
          <w:rFonts w:hint="eastAsia"/>
          <w:lang w:eastAsia="zh-CN"/>
        </w:rPr>
        <w:t>”</w:t>
      </w:r>
      <w:r>
        <w:t xml:space="preserve">，将包裹中文的蝌蚪引号转换为直角引号。</w:t>
      </w:r>
    </w:p>
    <w:bookmarkEnd w:id="55"/>
    <w:bookmarkStart w:id="60" w:name="中西文盘古之白"/>
    <w:p>
      <w:pPr>
        <w:pStyle w:val="Heading1"/>
      </w:pPr>
      <w:r>
        <w:t xml:space="preserve">5. 中西文盘古之白</w:t>
      </w:r>
    </w:p>
    <w:p>
      <w:pPr>
        <w:pStyle w:val="FirstParagraph"/>
      </w:pPr>
      <w:hyperlink r:id="rId56">
        <w:r>
          <w:rPr>
            <w:rStyle w:val="Hyperlink"/>
          </w:rPr>
          <w:t xml:space="preserve">pangu.js</w:t>
        </w:r>
      </w:hyperlink>
      <w:r>
        <w:t xml:space="preserve">中提到：</w:t>
      </w:r>
    </w:p>
    <w:p>
      <w:pPr>
        <w:pStyle w:val="BlockText"/>
      </w:pPr>
      <w: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t xml:space="preserve">尽管手动在中英文、数字之间加一个空格是一个好</w:t>
      </w:r>
      <w:hyperlink r:id="rId57">
        <w:r>
          <w:rPr>
            <w:rStyle w:val="Hyperlink"/>
          </w:rPr>
          <w:t xml:space="preserve">习惯</w:t>
        </w:r>
      </w:hyperlink>
      <w: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t xml:space="preserve">本项目提供了一个Python filter</w:t>
      </w:r>
      <w:r>
        <w:t xml:space="preserve"> </w:t>
      </w:r>
      <w:r>
        <w:rPr>
          <w:rStyle w:val="VerbatimChar"/>
        </w:rPr>
        <w:t xml:space="preserve">auto-correct.py</w:t>
      </w:r>
      <w:r>
        <w:t xml:space="preserve">来解决这个问题，借助</w:t>
      </w:r>
      <w:hyperlink r:id="rId58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59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59"/>
      <w:r>
        <w:t xml:space="preserve">的Python库，</w:t>
      </w:r>
      <w:r>
        <w:rPr>
          <w:rFonts w:hint="eastAsia"/>
          <w:lang w:eastAsia="zh-CN"/>
        </w:rPr>
        <w:t>“</w:t>
      </w:r>
      <w:r>
        <w:t xml:space="preserve">自动纠正</w:t>
      </w:r>
      <w:r>
        <w:rPr>
          <w:rFonts w:hint="eastAsia"/>
          <w:lang w:eastAsia="zh-CN"/>
        </w:rPr>
        <w:t>”</w:t>
      </w:r>
      <w:r>
        <w:t xml:space="preserve">或</w:t>
      </w:r>
      <w:r>
        <w:rPr>
          <w:rFonts w:hint="eastAsia"/>
          <w:lang w:eastAsia="zh-CN"/>
        </w:rPr>
        <w:t>“</w:t>
      </w:r>
      <w:r>
        <w:t xml:space="preserve">检查并建议</w:t>
      </w:r>
      <w:r>
        <w:rPr>
          <w:rFonts w:hint="eastAsia"/>
          <w:lang w:eastAsia="zh-CN"/>
        </w:rPr>
        <w:t>”</w:t>
      </w:r>
      <w:r>
        <w:t xml:space="preserve">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t xml:space="preserve">filter，可以实现修改Pandoc 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t xml:space="preserve">需要注意的是，LaTeX和Word会自动处理中英文之间的空格，因此无需使用这个Python filter，只有在转换为其他格式时才需要使用，例如HTML、ePub等格式。</w:t>
      </w:r>
    </w:p>
    <w:bookmarkEnd w:id="60"/>
    <w:bookmarkStart w:id="181" w:name="bibliography"/>
    <w:p>
      <w:pPr>
        <w:pStyle w:val="Heading1"/>
      </w:pPr>
      <w:r>
        <w:t xml:space="preserve">参考文献</w:t>
      </w:r>
    </w:p>
    <w:bookmarkStart w:id="180" w:name="refs"/>
    <w:bookmarkStart w:id="62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1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2"/>
    <w:bookmarkStart w:id="65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3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4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5"/>
    <w:bookmarkStart w:id="67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6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68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69"/>
    <w:bookmarkStart w:id="72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0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1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2"/>
    <w:bookmarkStart w:id="74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3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4"/>
    <w:bookmarkStart w:id="76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5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6"/>
    <w:bookmarkStart w:id="78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7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79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0"/>
    <w:bookmarkStart w:id="82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2"/>
    <w:bookmarkStart w:id="84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7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89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1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2"/>
    <w:bookmarkStart w:id="94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4"/>
    <w:bookmarkStart w:id="96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6"/>
    <w:bookmarkStart w:id="98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98"/>
    <w:bookmarkStart w:id="10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9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0"/>
    <w:bookmarkStart w:id="101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1"/>
    <w:bookmarkStart w:id="102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2"/>
    <w:bookmarkStart w:id="104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4"/>
    <w:bookmarkStart w:id="10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6"/>
    <w:bookmarkStart w:id="10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08"/>
    <w:bookmarkStart w:id="110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0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0"/>
    <w:bookmarkStart w:id="111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58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1"/>
    <w:bookmarkStart w:id="113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3"/>
    <w:bookmarkStart w:id="116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5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18"/>
    <w:bookmarkStart w:id="11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19"/>
    <w:bookmarkStart w:id="121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3"/>
    <w:bookmarkStart w:id="125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5"/>
    <w:bookmarkStart w:id="12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7"/>
    <w:bookmarkStart w:id="128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28"/>
    <w:bookmarkStart w:id="130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2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0"/>
    <w:bookmarkStart w:id="13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2"/>
    <w:bookmarkStart w:id="134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4"/>
    <w:bookmarkStart w:id="136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6"/>
    <w:bookmarkStart w:id="13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8"/>
    <w:bookmarkStart w:id="140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3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0"/>
    <w:bookmarkStart w:id="141" w:name="ref-caidingjian2011"/>
    <w:p>
      <w:pPr>
        <w:pStyle w:val="Bibliography"/>
      </w:pPr>
      <w:r>
        <w:t xml:space="preserve">蔡定剑, 王占阳, 2011. 走向宪政[M]. 北京: 法律出版社.</w:t>
      </w:r>
    </w:p>
    <w:bookmarkEnd w:id="141"/>
    <w:bookmarkStart w:id="143" w:name="ref-caojingjing2020"/>
    <w:p>
      <w:pPr>
        <w:pStyle w:val="Bibliography"/>
      </w:pPr>
      <w:r>
        <w:t xml:space="preserve">曹晶晶, 章锦河, 王昶, 等, 2020. 距离欲对旅游者目的地选择影响的解释框架[J/OL]. 地理学报, 75(4): 860–877. DOI:</w:t>
      </w:r>
      <w:r>
        <w:t xml:space="preserve"> </w:t>
      </w:r>
      <w:hyperlink r:id="rId14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4" w:name="ref-chuanping1955"/>
    <w:p>
      <w:pPr>
        <w:pStyle w:val="Bibliography"/>
      </w:pPr>
      <w:r>
        <w:t xml:space="preserve">储安平, 1955. 在阿尔泰山之巅[N]. 人民日报, 1955-12-16: 3.</w:t>
      </w:r>
    </w:p>
    <w:bookmarkEnd w:id="144"/>
    <w:bookmarkStart w:id="145" w:name="ref-feixiaotong1989"/>
    <w:p>
      <w:pPr>
        <w:pStyle w:val="Bibliography"/>
      </w:pPr>
      <w:r>
        <w:t xml:space="preserve">费孝通, 1989. 中华民族多元一体格局[M]. 北京: 中央民族学院出版社.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5"/>
    <w:bookmarkStart w:id="146" w:name="ref-feixiaotong2013"/>
    <w:p>
      <w:pPr>
        <w:pStyle w:val="Bibliography"/>
      </w:pPr>
      <w:r>
        <w:t xml:space="preserve">费孝通, 2013. 乡土中国[M]. 刘豪兴, 编. 修订本. 上海: 上海人民出版社.</w:t>
      </w:r>
    </w:p>
    <w:bookmarkEnd w:id="146"/>
    <w:bookmarkStart w:id="147" w:name="ref-gezhaoguang2000a"/>
    <w:p>
      <w:pPr>
        <w:pStyle w:val="Bibliography"/>
      </w:pPr>
      <w:r>
        <w:t xml:space="preserve">葛兆光, 2000. 中国思想史——导论：思想史的写法: 第1卷[M]. 上海: 复旦大学出版社.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7"/>
    <w:bookmarkStart w:id="148" w:name="ref-gezhaoguang2011"/>
    <w:p>
      <w:pPr>
        <w:pStyle w:val="Bibliography"/>
      </w:pPr>
      <w:r>
        <w:t xml:space="preserve">葛兆光, 2011. 宅兹中国：重建有关「中国」的历史论述[M]. 北京: 中华书局.</w:t>
      </w:r>
    </w:p>
    <w:bookmarkEnd w:id="148"/>
    <w:bookmarkStart w:id="149" w:name="ref-gezhaoguang2014"/>
    <w:p>
      <w:pPr>
        <w:pStyle w:val="Bibliography"/>
      </w:pPr>
      <w:r>
        <w:t xml:space="preserve">葛兆光, 2014. 何為「中國」？——疆域、民族、文化與歷史[M]. 香港: 牛津大學出版社.</w:t>
      </w:r>
    </w:p>
    <w:bookmarkEnd w:id="149"/>
    <w:bookmarkStart w:id="151" w:name="ref-geyanfeng2020"/>
    <w:p>
      <w:pPr>
        <w:pStyle w:val="Bibliography"/>
      </w:pPr>
      <w:r>
        <w:t xml:space="preserve">葛延风, 王列军, 冯文猛, 等, 2020. 我国健康老龄化的挑战与策略选择[J/OL]. 管理世界,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3" w:name="ref-guomindahui1947"/>
    <w:p>
      <w:pPr>
        <w:pStyle w:val="Bibliography"/>
      </w:pPr>
      <w:r>
        <w:t xml:space="preserve">國民大會, 1947. 中華民國憲法[A/OL]. (1947-01-01)[2023-03-09].</w:t>
      </w:r>
      <w:r>
        <w:t xml:space="preserve"> </w:t>
      </w:r>
      <w:hyperlink r:id="rId15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3"/>
    <w:bookmarkStart w:id="154" w:name="ref-hanqilan2004"/>
    <w:p>
      <w:pPr>
        <w:pStyle w:val="Bibliography"/>
      </w:pPr>
      <w:r>
        <w:t xml:space="preserve">韩起澜, 2004. 苏北人在上海（1850–1980）[M]. 卢明华, 译. 上海: 上海古籍出版社.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jiazhen1979"/>
    <w:p>
      <w:pPr>
        <w:pStyle w:val="Bibliography"/>
      </w:pPr>
      <w:r>
        <w:t xml:space="preserve">賈禎, 寶鋆, 文祥, 等, 1979. 籌辦夷務始末（咸豐朝）[M]. 北京: 中華書局.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5"/>
    <w:bookmarkStart w:id="157" w:name="ref-jiangyuanshan2009"/>
    <w:p>
      <w:pPr>
        <w:pStyle w:val="Bibliography"/>
      </w:pPr>
      <w:r>
        <w:t xml:space="preserve">江远山, 2009. 近代中国地域政治化研究——以广东为考察对象[D/OL]. 博士学位论文. 上海: 复旦大学. DOI:</w:t>
      </w:r>
      <w:r>
        <w:t xml:space="preserve"> </w:t>
      </w:r>
      <w:hyperlink r:id="rId15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7"/>
    <w:bookmarkStart w:id="159" w:name="ref-jiangzemin2008"/>
    <w:p>
      <w:pPr>
        <w:pStyle w:val="Bibliography"/>
      </w:pPr>
      <w:r>
        <w:t xml:space="preserve">江泽民, 2008. 对中国能源问题的思考[J/OL]. 上海交通大学学报(3): 345–359. DOI:</w:t>
      </w:r>
      <w:r>
        <w:t xml:space="preserve"> </w:t>
      </w:r>
      <w:hyperlink r:id="rId15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59"/>
    <w:bookmarkStart w:id="160" w:name="ref-kanyaoping2003"/>
    <w:p>
      <w:pPr>
        <w:pStyle w:val="Bibliography"/>
      </w:pPr>
      <w:r>
        <w:t xml:space="preserve">阚耀平, 2003. 清代天山北路人口迁移与区域开发研究[D]. 博士学位论文. 上海: 复旦大学.</w:t>
      </w:r>
    </w:p>
    <w:bookmarkEnd w:id="160"/>
    <w:bookmarkStart w:id="161" w:name="ref-lihongzhang2007"/>
    <w:p>
      <w:pPr>
        <w:pStyle w:val="Bibliography"/>
      </w:pPr>
      <w:r>
        <w:t xml:space="preserve">李鸿章, 2007. 李鸿章全集（奏议六）[M]. 顾廷龙, 戴逸, 编. 合肥: 安徽教育出版社.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1"/>
    <w:bookmarkStart w:id="162" w:name="ref-liangqichao2018"/>
    <w:p>
      <w:pPr>
        <w:pStyle w:val="Bibliography"/>
      </w:pPr>
      <w:r>
        <w:t xml:space="preserve">梁启超, 2018. 梁启超全集（第二集，论著二）[M]. 汤志钧, 汤仁泽, 编. 北京: 中国人民大学出版社.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2"/>
    <w:bookmarkStart w:id="163" w:name="ref-liucuirong1999"/>
    <w:p>
      <w:pPr>
        <w:pStyle w:val="Bibliography"/>
      </w:pPr>
      <w:r>
        <w:t xml:space="preserve">劉翠溶, 1999. 中國歷史上關於山林川澤的觀念和制度[G]//曹添旺, 賴景昌, 楊建成. 經濟成長、所得分配與制度演化. 臺北: 中央研究院中山人文社會科學研究所: 1–42.</w:t>
      </w:r>
    </w:p>
    <w:bookmarkEnd w:id="163"/>
    <w:bookmarkStart w:id="165" w:name="ref-lushaowei2015"/>
    <w:p>
      <w:pPr>
        <w:pStyle w:val="Bibliography"/>
      </w:pPr>
      <w:r>
        <w:t xml:space="preserve">卢少微, 冯春林, 聂鹏, 等, 2015. 碳纳米管用于聚合物基复合材料健康监测的研究进展[J/OL]. 航空材料学报, 35(2): 12–20. DOI:</w:t>
      </w:r>
      <w:r>
        <w:t xml:space="preserve"> </w:t>
      </w:r>
      <w:hyperlink r:id="rId16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udefu2019"/>
    <w:p>
      <w:pPr>
        <w:pStyle w:val="Bibliography"/>
      </w:pPr>
      <w:r>
        <w:t xml:space="preserve">陆德芙, 宋怡明, 2019. 中国36问：对一个崛起大国的洞察[M]. 余江, 郑言, 译. 香港: 香港城市大学出版社.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marong2016"/>
    <w:p>
      <w:pPr>
        <w:pStyle w:val="Bibliography"/>
      </w:pPr>
      <w:r>
        <w:t xml:space="preserve">马戎, 2016.</w:t>
      </w:r>
      <w:r>
        <w:t xml:space="preserve"> </w:t>
      </w:r>
      <w:r>
        <w:rPr>
          <w:rFonts w:hint="eastAsia"/>
        </w:rPr>
        <w:t xml:space="preserve">“</w:t>
      </w:r>
      <w:r>
        <w:t xml:space="preserve">中华民族是一个</w:t>
      </w:r>
      <w:r>
        <w:rPr>
          <w:rFonts w:hint="eastAsia"/>
        </w:rPr>
        <w:t xml:space="preserve">”</w:t>
      </w:r>
      <w:r>
        <w:t xml:space="preserve">——围绕1939年这一议题的大讨论[M]. 北京: 社会科学文献出版社.</w:t>
      </w:r>
    </w:p>
    <w:bookmarkEnd w:id="167"/>
    <w:bookmarkStart w:id="168" w:name="ref-maikeerhekete2012"/>
    <w:p>
      <w:pPr>
        <w:pStyle w:val="Bibliography"/>
      </w:pPr>
      <w:r>
        <w:t xml:space="preserve">迈克尔·赫克特, 2012. 遏制民族主义[M]. 韩召颖, 译. 北京: 中国人民大学出版社.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qinhui2019"/>
    <w:p>
      <w:pPr>
        <w:pStyle w:val="Bibliography"/>
      </w:pPr>
      <w:r>
        <w:t xml:space="preserve">秦晖, 金雁, 2019. 田园诗与狂想曲：关中模式与前近代社会的再认识[M]. 第3版. 南京: 江苏凤凰文艺出版社.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69"/>
    <w:bookmarkStart w:id="170" w:name="ref-qgrmdbdh2018"/>
    <w:p>
      <w:pPr>
        <w:pStyle w:val="Bibliography"/>
      </w:pPr>
      <w:r>
        <w:t xml:space="preserve">全国人民代表大会, 2018. 中华人民共和国宪法[N]. 人民日报, 2018-03-22: 1–3.</w:t>
      </w:r>
    </w:p>
    <w:bookmarkEnd w:id="170"/>
    <w:bookmarkStart w:id="171" w:name="ref-shenzhihua2003"/>
    <w:p>
      <w:pPr>
        <w:pStyle w:val="Bibliography"/>
      </w:pPr>
      <w:r>
        <w:t xml:space="preserve">沈志华, 2003. 苏联专家在中国[M]. 北京: 中国国际广播出版社.</w:t>
      </w:r>
    </w:p>
    <w:bookmarkEnd w:id="171"/>
    <w:bookmarkStart w:id="172" w:name="ref-taoxisheng2016"/>
    <w:p>
      <w:pPr>
        <w:pStyle w:val="Bibliography"/>
      </w:pPr>
      <w:r>
        <w:t xml:space="preserve">陶希圣, 2016. 潮流与点滴：陶希圣回忆录[M]. 第2版. 北京: 中国大百科全书出版社.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yishabai2018"/>
    <w:p>
      <w:pPr>
        <w:pStyle w:val="Bibliography"/>
      </w:pPr>
      <w:r>
        <w:t xml:space="preserve">伊莎白, 柯临清, 2018. 战时中国农村的风习、改造与抵拒：兴隆场（1940–1941）[M]. 邵达, 译. 贺萧, 韩起澜, 编. 北京: 外语教学与研究出版社.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3"/>
    <w:bookmarkStart w:id="174" w:name="ref-zengwenwu1936"/>
    <w:p>
      <w:pPr>
        <w:pStyle w:val="Bibliography"/>
      </w:pPr>
      <w:r>
        <w:t xml:space="preserve">曾問吾, 1936. 中國經營西域史[M]. 上海: 商務印書館.</w:t>
      </w:r>
    </w:p>
    <w:bookmarkEnd w:id="174"/>
    <w:bookmarkStart w:id="175" w:name="ref-zhangqixiong2010"/>
    <w:p>
      <w:pPr>
        <w:pStyle w:val="Bibliography"/>
      </w:pPr>
      <w:r>
        <w:t xml:space="preserve">张启雄, 2010. 中华世界秩序原理的源起：近代中国外交纷争中的古典文化价值[G]//吴志攀, 李玉. 东亚的价值. 北京: 北京大学出版社.</w:t>
      </w:r>
    </w:p>
    <w:bookmarkEnd w:id="175"/>
    <w:bookmarkStart w:id="177" w:name="ref-zhaojizhi2024"/>
    <w:p>
      <w:pPr>
        <w:pStyle w:val="Bibliography"/>
      </w:pPr>
      <w:r>
        <w:t xml:space="preserve">赵继之, 辛公锋, 陶慕轩, 等, 2024. 超高性能混凝土单轴拉、压循环作用下力学性能及其本构模型研究[J/OL]. 工程力学, 41(4): 81–93. DOI:</w:t>
      </w:r>
      <w:r>
        <w:t xml:space="preserve"> </w:t>
      </w:r>
      <w:hyperlink r:id="rId176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8" w:name="ref-zgrmdxqsyjs1983"/>
    <w:p>
      <w:pPr>
        <w:pStyle w:val="Bibliography"/>
      </w:pPr>
      <w:r>
        <w:t xml:space="preserve">中国人民大学清史研究所, 中国人民大学档案系中国政治制度史教研室, 1983. 清代的矿业: 第1卷[M]. 北京: 中华书局.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zuozongtang1986"/>
    <w:p>
      <w:pPr>
        <w:pStyle w:val="Bibliography"/>
      </w:pPr>
      <w:r>
        <w:t xml:space="preserve">左宗棠, 1986. 左宗棠全集（札件）[M]. 邓云生, 编. 长沙: 岳麓书社.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9"/>
    <w:bookmarkEnd w:id="180"/>
    <w:bookmarkEnd w:id="1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79" Target="https://doi.org/10.1017/CHOL9780521214476" TargetMode="External" /><Relationship Type="http://schemas.openxmlformats.org/officeDocument/2006/relationships/hyperlink" Id="rId81" Target="https://doi.org/10.1017/CHOL9780521214476.003" TargetMode="External" /><Relationship Type="http://schemas.openxmlformats.org/officeDocument/2006/relationships/hyperlink" Id="rId83" Target="https://doi.org/10.1017/CHOL9780521214476.008" TargetMode="External" /><Relationship Type="http://schemas.openxmlformats.org/officeDocument/2006/relationships/hyperlink" Id="rId85" Target="https://doi.org/10.1017/CHOL9780521214476.009" TargetMode="External" /><Relationship Type="http://schemas.openxmlformats.org/officeDocument/2006/relationships/hyperlink" Id="rId75" Target="https://doi.org/10.1038/s41467-022-28735-5" TargetMode="External" /><Relationship Type="http://schemas.openxmlformats.org/officeDocument/2006/relationships/hyperlink" Id="rId135" Target="https://doi.org/10.1073/pnas.2105061118" TargetMode="External" /><Relationship Type="http://schemas.openxmlformats.org/officeDocument/2006/relationships/hyperlink" Id="rId66" Target="https://doi.org/10.1080/13504851.2021.1965528" TargetMode="External" /><Relationship Type="http://schemas.openxmlformats.org/officeDocument/2006/relationships/hyperlink" Id="rId122" Target="https://doi.org/10.1080/14650040412331307882" TargetMode="External" /><Relationship Type="http://schemas.openxmlformats.org/officeDocument/2006/relationships/hyperlink" Id="rId93" Target="https://doi.org/10.1086/605966" TargetMode="External" /><Relationship Type="http://schemas.openxmlformats.org/officeDocument/2006/relationships/hyperlink" Id="rId61" Target="https://doi.org/10.1086/700936" TargetMode="External" /><Relationship Type="http://schemas.openxmlformats.org/officeDocument/2006/relationships/hyperlink" Id="rId103" Target="https://doi.org/10.1163/9789004212732_002" TargetMode="External" /><Relationship Type="http://schemas.openxmlformats.org/officeDocument/2006/relationships/hyperlink" Id="rId142" Target="https://doi.org/10.11821/dlxb202004014" TargetMode="External" /><Relationship Type="http://schemas.openxmlformats.org/officeDocument/2006/relationships/hyperlink" Id="rId164" Target="https://doi.org/10.11868/j.issn.1005-5053.2015.2.002" TargetMode="External" /><Relationship Type="http://schemas.openxmlformats.org/officeDocument/2006/relationships/hyperlink" Id="rId124" Target="https://doi.org/10.12987/9780300128789" TargetMode="External" /><Relationship Type="http://schemas.openxmlformats.org/officeDocument/2006/relationships/hyperlink" Id="rId107" Target="https://doi.org/10.1371/journal.pone.0201347" TargetMode="External" /><Relationship Type="http://schemas.openxmlformats.org/officeDocument/2006/relationships/hyperlink" Id="rId97" Target="https://doi.org/10.1515/9780691213873-013" TargetMode="External" /><Relationship Type="http://schemas.openxmlformats.org/officeDocument/2006/relationships/hyperlink" Id="rId139" Target="https://doi.org/10.1515/9780804781879" TargetMode="External" /><Relationship Type="http://schemas.openxmlformats.org/officeDocument/2006/relationships/hyperlink" Id="rId158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2" Target="https://doi.org/10.21313/hawaii/9780824836085.001.0001" TargetMode="External" /><Relationship Type="http://schemas.openxmlformats.org/officeDocument/2006/relationships/hyperlink" Id="rId91" Target="https://doi.org/10.2307/20034139" TargetMode="External" /><Relationship Type="http://schemas.openxmlformats.org/officeDocument/2006/relationships/hyperlink" Id="rId120" Target="https://doi.org/10.2307/4127885" TargetMode="External" /><Relationship Type="http://schemas.openxmlformats.org/officeDocument/2006/relationships/hyperlink" Id="rId126" Target="https://doi.org/10.2991/assehr.k.210609.113" TargetMode="External" /><Relationship Type="http://schemas.openxmlformats.org/officeDocument/2006/relationships/hyperlink" Id="rId73" Target="https://doi.org/10.31219/osf.io/t8jsm" TargetMode="External" /><Relationship Type="http://schemas.openxmlformats.org/officeDocument/2006/relationships/hyperlink" Id="rId77" Target="https://doi.org/10.4159/harvard.9780674333482.c3" TargetMode="External" /><Relationship Type="http://schemas.openxmlformats.org/officeDocument/2006/relationships/hyperlink" Id="rId87" Target="https://doi.org/10.4324/9781315164380" TargetMode="External" /><Relationship Type="http://schemas.openxmlformats.org/officeDocument/2006/relationships/hyperlink" Id="rId129" Target="https://doi.org/10.46430/phen0041" TargetMode="External" /><Relationship Type="http://schemas.openxmlformats.org/officeDocument/2006/relationships/hyperlink" Id="rId137" Target="https://doi.org/10.48550/arXiv.2309.17421" TargetMode="External" /><Relationship Type="http://schemas.openxmlformats.org/officeDocument/2006/relationships/hyperlink" Id="rId89" Target="https://doi.org/10.48550/arXiv.2312.10997" TargetMode="External" /><Relationship Type="http://schemas.openxmlformats.org/officeDocument/2006/relationships/hyperlink" Id="rId71" Target="https://doi.org/10.5281/zenodo.10841890" TargetMode="External" /><Relationship Type="http://schemas.openxmlformats.org/officeDocument/2006/relationships/hyperlink" Id="rId64" Target="https://doi.org/10.5281/zenodo.10960780" TargetMode="External" /><Relationship Type="http://schemas.openxmlformats.org/officeDocument/2006/relationships/hyperlink" Id="rId115" Target="https://doi.org/10.5281/zenodo.11179936" TargetMode="External" /><Relationship Type="http://schemas.openxmlformats.org/officeDocument/2006/relationships/hyperlink" Id="rId99" Target="https://doi.org/10.5281/zenodo.4273761" TargetMode="External" /><Relationship Type="http://schemas.openxmlformats.org/officeDocument/2006/relationships/hyperlink" Id="rId176" Target="https://doi.org/10.6052/j.issn.1000-4750.2022.04.0339" TargetMode="External" /><Relationship Type="http://schemas.openxmlformats.org/officeDocument/2006/relationships/hyperlink" Id="rId156" Target="https://doi.org/10.7666/d.y1970854" TargetMode="External" /><Relationship Type="http://schemas.openxmlformats.org/officeDocument/2006/relationships/hyperlink" Id="rId109" Target="https://doi.org/10.7717/peerj-cs.112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58" Target="https://github.com/huacnlee/autocorrect" TargetMode="External" /><Relationship Type="http://schemas.openxmlformats.org/officeDocument/2006/relationships/hyperlink" Id="rId52" Target="https://github.com/hushidong/biblatex-gb7714-2015" TargetMode="External" /><Relationship Type="http://schemas.openxmlformats.org/officeDocument/2006/relationships/hyperlink" Id="rId114" Target="https://github.com/jgm/pandoc" TargetMode="External" /><Relationship Type="http://schemas.openxmlformats.org/officeDocument/2006/relationships/hyperlink" Id="rId63" Target="https://github.com/quarto-dev/quarto-cli" TargetMode="External" /><Relationship Type="http://schemas.openxmlformats.org/officeDocument/2006/relationships/hyperlink" Id="rId70" Target="https://github.com/sergiocorreia/panflute" TargetMode="External" /><Relationship Type="http://schemas.openxmlformats.org/officeDocument/2006/relationships/hyperlink" Id="rId56" Target="https://github.com/vinta/pangu.js" TargetMode="External" /><Relationship Type="http://schemas.openxmlformats.org/officeDocument/2006/relationships/hyperlink" Id="rId13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5" Target="https://www.newyorker.com/magazine/2022/01/03/chinas-reform-generation-adapts-to-life-in-the-middle-class" TargetMode="External" /><Relationship Type="http://schemas.openxmlformats.org/officeDocument/2006/relationships/hyperlink" Id="rId131" Target="https://www.ohchr.org/en/instruments-mechanisms/instruments/general-assembly-resolution-1803-xvii-14-december-1962-permanent" TargetMode="External" /><Relationship Type="http://schemas.openxmlformats.org/officeDocument/2006/relationships/hyperlink" Id="rId117" Target="https://www.pdfa.org/presentation/tagged-and-accessible-pdf-with-latex" TargetMode="External" /><Relationship Type="http://schemas.openxmlformats.org/officeDocument/2006/relationships/hyperlink" Id="rId68" Target="https://www.thewirechina.com/2022/11/06/frank-dikotter-on-paying-attention-to-chinas-primary-sources" TargetMode="External" /><Relationship Type="http://schemas.openxmlformats.org/officeDocument/2006/relationships/hyperlink" Id="rId105" Target="https://www.youtube.com/watch?v=UQQHSbeIaB0" TargetMode="External" /><Relationship Type="http://schemas.openxmlformats.org/officeDocument/2006/relationships/hyperlink" Id="rId57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2024-05-28T12:26:57Z</dcterms:created>
  <dcterms:modified xsi:type="dcterms:W3CDTF">2024-05-28T12:26:57Z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2024年5月28日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