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vw9q1rs73f12" w:id="0"/>
      <w:bookmarkEnd w:id="0"/>
      <w:r w:rsidDel="00000000" w:rsidR="00000000" w:rsidRPr="00000000">
        <w:rPr>
          <w:rtl w:val="0"/>
        </w:rPr>
        <w:t xml:space="preserve">Projectbespreking</w:t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eha1vnm8do" w:id="1"/>
      <w:bookmarkEnd w:id="1"/>
      <w:r w:rsidDel="00000000" w:rsidR="00000000" w:rsidRPr="00000000">
        <w:rPr>
          <w:rtl w:val="0"/>
        </w:rPr>
        <w:t xml:space="preserve">Project evaluatie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Datum:</w:t>
        <w:tab/>
        <w:t xml:space="preserve">24 - 3 - 2014</w:t>
        <w:br w:type="textWrapping"/>
        <w:t xml:space="preserve">Notulist:</w:t>
        <w:tab/>
        <w:t xml:space="preserve">Stephan Veenstra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Aanwezigen: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Michel Jansma</w:t>
        <w:br w:type="textWrapping"/>
        <w:t xml:space="preserve">Henderikus Harms</w:t>
        <w:br w:type="textWrapping"/>
        <w:t xml:space="preserve">Lasse Benninga</w:t>
        <w:br w:type="textWrapping"/>
        <w:t xml:space="preserve">Stephan Veenstra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lp7sw9vt1iw" w:id="2"/>
      <w:bookmarkEnd w:id="2"/>
      <w:r w:rsidDel="00000000" w:rsidR="00000000" w:rsidRPr="00000000">
        <w:rPr>
          <w:rtl w:val="0"/>
        </w:rPr>
        <w:t xml:space="preserve">Evaluatie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Om een beter beeld te krijgen van het project stellen we een vragenlijst op om de onduidelijkheden te bepalen en om de taken te bepalen die gedaan moeten worden.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6a43m7qoudi" w:id="3"/>
      <w:bookmarkEnd w:id="3"/>
      <w:r w:rsidDel="00000000" w:rsidR="00000000" w:rsidRPr="00000000">
        <w:rPr>
          <w:rtl w:val="0"/>
        </w:rPr>
        <w:t xml:space="preserve">Vragen: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maakt de client verbinding met de server?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WAAR worden de spelregels bepaald?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SERVER: hoe?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maken we de “Solver” Dynamisch?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selecteer je een game?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bepaal je welke CLIENT er aan zet is?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WAAR (local / netwerk) worden de verschillende modussen ( h vs h / h vs c / c vs c) gespeeld?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scheiden we de code?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komt er in het framework?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komt er buiten?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zijn de spelregels voor TIC-TAC-TOE en REVERSI?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komt de userinterface eruit te zien?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moet de speler kunnen zien/doen?</w:t>
      </w:r>
    </w:p>
    <w:sectPr>
      <w:headerReference r:id="rId5" w:type="default"/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Projectbespreking leertaak 6 groep 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Trebuchet MS" w:cs="Trebuchet MS" w:eastAsia="Trebuchet MS" w:hAnsi="Trebuchet MS"/>
      <w:i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i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