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1E44" w:rsidRDefault="002F43B2">
      <w:r>
        <w:t>2010 Field season agenda:</w:t>
      </w:r>
    </w:p>
    <w:p w:rsidR="002F43B2" w:rsidRDefault="002F43B2" w:rsidP="002F43B2">
      <w:pPr>
        <w:pStyle w:val="ListParagraph"/>
        <w:numPr>
          <w:ilvl w:val="0"/>
          <w:numId w:val="1"/>
        </w:numPr>
      </w:pPr>
      <w:proofErr w:type="spellStart"/>
      <w:r>
        <w:t>Mesocosm</w:t>
      </w:r>
      <w:proofErr w:type="spellEnd"/>
      <w:r>
        <w:t xml:space="preserve"> experiment: Sub-lethal effects and consumer-density effects</w:t>
      </w:r>
      <w:r w:rsidR="001F6C18">
        <w:t xml:space="preserve">, with Mike </w:t>
      </w:r>
      <w:proofErr w:type="spellStart"/>
      <w:r w:rsidR="001F6C18">
        <w:t>McFarlin</w:t>
      </w:r>
      <w:proofErr w:type="spellEnd"/>
    </w:p>
    <w:p w:rsidR="002F43B2" w:rsidRDefault="002F43B2" w:rsidP="002F43B2">
      <w:pPr>
        <w:pStyle w:val="ListParagraph"/>
        <w:numPr>
          <w:ilvl w:val="0"/>
          <w:numId w:val="1"/>
        </w:numPr>
      </w:pPr>
      <w:proofErr w:type="gramStart"/>
      <w:r>
        <w:t>Field sampling of sub-lethal effects</w:t>
      </w:r>
      <w:r w:rsidR="001F6C18">
        <w:t>?</w:t>
      </w:r>
      <w:proofErr w:type="gramEnd"/>
    </w:p>
    <w:p w:rsidR="002F43B2" w:rsidRDefault="002F43B2" w:rsidP="002F43B2">
      <w:pPr>
        <w:pStyle w:val="ListParagraph"/>
        <w:numPr>
          <w:ilvl w:val="0"/>
          <w:numId w:val="1"/>
        </w:numPr>
      </w:pPr>
      <w:r>
        <w:t>Long-term stability</w:t>
      </w:r>
    </w:p>
    <w:p w:rsidR="002F43B2" w:rsidRDefault="002F43B2" w:rsidP="002F43B2">
      <w:pPr>
        <w:pStyle w:val="ListParagraph"/>
        <w:numPr>
          <w:ilvl w:val="1"/>
          <w:numId w:val="1"/>
        </w:numPr>
      </w:pPr>
      <w:proofErr w:type="gramStart"/>
      <w:r>
        <w:t xml:space="preserve">Emphasis on algal sampling, via Nick </w:t>
      </w:r>
      <w:proofErr w:type="spellStart"/>
      <w:r>
        <w:t>Meisinger</w:t>
      </w:r>
      <w:proofErr w:type="spellEnd"/>
      <w:r>
        <w:t>?</w:t>
      </w:r>
      <w:proofErr w:type="gramEnd"/>
    </w:p>
    <w:p w:rsidR="002F43B2" w:rsidRDefault="002F43B2" w:rsidP="002F43B2">
      <w:pPr>
        <w:pStyle w:val="ListParagraph"/>
        <w:numPr>
          <w:ilvl w:val="1"/>
          <w:numId w:val="1"/>
        </w:numPr>
      </w:pPr>
      <w:r>
        <w:t>SEKI sites</w:t>
      </w:r>
    </w:p>
    <w:p w:rsidR="002F43B2" w:rsidRDefault="002F43B2" w:rsidP="002F43B2">
      <w:pPr>
        <w:pStyle w:val="ListParagraph"/>
        <w:numPr>
          <w:ilvl w:val="2"/>
          <w:numId w:val="1"/>
        </w:numPr>
      </w:pPr>
      <w:proofErr w:type="spellStart"/>
      <w:r>
        <w:t>LeConte</w:t>
      </w:r>
      <w:proofErr w:type="spellEnd"/>
      <w:r>
        <w:t xml:space="preserve">, Barrett, Spur, </w:t>
      </w:r>
    </w:p>
    <w:p w:rsidR="002F43B2" w:rsidRDefault="002F43B2" w:rsidP="002F43B2">
      <w:pPr>
        <w:pStyle w:val="ListParagraph"/>
        <w:numPr>
          <w:ilvl w:val="1"/>
          <w:numId w:val="1"/>
        </w:numPr>
      </w:pPr>
      <w:r>
        <w:t>YOSE sites</w:t>
      </w:r>
    </w:p>
    <w:p w:rsidR="002F43B2" w:rsidRDefault="002F43B2" w:rsidP="002F43B2">
      <w:pPr>
        <w:pStyle w:val="ListParagraph"/>
        <w:numPr>
          <w:ilvl w:val="2"/>
          <w:numId w:val="1"/>
        </w:numPr>
      </w:pPr>
      <w:proofErr w:type="spellStart"/>
      <w:r>
        <w:t>Conness</w:t>
      </w:r>
      <w:proofErr w:type="spellEnd"/>
      <w:r>
        <w:t>, Skelton, Soldier, Miller</w:t>
      </w:r>
    </w:p>
    <w:p w:rsidR="002F43B2" w:rsidRDefault="002F43B2" w:rsidP="002F43B2">
      <w:pPr>
        <w:pStyle w:val="ListParagraph"/>
        <w:numPr>
          <w:ilvl w:val="1"/>
          <w:numId w:val="1"/>
        </w:numPr>
      </w:pPr>
      <w:r>
        <w:t>JMW sites</w:t>
      </w:r>
    </w:p>
    <w:p w:rsidR="002F43B2" w:rsidRDefault="002F43B2" w:rsidP="002F43B2">
      <w:pPr>
        <w:pStyle w:val="ListParagraph"/>
        <w:numPr>
          <w:ilvl w:val="2"/>
          <w:numId w:val="1"/>
        </w:numPr>
      </w:pPr>
      <w:r>
        <w:t>Resample Snow-Pole, Marmot, Square</w:t>
      </w:r>
    </w:p>
    <w:p w:rsidR="002F43B2" w:rsidRDefault="002F43B2" w:rsidP="002F43B2">
      <w:pPr>
        <w:pStyle w:val="ListParagraph"/>
        <w:numPr>
          <w:ilvl w:val="2"/>
          <w:numId w:val="1"/>
        </w:numPr>
      </w:pPr>
      <w:r>
        <w:t xml:space="preserve">Coordinate invert </w:t>
      </w:r>
      <w:proofErr w:type="spellStart"/>
      <w:r>
        <w:t>resamples</w:t>
      </w:r>
      <w:proofErr w:type="spellEnd"/>
      <w:r>
        <w:t xml:space="preserve"> with Roland</w:t>
      </w:r>
    </w:p>
    <w:p w:rsidR="002F43B2" w:rsidRDefault="002F43B2" w:rsidP="002F43B2">
      <w:pPr>
        <w:pStyle w:val="ListParagraph"/>
        <w:numPr>
          <w:ilvl w:val="2"/>
          <w:numId w:val="1"/>
        </w:numPr>
      </w:pPr>
      <w:r>
        <w:t>Follow communities in Roland’s re-re-introduction sites</w:t>
      </w:r>
    </w:p>
    <w:p w:rsidR="002F43B2" w:rsidRDefault="002F43B2" w:rsidP="002F43B2">
      <w:pPr>
        <w:pStyle w:val="ListParagraph"/>
        <w:numPr>
          <w:ilvl w:val="0"/>
          <w:numId w:val="1"/>
        </w:numPr>
      </w:pPr>
      <w:r>
        <w:t>Secondary productivity in persistent vs. die-off sites</w:t>
      </w:r>
    </w:p>
    <w:p w:rsidR="002F43B2" w:rsidRDefault="002F43B2" w:rsidP="002F43B2">
      <w:pPr>
        <w:pStyle w:val="ListParagraph"/>
        <w:numPr>
          <w:ilvl w:val="1"/>
          <w:numId w:val="1"/>
        </w:numPr>
      </w:pPr>
      <w:proofErr w:type="gramStart"/>
      <w:r>
        <w:t xml:space="preserve">Include Mono Pass, </w:t>
      </w:r>
      <w:proofErr w:type="spellStart"/>
      <w:r>
        <w:t>Conness</w:t>
      </w:r>
      <w:proofErr w:type="spellEnd"/>
      <w:r>
        <w:t xml:space="preserve">, Unicorn, </w:t>
      </w:r>
      <w:proofErr w:type="spellStart"/>
      <w:r>
        <w:t>vs</w:t>
      </w:r>
      <w:proofErr w:type="spellEnd"/>
      <w:r>
        <w:t>…?</w:t>
      </w:r>
      <w:proofErr w:type="gramEnd"/>
    </w:p>
    <w:p w:rsidR="001F6C18" w:rsidRDefault="001F6C18" w:rsidP="001F6C18">
      <w:pPr>
        <w:pStyle w:val="ListParagraph"/>
        <w:numPr>
          <w:ilvl w:val="0"/>
          <w:numId w:val="1"/>
        </w:numPr>
      </w:pPr>
      <w:r>
        <w:t>Small scale nutrient effects of Tadpoles (Nick?)</w:t>
      </w:r>
    </w:p>
    <w:p w:rsidR="002F43B2" w:rsidRDefault="002F43B2"/>
    <w:sectPr w:rsidR="002F43B2" w:rsidSect="00D018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6A0865"/>
    <w:multiLevelType w:val="hybridMultilevel"/>
    <w:tmpl w:val="59048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73"/>
  <w:proofState w:spelling="clean" w:grammar="clean"/>
  <w:defaultTabStop w:val="720"/>
  <w:characterSpacingControl w:val="doNotCompress"/>
  <w:compat/>
  <w:rsids>
    <w:rsidRoot w:val="00EC7BB1"/>
    <w:rsid w:val="001F6C18"/>
    <w:rsid w:val="002F43B2"/>
    <w:rsid w:val="00321FC0"/>
    <w:rsid w:val="003914DC"/>
    <w:rsid w:val="00A73D35"/>
    <w:rsid w:val="00D0187C"/>
    <w:rsid w:val="00E835A9"/>
    <w:rsid w:val="00EC7B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18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43B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C Smith</dc:creator>
  <cp:lastModifiedBy>Thomas C Smith</cp:lastModifiedBy>
  <cp:revision>2</cp:revision>
  <dcterms:created xsi:type="dcterms:W3CDTF">2010-06-07T16:56:00Z</dcterms:created>
  <dcterms:modified xsi:type="dcterms:W3CDTF">2010-06-07T16:56:00Z</dcterms:modified>
</cp:coreProperties>
</file>