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97A" w:rsidRPr="009553EC" w:rsidRDefault="00597922" w:rsidP="00E52925">
      <w:pPr>
        <w:jc w:val="center"/>
        <w:rPr>
          <w:b/>
          <w:sz w:val="28"/>
        </w:rPr>
      </w:pPr>
      <w:r w:rsidRPr="009553EC">
        <w:rPr>
          <w:rFonts w:hint="eastAsia"/>
          <w:b/>
          <w:sz w:val="28"/>
        </w:rPr>
        <w:t>基于产业链甲醇期货价格预测</w:t>
      </w:r>
      <w:r w:rsidR="00DC3496" w:rsidRPr="009553EC">
        <w:rPr>
          <w:rFonts w:hint="eastAsia"/>
          <w:b/>
          <w:sz w:val="28"/>
        </w:rPr>
        <w:t>重要变量</w:t>
      </w:r>
      <w:r w:rsidR="0093153E">
        <w:rPr>
          <w:rFonts w:hint="eastAsia"/>
          <w:b/>
          <w:sz w:val="28"/>
        </w:rPr>
        <w:t>筛选</w:t>
      </w:r>
    </w:p>
    <w:p w:rsidR="00E52925" w:rsidRPr="002C43D6" w:rsidRDefault="00E52925" w:rsidP="00E52925">
      <w:pPr>
        <w:jc w:val="center"/>
        <w:rPr>
          <w:rFonts w:hint="eastAsia"/>
          <w:b/>
        </w:rPr>
      </w:pPr>
      <w:r w:rsidRPr="002C43D6">
        <w:rPr>
          <w:rFonts w:hint="eastAsia"/>
          <w:b/>
        </w:rPr>
        <w:t>作者：</w:t>
      </w:r>
    </w:p>
    <w:p w:rsidR="00D161DF" w:rsidRDefault="00D161DF">
      <w:pPr>
        <w:rPr>
          <w:rFonts w:hint="eastAsia"/>
        </w:rPr>
      </w:pPr>
      <w:r w:rsidRPr="002C43D6">
        <w:rPr>
          <w:rFonts w:hint="eastAsia"/>
          <w:b/>
        </w:rPr>
        <w:t>摘要：</w:t>
      </w:r>
      <w:r>
        <w:rPr>
          <w:rFonts w:hint="eastAsia"/>
        </w:rPr>
        <w:t>本文使用随机森林和XGBoost算法，从甲醇产业链角度出发寻找预测甲醇期货价格的特征变量。</w:t>
      </w:r>
      <w:r w:rsidR="001A7B65">
        <w:rPr>
          <w:rFonts w:hint="eastAsia"/>
        </w:rPr>
        <w:t>样本</w:t>
      </w:r>
      <w:r w:rsidR="006D416E">
        <w:rPr>
          <w:rFonts w:hint="eastAsia"/>
        </w:rPr>
        <w:t>选取2</w:t>
      </w:r>
      <w:r w:rsidR="006D416E">
        <w:t>016</w:t>
      </w:r>
      <w:r w:rsidR="006D416E">
        <w:rPr>
          <w:rFonts w:hint="eastAsia"/>
        </w:rPr>
        <w:t>年</w:t>
      </w:r>
      <w:r w:rsidR="001A7B65">
        <w:rPr>
          <w:rFonts w:hint="eastAsia"/>
        </w:rPr>
        <w:t>1月</w:t>
      </w:r>
      <w:r w:rsidR="006D416E">
        <w:rPr>
          <w:rFonts w:hint="eastAsia"/>
        </w:rPr>
        <w:t>至2</w:t>
      </w:r>
      <w:r w:rsidR="006D416E">
        <w:t>021</w:t>
      </w:r>
      <w:r w:rsidR="006D416E">
        <w:rPr>
          <w:rFonts w:hint="eastAsia"/>
        </w:rPr>
        <w:t>年5月期间交易的</w:t>
      </w:r>
      <w:r w:rsidR="00C46E5E">
        <w:rPr>
          <w:rFonts w:hint="eastAsia"/>
        </w:rPr>
        <w:t>真实</w:t>
      </w:r>
      <w:r w:rsidR="006D416E">
        <w:rPr>
          <w:rFonts w:hint="eastAsia"/>
        </w:rPr>
        <w:t>数据。</w:t>
      </w:r>
      <w:r w:rsidR="00D75B1D">
        <w:rPr>
          <w:rFonts w:hint="eastAsia"/>
        </w:rPr>
        <w:t>以筛选的基本面预测变量和经过归一化后的基本面预测变量构造对照模型</w:t>
      </w:r>
      <w:r w:rsidR="00907443">
        <w:rPr>
          <w:rFonts w:hint="eastAsia"/>
        </w:rPr>
        <w:t>，采用R</w:t>
      </w:r>
      <w:r w:rsidR="00907443" w:rsidRPr="00901B58">
        <w:rPr>
          <w:rFonts w:hint="eastAsia"/>
          <w:vertAlign w:val="superscript"/>
        </w:rPr>
        <w:t>2</w:t>
      </w:r>
      <w:r w:rsidR="00907443">
        <w:rPr>
          <w:rFonts w:hint="eastAsia"/>
        </w:rPr>
        <w:t>、MAPE来评估模型的表现</w:t>
      </w:r>
      <w:r w:rsidR="00996D68">
        <w:rPr>
          <w:rFonts w:hint="eastAsia"/>
        </w:rPr>
        <w:t>。研究结果显示，</w:t>
      </w:r>
      <w:r w:rsidR="00C370A3">
        <w:rPr>
          <w:rFonts w:hint="eastAsia"/>
        </w:rPr>
        <w:t>无</w:t>
      </w:r>
      <w:r w:rsidR="00C370A3" w:rsidRPr="00AA3A25">
        <w:rPr>
          <w:rFonts w:hint="eastAsia"/>
        </w:rPr>
        <w:t>论是否进行归</w:t>
      </w:r>
      <w:r w:rsidR="00C370A3">
        <w:rPr>
          <w:rFonts w:hint="eastAsia"/>
        </w:rPr>
        <w:t>一化</w:t>
      </w:r>
      <w:r w:rsidR="00C201A9">
        <w:rPr>
          <w:rFonts w:hint="eastAsia"/>
        </w:rPr>
        <w:t>，模型的预测精度没有较大提高，但是经过归一化处理后所得的两种树模型的预测误差</w:t>
      </w:r>
      <w:r w:rsidR="008B41C4">
        <w:rPr>
          <w:rFonts w:hint="eastAsia"/>
        </w:rPr>
        <w:t>变得很大；无论是否对数据进行归一化处理，</w:t>
      </w:r>
      <w:r w:rsidR="008B41C4">
        <w:rPr>
          <w:rFonts w:hint="eastAsia"/>
        </w:rPr>
        <w:t>甲醇毛利、甲醇现货价格、甲醇产量</w:t>
      </w:r>
      <w:r w:rsidR="00D46FD2">
        <w:rPr>
          <w:rFonts w:hint="eastAsia"/>
        </w:rPr>
        <w:t>三个变量对两种树模型的重要程度</w:t>
      </w:r>
      <w:r w:rsidR="001969ED">
        <w:rPr>
          <w:rFonts w:hint="eastAsia"/>
        </w:rPr>
        <w:t>均处于最前列，</w:t>
      </w:r>
      <w:r w:rsidR="00646F7F">
        <w:rPr>
          <w:rFonts w:hint="eastAsia"/>
        </w:rPr>
        <w:t>对模型的预测具有重要意义。</w:t>
      </w:r>
    </w:p>
    <w:p w:rsidR="0015073F" w:rsidRDefault="0015073F" w:rsidP="0015073F">
      <w:r>
        <w:rPr>
          <w:rFonts w:hint="eastAsia"/>
        </w:rPr>
        <w:t>关键字：期货价格；价格预测；随机森林；XGBoost</w:t>
      </w:r>
    </w:p>
    <w:p w:rsidR="0015073F" w:rsidRPr="002C43D6" w:rsidRDefault="0015073F" w:rsidP="0015073F">
      <w:pPr>
        <w:rPr>
          <w:b/>
        </w:rPr>
      </w:pPr>
      <w:r w:rsidRPr="002C43D6">
        <w:rPr>
          <w:rFonts w:hint="eastAsia"/>
          <w:b/>
        </w:rPr>
        <w:t>一、 引言与文献综述</w:t>
      </w:r>
    </w:p>
    <w:p w:rsidR="0015073F" w:rsidRDefault="0015073F" w:rsidP="0015073F">
      <w:pPr>
        <w:ind w:firstLineChars="200" w:firstLine="480"/>
      </w:pPr>
      <w:r>
        <w:rPr>
          <w:rFonts w:hint="eastAsia"/>
        </w:rPr>
        <w:t>期货作为全球金融体系的重要组成部分，在调节经济方面具有重要的作用，对期货市场进行研究非常具有意义</w:t>
      </w:r>
      <w:r>
        <w:t>[1]</w:t>
      </w:r>
      <w:r>
        <w:rPr>
          <w:rFonts w:hint="eastAsia"/>
        </w:rPr>
        <w:t>。目前对期货的研究主要集中在能化、黑色系以及农业板块，能化产品主要集中在PTA、聚氯乙烯等，黑色系产品主要为螺纹钢、焦炭、铁矿石等，农业产品有小麦、玉米、大豆等[</w:t>
      </w:r>
      <w:r>
        <w:t>2]</w:t>
      </w:r>
      <w:r>
        <w:rPr>
          <w:rFonts w:hint="eastAsia"/>
        </w:rPr>
        <w:t>，对能化板块中的甲醇研究较少。</w:t>
      </w:r>
    </w:p>
    <w:p w:rsidR="0015073F" w:rsidRDefault="0015073F" w:rsidP="0015073F">
      <w:pPr>
        <w:ind w:firstLineChars="200" w:firstLine="480"/>
      </w:pPr>
      <w:r>
        <w:rPr>
          <w:rFonts w:hint="eastAsia"/>
        </w:rPr>
        <w:t>阅读国内外相关文献可以发现，对金融市场的研究方法主要分为数理统计模型和机器学习方法[</w:t>
      </w:r>
      <w:r>
        <w:t>3]</w:t>
      </w:r>
      <w:r>
        <w:rPr>
          <w:rFonts w:hint="eastAsia"/>
        </w:rPr>
        <w:t>。其中数理统计模型包括自回归模型、差分自回归移动平均模型、广义自回归条件异常差模型等。机器学习算法模型包括决策树（DT）、支持向量回归模型（SVR）、随机森林（RF）、人工神经网络（ANN）等[</w:t>
      </w:r>
      <w:r>
        <w:t>4]</w:t>
      </w:r>
      <w:r>
        <w:rPr>
          <w:rFonts w:hint="eastAsia"/>
        </w:rPr>
        <w:t>。随着计算力的提升，机器学习逐渐被应用到金融领域的研究中，并表现出良好的研究性能[</w:t>
      </w:r>
      <w:r>
        <w:t>5]</w:t>
      </w:r>
      <w:r>
        <w:rPr>
          <w:rFonts w:hint="eastAsia"/>
        </w:rPr>
        <w:t>。</w:t>
      </w:r>
    </w:p>
    <w:p w:rsidR="00D750DE" w:rsidRDefault="0015073F" w:rsidP="00D750DE">
      <w:pPr>
        <w:ind w:firstLineChars="200" w:firstLine="480"/>
        <w:rPr>
          <w:rFonts w:hint="eastAsia"/>
        </w:rPr>
      </w:pPr>
      <w:proofErr w:type="spellStart"/>
      <w:r>
        <w:rPr>
          <w:rFonts w:hint="eastAsia"/>
        </w:rPr>
        <w:t>Einav</w:t>
      </w:r>
      <w:proofErr w:type="spellEnd"/>
      <w:r>
        <w:rPr>
          <w:rFonts w:hint="eastAsia"/>
        </w:rPr>
        <w:t>和Levin（2</w:t>
      </w:r>
      <w:r>
        <w:t>014</w:t>
      </w:r>
      <w:r>
        <w:rPr>
          <w:rFonts w:hint="eastAsia"/>
        </w:rPr>
        <w:t>）指出在经济学研究领域中，经济模型关注的重点主要放在能够代表工序变化的因素上面，研究人员需要对数据的异质性进行校正，并试图获得估计参数的异方差一致的标准误差和协方差。此外还需要通过不同模型来评估模型的鲁棒性[</w:t>
      </w:r>
      <w:r>
        <w:t>6]</w:t>
      </w:r>
      <w:r>
        <w:rPr>
          <w:rFonts w:hint="eastAsia"/>
        </w:rPr>
        <w:t>。与传统计量模型相比，机器学习算法对数据的前提假设较少，是以数据为驱动，将重点放在模型的输出结果上，进而揭示出特征对模型的解释能力[</w:t>
      </w:r>
      <w:r>
        <w:t>7]</w:t>
      </w:r>
      <w:r>
        <w:rPr>
          <w:rFonts w:hint="eastAsia"/>
        </w:rPr>
        <w:t>。机器学习是让计算机能够像人类一样行为，通过输入数据，不断进行观察和学习来提升自己与真实世界交互的能力的一门学科[</w:t>
      </w:r>
      <w:r>
        <w:t>8]</w:t>
      </w:r>
      <w:r>
        <w:rPr>
          <w:rFonts w:hint="eastAsia"/>
        </w:rPr>
        <w:t>。随机森林算法是集成多棵决策树的集成模型，</w:t>
      </w:r>
      <w:proofErr w:type="spellStart"/>
      <w:r>
        <w:rPr>
          <w:rFonts w:hint="eastAsia"/>
        </w:rPr>
        <w:t>Breiman</w:t>
      </w:r>
      <w:proofErr w:type="spellEnd"/>
      <w:r>
        <w:rPr>
          <w:rFonts w:hint="eastAsia"/>
        </w:rPr>
        <w:t>指出不需要考虑多元回归模型中的多重共线性问题[</w:t>
      </w:r>
      <w:r>
        <w:t>9]</w:t>
      </w:r>
      <w:r>
        <w:rPr>
          <w:rFonts w:hint="eastAsia"/>
        </w:rPr>
        <w:t>，</w:t>
      </w:r>
      <w:proofErr w:type="spellStart"/>
      <w:r>
        <w:rPr>
          <w:rFonts w:hint="eastAsia"/>
        </w:rPr>
        <w:t>Mohd</w:t>
      </w:r>
      <w:proofErr w:type="spellEnd"/>
      <w:r>
        <w:rPr>
          <w:rFonts w:hint="eastAsia"/>
        </w:rPr>
        <w:t>等</w:t>
      </w:r>
      <w:r>
        <w:t>2019</w:t>
      </w:r>
      <w:r>
        <w:rPr>
          <w:rFonts w:hint="eastAsia"/>
        </w:rPr>
        <w:t>，Mullainathan和</w:t>
      </w:r>
      <w:proofErr w:type="spellStart"/>
      <w:r>
        <w:rPr>
          <w:rFonts w:hint="eastAsia"/>
        </w:rPr>
        <w:t>Spiess</w:t>
      </w:r>
      <w:proofErr w:type="spellEnd"/>
      <w:r>
        <w:rPr>
          <w:rFonts w:hint="eastAsia"/>
        </w:rPr>
        <w:t>，2</w:t>
      </w:r>
      <w:r>
        <w:t>017</w:t>
      </w:r>
      <w:r>
        <w:rPr>
          <w:rFonts w:hint="eastAsia"/>
        </w:rPr>
        <w:t>[</w:t>
      </w:r>
      <w:r>
        <w:t>10]</w:t>
      </w:r>
      <w:r>
        <w:rPr>
          <w:rFonts w:hint="eastAsia"/>
        </w:rPr>
        <w:t>，</w:t>
      </w:r>
      <w:proofErr w:type="spellStart"/>
      <w:r w:rsidRPr="001E767D">
        <w:t>Pérez-Rave</w:t>
      </w:r>
      <w:proofErr w:type="spellEnd"/>
      <w:r>
        <w:rPr>
          <w:rFonts w:hint="eastAsia"/>
        </w:rPr>
        <w:t>等分别与2</w:t>
      </w:r>
      <w:r>
        <w:t>019</w:t>
      </w:r>
      <w:r>
        <w:rPr>
          <w:rFonts w:hint="eastAsia"/>
        </w:rPr>
        <w:t>年，2</w:t>
      </w:r>
      <w:r>
        <w:t>017</w:t>
      </w:r>
      <w:r>
        <w:rPr>
          <w:rFonts w:hint="eastAsia"/>
        </w:rPr>
        <w:t>年，2</w:t>
      </w:r>
      <w:r>
        <w:t>019</w:t>
      </w:r>
      <w:r>
        <w:rPr>
          <w:rFonts w:hint="eastAsia"/>
        </w:rPr>
        <w:t>年[</w:t>
      </w:r>
      <w:r>
        <w:t>11]</w:t>
      </w:r>
      <w:r>
        <w:rPr>
          <w:rFonts w:hint="eastAsia"/>
        </w:rPr>
        <w:t>均随机森林算法</w:t>
      </w:r>
      <w:r w:rsidRPr="001E767D">
        <w:rPr>
          <w:rFonts w:hint="eastAsia"/>
        </w:rPr>
        <w:t>指出</w:t>
      </w:r>
      <w:r>
        <w:rPr>
          <w:rFonts w:hint="eastAsia"/>
        </w:rPr>
        <w:t>可以有效地避免模型的过拟合，是一个能够做出精确预测的强鲁棒性算法。Alexandre</w:t>
      </w:r>
      <w:r>
        <w:t xml:space="preserve"> </w:t>
      </w:r>
      <w:r>
        <w:rPr>
          <w:rFonts w:hint="eastAsia"/>
        </w:rPr>
        <w:t>Lucas等（2</w:t>
      </w:r>
      <w:r>
        <w:t>020</w:t>
      </w:r>
      <w:r>
        <w:rPr>
          <w:rFonts w:hint="eastAsia"/>
        </w:rPr>
        <w:t>）使用梯度提升、随机森林和XGBoost对欧洲地区居民电价进行预测得出XGBoost对能源的价格能够做出精确预测[</w:t>
      </w:r>
      <w:r>
        <w:t>12]</w:t>
      </w:r>
      <w:r>
        <w:rPr>
          <w:rFonts w:hint="eastAsia"/>
        </w:rPr>
        <w:t>。</w:t>
      </w:r>
    </w:p>
    <w:p w:rsidR="0015073F" w:rsidRPr="002C43D6" w:rsidRDefault="0015073F" w:rsidP="0015073F">
      <w:pPr>
        <w:rPr>
          <w:b/>
        </w:rPr>
      </w:pPr>
      <w:r w:rsidRPr="002C43D6">
        <w:rPr>
          <w:rFonts w:hint="eastAsia"/>
          <w:b/>
        </w:rPr>
        <w:t>二、预测变量的筛选方法</w:t>
      </w:r>
    </w:p>
    <w:p w:rsidR="0015073F" w:rsidRPr="00BA3730" w:rsidRDefault="0015073F" w:rsidP="0015073F">
      <w:pPr>
        <w:ind w:firstLineChars="200" w:firstLine="480"/>
      </w:pPr>
      <w:r>
        <w:rPr>
          <w:rFonts w:hint="eastAsia"/>
        </w:rPr>
        <w:t>期货价格预测效果取决于预测变量的选择和预测模型的构建。在预测变量的选择上，众多实证研究表明产品上下游产品的基本面数据</w:t>
      </w:r>
      <w:r w:rsidRPr="00D325E7">
        <w:rPr>
          <w:rFonts w:hint="eastAsia"/>
        </w:rPr>
        <w:t>对金融资产价格的预测具有重要意义</w:t>
      </w:r>
      <w:r w:rsidRPr="00696D02">
        <w:rPr>
          <w:rFonts w:hint="eastAsia"/>
        </w:rPr>
        <w:t>[</w:t>
      </w:r>
      <w:r w:rsidRPr="00696D02">
        <w:t>1</w:t>
      </w:r>
      <w:r w:rsidR="00EA6451" w:rsidRPr="00696D02">
        <w:t>3</w:t>
      </w:r>
      <w:r w:rsidRPr="00696D02">
        <w:t>]</w:t>
      </w:r>
      <w:r w:rsidRPr="00696D02">
        <w:rPr>
          <w:rFonts w:hint="eastAsia"/>
        </w:rPr>
        <w:t>。</w:t>
      </w:r>
    </w:p>
    <w:p w:rsidR="0015073F" w:rsidRPr="00CF5C58" w:rsidRDefault="0015073F" w:rsidP="0015073F">
      <w:pPr>
        <w:pStyle w:val="a3"/>
        <w:numPr>
          <w:ilvl w:val="0"/>
          <w:numId w:val="2"/>
        </w:numPr>
        <w:ind w:firstLineChars="0"/>
        <w:rPr>
          <w:rFonts w:ascii="宋体" w:eastAsia="宋体" w:hAnsi="宋体" w:cs="宋体"/>
          <w:b/>
          <w:kern w:val="0"/>
          <w:sz w:val="24"/>
        </w:rPr>
      </w:pPr>
      <w:r w:rsidRPr="00CF5C58">
        <w:rPr>
          <w:rFonts w:ascii="宋体" w:eastAsia="宋体" w:hAnsi="宋体" w:cs="宋体" w:hint="eastAsia"/>
          <w:b/>
          <w:kern w:val="0"/>
          <w:sz w:val="24"/>
        </w:rPr>
        <w:t>基本面指标的筛选</w:t>
      </w:r>
    </w:p>
    <w:p w:rsidR="0015073F" w:rsidRPr="001E767D" w:rsidRDefault="0015073F" w:rsidP="0015073F">
      <w:pPr>
        <w:ind w:firstLineChars="200" w:firstLine="480"/>
        <w:rPr>
          <w:rFonts w:hint="eastAsia"/>
        </w:rPr>
      </w:pPr>
      <w:r w:rsidRPr="001E767D">
        <w:rPr>
          <w:rFonts w:hint="eastAsia"/>
        </w:rPr>
        <w:t>影响商品期货价格的因素有很多，</w:t>
      </w:r>
      <w:r>
        <w:rPr>
          <w:rFonts w:hint="eastAsia"/>
        </w:rPr>
        <w:t>从</w:t>
      </w:r>
      <w:r w:rsidRPr="001E767D">
        <w:rPr>
          <w:rFonts w:hint="eastAsia"/>
        </w:rPr>
        <w:t>经济学原理的供需</w:t>
      </w:r>
      <w:r>
        <w:rPr>
          <w:rFonts w:hint="eastAsia"/>
        </w:rPr>
        <w:t>关系</w:t>
      </w:r>
      <w:r w:rsidRPr="001E767D">
        <w:rPr>
          <w:rFonts w:hint="eastAsia"/>
        </w:rPr>
        <w:t>以及生产成本对供需</w:t>
      </w:r>
      <w:r>
        <w:rPr>
          <w:rFonts w:hint="eastAsia"/>
        </w:rPr>
        <w:t>关系</w:t>
      </w:r>
      <w:r w:rsidRPr="001E767D">
        <w:rPr>
          <w:rFonts w:hint="eastAsia"/>
        </w:rPr>
        <w:t>的影响角度出发，</w:t>
      </w:r>
      <w:r w:rsidRPr="00AC1531">
        <w:rPr>
          <w:rFonts w:hint="eastAsia"/>
        </w:rPr>
        <w:t>期货商品的价格也应该在一</w:t>
      </w:r>
      <w:r w:rsidRPr="001E767D">
        <w:rPr>
          <w:rFonts w:hint="eastAsia"/>
        </w:rPr>
        <w:t>定程度上遵循供需准</w:t>
      </w:r>
      <w:r w:rsidRPr="001E767D">
        <w:rPr>
          <w:rFonts w:hint="eastAsia"/>
        </w:rPr>
        <w:lastRenderedPageBreak/>
        <w:t>则以及成本原理。</w:t>
      </w:r>
      <w:r>
        <w:rPr>
          <w:rFonts w:hint="eastAsia"/>
        </w:rPr>
        <w:t>从产业链的角度能够较为容易地找出影响商品期货价格的基本面数据。</w:t>
      </w:r>
    </w:p>
    <w:p w:rsidR="0015073F" w:rsidRDefault="0015073F" w:rsidP="0015073F">
      <w:pPr>
        <w:ind w:firstLineChars="200" w:firstLine="480"/>
      </w:pPr>
      <w:r w:rsidRPr="001E767D">
        <w:rPr>
          <w:rFonts w:hint="eastAsia"/>
        </w:rPr>
        <w:t>甲醇作为石化产业链中的一个重要的中间产品，其生产的原材料主要为天然气，其下游的产品主要有甲醛、MITBE、冰醋酸等。根据</w:t>
      </w:r>
      <w:r>
        <w:rPr>
          <w:rFonts w:hint="eastAsia"/>
        </w:rPr>
        <w:t>供需关系以及生产成本对其的作用，</w:t>
      </w:r>
      <w:r w:rsidRPr="001E767D">
        <w:rPr>
          <w:rFonts w:hint="eastAsia"/>
        </w:rPr>
        <w:t>上游产品的出厂价格将作为下游产品的生产直接费用，并</w:t>
      </w:r>
      <w:r>
        <w:rPr>
          <w:rFonts w:hint="eastAsia"/>
        </w:rPr>
        <w:t>呈现出</w:t>
      </w:r>
      <w:r w:rsidRPr="001E767D">
        <w:rPr>
          <w:rFonts w:hint="eastAsia"/>
        </w:rPr>
        <w:t>正相关关系；根据供需关系原理，上游产品的库存量将对下游产品的生产成本产生一定的影响，并呈现出负相关关系；而上游产品的库存量又与该商品的开工率以及生产利润具备一定的相关关系，并且呈现出正相关关系；产品的进出口量中的进口将作为国内该产品的库存量的重要组成部分之一，出口量将作为该商品需求量中</w:t>
      </w:r>
      <w:r w:rsidRPr="00D85487">
        <w:rPr>
          <w:rFonts w:hint="eastAsia"/>
        </w:rPr>
        <w:t>的一部分，与该产品的库存量也具备一定的相关关系，分别表现出负相关性和正相关性。此</w:t>
      </w:r>
      <w:r w:rsidRPr="001E767D">
        <w:rPr>
          <w:rFonts w:hint="eastAsia"/>
        </w:rPr>
        <w:t>外，</w:t>
      </w:r>
      <w:r w:rsidRPr="00B450BD">
        <w:rPr>
          <w:rFonts w:hint="eastAsia"/>
          <w:highlight w:val="yellow"/>
        </w:rPr>
        <w:t>期货交易最终将以现货的方式进行交</w:t>
      </w:r>
      <w:r w:rsidRPr="001E767D">
        <w:rPr>
          <w:rFonts w:hint="eastAsia"/>
        </w:rPr>
        <w:t>割，换言之，现货的交易价格与该商品的期货价格紧密相关。因而选择的基本面数据主要为上下游产品的现货价格、期货价格、供给、需求、成本、利润几个方面。以上是从供需关系和生产成本的角度以及期货交易的方式出发所做出的假设，具体的相关</w:t>
      </w:r>
      <w:r>
        <w:rPr>
          <w:rFonts w:hint="eastAsia"/>
        </w:rPr>
        <w:t>程度</w:t>
      </w:r>
      <w:r w:rsidRPr="001E767D">
        <w:rPr>
          <w:rFonts w:hint="eastAsia"/>
        </w:rPr>
        <w:t>还要通过</w:t>
      </w:r>
      <w:r>
        <w:rPr>
          <w:rFonts w:hint="eastAsia"/>
        </w:rPr>
        <w:t>数理</w:t>
      </w:r>
      <w:r w:rsidRPr="001E767D">
        <w:rPr>
          <w:rFonts w:hint="eastAsia"/>
        </w:rPr>
        <w:t>统计方法的分析才能确定相互之间是否存在这样的关系。基于数据的可获性，本文选择2</w:t>
      </w:r>
      <w:r w:rsidRPr="001E767D">
        <w:t>016</w:t>
      </w:r>
      <w:r w:rsidRPr="001E767D">
        <w:rPr>
          <w:rFonts w:hint="eastAsia"/>
        </w:rPr>
        <w:t>年</w:t>
      </w:r>
      <w:r>
        <w:t>2</w:t>
      </w:r>
      <w:r>
        <w:rPr>
          <w:rFonts w:hint="eastAsia"/>
        </w:rPr>
        <w:t>月</w:t>
      </w:r>
      <w:r w:rsidRPr="001E767D">
        <w:rPr>
          <w:rFonts w:hint="eastAsia"/>
        </w:rPr>
        <w:t>至2</w:t>
      </w:r>
      <w:r w:rsidRPr="001E767D">
        <w:t>021</w:t>
      </w:r>
      <w:r w:rsidRPr="001E767D">
        <w:rPr>
          <w:rFonts w:hint="eastAsia"/>
        </w:rPr>
        <w:t>年5月期间甲醇的产量、进口量、出口量、库存量、现货价格、毛利，天然气的现货价格、产量、进口量、库存</w:t>
      </w:r>
      <w:r>
        <w:rPr>
          <w:rFonts w:hint="eastAsia"/>
        </w:rPr>
        <w:t>量</w:t>
      </w:r>
      <w:r w:rsidRPr="001E767D">
        <w:rPr>
          <w:rFonts w:hint="eastAsia"/>
        </w:rPr>
        <w:t>，冰醋酸的进口量、出口量、库存量、消费量、库存量、现货价格、毛利基本面数据作为备选预测变量，甲醇期货交易日收盘价作为被</w:t>
      </w:r>
      <w:r>
        <w:rPr>
          <w:rFonts w:hint="eastAsia"/>
        </w:rPr>
        <w:t>预测</w:t>
      </w:r>
      <w:r w:rsidRPr="001E767D">
        <w:rPr>
          <w:rFonts w:hint="eastAsia"/>
        </w:rPr>
        <w:t>变量。数据的来源为大智慧、卓创资讯、钢联以及生意社。</w:t>
      </w:r>
    </w:p>
    <w:p w:rsidR="007073A0" w:rsidRPr="00CF5C58" w:rsidRDefault="007073A0" w:rsidP="00013FAA">
      <w:pPr>
        <w:rPr>
          <w:rFonts w:hint="eastAsia"/>
          <w:b/>
        </w:rPr>
      </w:pPr>
      <w:r w:rsidRPr="00CF5C58">
        <w:rPr>
          <w:rFonts w:hint="eastAsia"/>
          <w:b/>
        </w:rPr>
        <w:t>2</w:t>
      </w:r>
      <w:r w:rsidRPr="00CF5C58">
        <w:rPr>
          <w:b/>
        </w:rPr>
        <w:t>.</w:t>
      </w:r>
      <w:r w:rsidRPr="00CF5C58">
        <w:rPr>
          <w:rFonts w:hint="eastAsia"/>
          <w:b/>
        </w:rPr>
        <w:t>预测变量的处理方法</w:t>
      </w:r>
    </w:p>
    <w:p w:rsidR="0015073F" w:rsidRPr="001E767D" w:rsidRDefault="0015073F" w:rsidP="0015073F">
      <w:pPr>
        <w:ind w:firstLineChars="200" w:firstLine="480"/>
      </w:pPr>
      <w:r w:rsidRPr="001E767D">
        <w:rPr>
          <w:rFonts w:hint="eastAsia"/>
        </w:rPr>
        <w:t>在这些可获的数据中，</w:t>
      </w:r>
      <w:r>
        <w:rPr>
          <w:rFonts w:hint="eastAsia"/>
        </w:rPr>
        <w:t>数据有日频、周频、月频的</w:t>
      </w:r>
      <w:r w:rsidRPr="001E767D">
        <w:rPr>
          <w:rFonts w:hint="eastAsia"/>
        </w:rPr>
        <w:t>，本文采用的处理方式是将周频、月频数据转换为日频数据，</w:t>
      </w:r>
      <w:r>
        <w:rPr>
          <w:rFonts w:hint="eastAsia"/>
        </w:rPr>
        <w:t>具体的做法是将特征数据中相邻两个日期中的所有交易日均取为两者之间后者的样本值。</w:t>
      </w:r>
      <w:r w:rsidRPr="001E767D">
        <w:rPr>
          <w:rFonts w:hint="eastAsia"/>
        </w:rPr>
        <w:t>此外，从实用角度出发，将这些备选预测变量向前移动一个周期，即如果是日频数据，则将甲醇的期货价格与该</w:t>
      </w:r>
      <w:r>
        <w:rPr>
          <w:rFonts w:hint="eastAsia"/>
        </w:rPr>
        <w:t>备选</w:t>
      </w:r>
      <w:r w:rsidRPr="001E767D">
        <w:rPr>
          <w:rFonts w:hint="eastAsia"/>
        </w:rPr>
        <w:t>预测变量的前一</w:t>
      </w:r>
      <w:r>
        <w:rPr>
          <w:rFonts w:hint="eastAsia"/>
        </w:rPr>
        <w:t>交易</w:t>
      </w:r>
      <w:r w:rsidRPr="001E767D">
        <w:rPr>
          <w:rFonts w:hint="eastAsia"/>
        </w:rPr>
        <w:t>日数据进行匹配；如果是周频数据则将甲醇的期货价格与该预测变量前一周的数据进行匹配；如果是月频数据，则将甲醇的期货价格与该预测便量的前一个月数据进行匹配。</w:t>
      </w:r>
    </w:p>
    <w:p w:rsidR="0015073F" w:rsidRPr="001E767D" w:rsidRDefault="0015073F" w:rsidP="0015073F">
      <w:pPr>
        <w:ind w:firstLineChars="200" w:firstLine="480"/>
      </w:pPr>
      <w:r w:rsidRPr="001E767D">
        <w:rPr>
          <w:rFonts w:hint="eastAsia"/>
        </w:rPr>
        <w:t>使用SPSS统计分析软件对上述这些备选预测变量与甲醇的期货价格进行Person、Kendall以及Spearman相关性检验，检验结果如</w:t>
      </w:r>
      <w:r>
        <w:rPr>
          <w:rFonts w:hint="eastAsia"/>
        </w:rPr>
        <w:t>表</w:t>
      </w:r>
      <w:r w:rsidRPr="001E767D">
        <w:rPr>
          <w:rFonts w:hint="eastAsia"/>
        </w:rPr>
        <w:t>1所示。</w:t>
      </w:r>
    </w:p>
    <w:p w:rsidR="0015073F" w:rsidRPr="00A95763" w:rsidRDefault="0015073F" w:rsidP="00A95763">
      <w:pPr>
        <w:ind w:firstLineChars="200" w:firstLine="300"/>
        <w:jc w:val="center"/>
        <w:rPr>
          <w:sz w:val="15"/>
        </w:rPr>
      </w:pPr>
      <w:r w:rsidRPr="00A95763">
        <w:rPr>
          <w:rFonts w:hint="eastAsia"/>
          <w:sz w:val="15"/>
        </w:rPr>
        <w:t>表1</w:t>
      </w:r>
      <w:r w:rsidR="00B45B80" w:rsidRPr="00A95763">
        <w:rPr>
          <w:rFonts w:hint="eastAsia"/>
          <w:sz w:val="15"/>
        </w:rPr>
        <w:t>预测变量与被预测变量相关性检验结果</w:t>
      </w:r>
    </w:p>
    <w:tbl>
      <w:tblPr>
        <w:tblStyle w:val="a5"/>
        <w:tblW w:w="0" w:type="auto"/>
        <w:tblCellMar>
          <w:left w:w="0" w:type="dxa"/>
          <w:right w:w="0" w:type="dxa"/>
        </w:tblCellMar>
        <w:tblLook w:val="04A0" w:firstRow="1" w:lastRow="0" w:firstColumn="1" w:lastColumn="0" w:noHBand="0" w:noVBand="1"/>
      </w:tblPr>
      <w:tblGrid>
        <w:gridCol w:w="741"/>
        <w:gridCol w:w="772"/>
        <w:gridCol w:w="880"/>
        <w:gridCol w:w="880"/>
        <w:gridCol w:w="880"/>
        <w:gridCol w:w="880"/>
        <w:gridCol w:w="818"/>
        <w:gridCol w:w="880"/>
        <w:gridCol w:w="741"/>
        <w:gridCol w:w="818"/>
      </w:tblGrid>
      <w:tr w:rsidR="00A37802" w:rsidRPr="008B0E6F" w:rsidTr="00543378">
        <w:trPr>
          <w:trHeight w:val="20"/>
        </w:trPr>
        <w:tc>
          <w:tcPr>
            <w:tcW w:w="1960" w:type="dxa"/>
            <w:gridSpan w:val="2"/>
            <w:vAlign w:val="center"/>
            <w:hideMark/>
          </w:tcPr>
          <w:p w:rsidR="00A37802" w:rsidRPr="008B0E6F" w:rsidRDefault="00A37802" w:rsidP="00683DFB">
            <w:pPr>
              <w:widowControl w:val="0"/>
              <w:jc w:val="center"/>
              <w:rPr>
                <w:sz w:val="15"/>
              </w:rPr>
            </w:pPr>
          </w:p>
        </w:tc>
        <w:tc>
          <w:tcPr>
            <w:tcW w:w="1140" w:type="dxa"/>
            <w:vAlign w:val="center"/>
            <w:hideMark/>
          </w:tcPr>
          <w:p w:rsidR="00A37802" w:rsidRPr="008B0E6F" w:rsidRDefault="00A37802" w:rsidP="00683DFB">
            <w:pPr>
              <w:jc w:val="center"/>
              <w:rPr>
                <w:sz w:val="15"/>
              </w:rPr>
            </w:pPr>
            <w:r w:rsidRPr="008B0E6F">
              <w:rPr>
                <w:rFonts w:hint="eastAsia"/>
                <w:sz w:val="15"/>
              </w:rPr>
              <w:t>甲醇产量</w:t>
            </w:r>
          </w:p>
        </w:tc>
        <w:tc>
          <w:tcPr>
            <w:tcW w:w="1140" w:type="dxa"/>
            <w:vAlign w:val="center"/>
            <w:hideMark/>
          </w:tcPr>
          <w:p w:rsidR="00A37802" w:rsidRPr="008B0E6F" w:rsidRDefault="00A37802" w:rsidP="00683DFB">
            <w:pPr>
              <w:jc w:val="center"/>
              <w:rPr>
                <w:rFonts w:hint="eastAsia"/>
                <w:sz w:val="15"/>
              </w:rPr>
            </w:pPr>
            <w:r w:rsidRPr="008B0E6F">
              <w:rPr>
                <w:rFonts w:hint="eastAsia"/>
                <w:sz w:val="15"/>
              </w:rPr>
              <w:t>甲醇出口量</w:t>
            </w:r>
          </w:p>
        </w:tc>
        <w:tc>
          <w:tcPr>
            <w:tcW w:w="1140" w:type="dxa"/>
            <w:vAlign w:val="center"/>
            <w:hideMark/>
          </w:tcPr>
          <w:p w:rsidR="00A37802" w:rsidRPr="008B0E6F" w:rsidRDefault="00A37802" w:rsidP="00683DFB">
            <w:pPr>
              <w:jc w:val="center"/>
              <w:rPr>
                <w:rFonts w:hint="eastAsia"/>
                <w:sz w:val="15"/>
              </w:rPr>
            </w:pPr>
            <w:r w:rsidRPr="008B0E6F">
              <w:rPr>
                <w:rFonts w:hint="eastAsia"/>
                <w:sz w:val="15"/>
              </w:rPr>
              <w:t>甲醇进口量</w:t>
            </w:r>
          </w:p>
        </w:tc>
        <w:tc>
          <w:tcPr>
            <w:tcW w:w="1140" w:type="dxa"/>
            <w:vAlign w:val="center"/>
            <w:hideMark/>
          </w:tcPr>
          <w:p w:rsidR="00A37802" w:rsidRPr="008B0E6F" w:rsidRDefault="00A37802" w:rsidP="00683DFB">
            <w:pPr>
              <w:jc w:val="center"/>
              <w:rPr>
                <w:rFonts w:hint="eastAsia"/>
                <w:sz w:val="15"/>
              </w:rPr>
            </w:pPr>
            <w:r w:rsidRPr="008B0E6F">
              <w:rPr>
                <w:rFonts w:hint="eastAsia"/>
                <w:sz w:val="15"/>
              </w:rPr>
              <w:t>甲醇库存量</w:t>
            </w:r>
          </w:p>
        </w:tc>
        <w:tc>
          <w:tcPr>
            <w:tcW w:w="1060" w:type="dxa"/>
            <w:vAlign w:val="center"/>
            <w:hideMark/>
          </w:tcPr>
          <w:p w:rsidR="00A37802" w:rsidRPr="008B0E6F" w:rsidRDefault="00A37802" w:rsidP="00683DFB">
            <w:pPr>
              <w:jc w:val="center"/>
              <w:rPr>
                <w:rFonts w:hint="eastAsia"/>
                <w:sz w:val="15"/>
              </w:rPr>
            </w:pPr>
            <w:r w:rsidRPr="008B0E6F">
              <w:rPr>
                <w:rFonts w:hint="eastAsia"/>
                <w:sz w:val="15"/>
              </w:rPr>
              <w:t>甲醇现货价格</w:t>
            </w:r>
          </w:p>
        </w:tc>
        <w:tc>
          <w:tcPr>
            <w:tcW w:w="1140" w:type="dxa"/>
            <w:vAlign w:val="center"/>
            <w:hideMark/>
          </w:tcPr>
          <w:p w:rsidR="00A37802" w:rsidRPr="008B0E6F" w:rsidRDefault="00A37802" w:rsidP="00683DFB">
            <w:pPr>
              <w:jc w:val="center"/>
              <w:rPr>
                <w:rFonts w:hint="eastAsia"/>
                <w:sz w:val="15"/>
              </w:rPr>
            </w:pPr>
            <w:r w:rsidRPr="008B0E6F">
              <w:rPr>
                <w:rFonts w:hint="eastAsia"/>
                <w:sz w:val="15"/>
              </w:rPr>
              <w:t>甲醇毛利</w:t>
            </w:r>
          </w:p>
        </w:tc>
        <w:tc>
          <w:tcPr>
            <w:tcW w:w="960" w:type="dxa"/>
            <w:vAlign w:val="center"/>
            <w:hideMark/>
          </w:tcPr>
          <w:p w:rsidR="00A37802" w:rsidRPr="008B0E6F" w:rsidRDefault="00A37802" w:rsidP="00683DFB">
            <w:pPr>
              <w:jc w:val="center"/>
              <w:rPr>
                <w:rFonts w:hint="eastAsia"/>
                <w:sz w:val="15"/>
              </w:rPr>
            </w:pPr>
            <w:r w:rsidRPr="008B0E6F">
              <w:rPr>
                <w:rFonts w:hint="eastAsia"/>
                <w:sz w:val="15"/>
              </w:rPr>
              <w:t>天然气产量</w:t>
            </w:r>
          </w:p>
        </w:tc>
        <w:tc>
          <w:tcPr>
            <w:tcW w:w="1060" w:type="dxa"/>
            <w:vAlign w:val="center"/>
            <w:hideMark/>
          </w:tcPr>
          <w:p w:rsidR="00A37802" w:rsidRPr="008B0E6F" w:rsidRDefault="00A37802" w:rsidP="00683DFB">
            <w:pPr>
              <w:jc w:val="center"/>
              <w:rPr>
                <w:rFonts w:hint="eastAsia"/>
                <w:sz w:val="15"/>
              </w:rPr>
            </w:pPr>
            <w:r w:rsidRPr="008B0E6F">
              <w:rPr>
                <w:rFonts w:hint="eastAsia"/>
                <w:sz w:val="15"/>
              </w:rPr>
              <w:t>天然气进口量</w:t>
            </w:r>
          </w:p>
        </w:tc>
      </w:tr>
      <w:tr w:rsidR="00A37802" w:rsidRPr="008B0E6F" w:rsidTr="00543378">
        <w:trPr>
          <w:trHeight w:val="20"/>
        </w:trPr>
        <w:tc>
          <w:tcPr>
            <w:tcW w:w="960" w:type="dxa"/>
            <w:vMerge w:val="restart"/>
            <w:vAlign w:val="center"/>
            <w:hideMark/>
          </w:tcPr>
          <w:p w:rsidR="00A37802" w:rsidRPr="008B0E6F" w:rsidRDefault="00A37802" w:rsidP="00683DFB">
            <w:pPr>
              <w:jc w:val="center"/>
              <w:rPr>
                <w:rFonts w:hint="eastAsia"/>
                <w:sz w:val="15"/>
              </w:rPr>
            </w:pPr>
            <w:r w:rsidRPr="008B0E6F">
              <w:rPr>
                <w:rFonts w:hint="eastAsia"/>
                <w:sz w:val="15"/>
              </w:rPr>
              <w:t>期货价格</w:t>
            </w: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Pearson 相关性</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-.054</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.270</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-.506</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-.457</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.948</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.959</w:t>
            </w:r>
            <w:r w:rsidRPr="008B0E6F">
              <w:rPr>
                <w:rFonts w:hint="eastAsia"/>
                <w:sz w:val="15"/>
                <w:vertAlign w:val="superscript"/>
              </w:rPr>
              <w:t>**</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-.122</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-.009</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显著性（双侧）</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.059</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.754</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Kendall相关系数</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.010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.143</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-.344</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-.322</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.814</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.849</w:t>
            </w:r>
            <w:r w:rsidRPr="008B0E6F">
              <w:rPr>
                <w:rFonts w:hint="eastAsia"/>
                <w:sz w:val="15"/>
                <w:vertAlign w:val="superscript"/>
              </w:rPr>
              <w:t>**</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-.122</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-.010</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Sig.（双侧）</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.596</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.618</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Spearman相关系数</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.005</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.195</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-.506</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-.458</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.956</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.968</w:t>
            </w:r>
            <w:r w:rsidRPr="008B0E6F">
              <w:rPr>
                <w:rFonts w:hint="eastAsia"/>
                <w:sz w:val="15"/>
                <w:vertAlign w:val="superscript"/>
              </w:rPr>
              <w:t>**</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-.173</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-.039</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Sig.（双侧）</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.855</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.170</w:t>
            </w:r>
          </w:p>
        </w:tc>
      </w:tr>
      <w:tr w:rsidR="00A37802" w:rsidRPr="008B0E6F" w:rsidTr="00543378">
        <w:trPr>
          <w:trHeight w:val="20"/>
        </w:trPr>
        <w:tc>
          <w:tcPr>
            <w:tcW w:w="1960" w:type="dxa"/>
            <w:gridSpan w:val="2"/>
            <w:vAlign w:val="center"/>
            <w:hideMark/>
          </w:tcPr>
          <w:p w:rsidR="00A37802" w:rsidRPr="008B0E6F" w:rsidRDefault="00A37802" w:rsidP="00683DFB">
            <w:pPr>
              <w:jc w:val="center"/>
              <w:rPr>
                <w:rFonts w:hint="eastAsia"/>
                <w:sz w:val="15"/>
              </w:rPr>
            </w:pPr>
          </w:p>
        </w:tc>
        <w:tc>
          <w:tcPr>
            <w:tcW w:w="1140" w:type="dxa"/>
            <w:vAlign w:val="center"/>
            <w:hideMark/>
          </w:tcPr>
          <w:p w:rsidR="00A37802" w:rsidRPr="008B0E6F" w:rsidRDefault="00A37802" w:rsidP="00683DFB">
            <w:pPr>
              <w:jc w:val="center"/>
              <w:rPr>
                <w:sz w:val="15"/>
              </w:rPr>
            </w:pPr>
            <w:r w:rsidRPr="008B0E6F">
              <w:rPr>
                <w:rFonts w:hint="eastAsia"/>
                <w:sz w:val="15"/>
              </w:rPr>
              <w:t>天然气库存量</w:t>
            </w:r>
          </w:p>
        </w:tc>
        <w:tc>
          <w:tcPr>
            <w:tcW w:w="1140" w:type="dxa"/>
            <w:vAlign w:val="center"/>
            <w:hideMark/>
          </w:tcPr>
          <w:p w:rsidR="00A37802" w:rsidRPr="008B0E6F" w:rsidRDefault="00A37802" w:rsidP="00683DFB">
            <w:pPr>
              <w:jc w:val="center"/>
              <w:rPr>
                <w:rFonts w:hint="eastAsia"/>
                <w:sz w:val="15"/>
              </w:rPr>
            </w:pPr>
            <w:r w:rsidRPr="008B0E6F">
              <w:rPr>
                <w:rFonts w:hint="eastAsia"/>
                <w:sz w:val="15"/>
              </w:rPr>
              <w:t>天然气现货价格</w:t>
            </w:r>
          </w:p>
        </w:tc>
        <w:tc>
          <w:tcPr>
            <w:tcW w:w="1140" w:type="dxa"/>
            <w:vAlign w:val="center"/>
            <w:hideMark/>
          </w:tcPr>
          <w:p w:rsidR="00A37802" w:rsidRPr="008B0E6F" w:rsidRDefault="00A37802" w:rsidP="00683DFB">
            <w:pPr>
              <w:jc w:val="center"/>
              <w:rPr>
                <w:rFonts w:hint="eastAsia"/>
                <w:sz w:val="15"/>
              </w:rPr>
            </w:pPr>
            <w:r w:rsidRPr="008B0E6F">
              <w:rPr>
                <w:rFonts w:hint="eastAsia"/>
                <w:sz w:val="15"/>
              </w:rPr>
              <w:t>冰醋酸出口量</w:t>
            </w:r>
          </w:p>
        </w:tc>
        <w:tc>
          <w:tcPr>
            <w:tcW w:w="1140" w:type="dxa"/>
            <w:vAlign w:val="center"/>
            <w:hideMark/>
          </w:tcPr>
          <w:p w:rsidR="00A37802" w:rsidRPr="008B0E6F" w:rsidRDefault="00A37802" w:rsidP="00683DFB">
            <w:pPr>
              <w:jc w:val="center"/>
              <w:rPr>
                <w:rFonts w:hint="eastAsia"/>
                <w:sz w:val="15"/>
              </w:rPr>
            </w:pPr>
            <w:r w:rsidRPr="008B0E6F">
              <w:rPr>
                <w:rFonts w:hint="eastAsia"/>
                <w:sz w:val="15"/>
              </w:rPr>
              <w:t>冰醋酸进口量</w:t>
            </w:r>
          </w:p>
        </w:tc>
        <w:tc>
          <w:tcPr>
            <w:tcW w:w="1060" w:type="dxa"/>
            <w:vAlign w:val="center"/>
            <w:hideMark/>
          </w:tcPr>
          <w:p w:rsidR="00A37802" w:rsidRPr="008B0E6F" w:rsidRDefault="00A37802" w:rsidP="00683DFB">
            <w:pPr>
              <w:jc w:val="center"/>
              <w:rPr>
                <w:rFonts w:hint="eastAsia"/>
                <w:sz w:val="15"/>
              </w:rPr>
            </w:pPr>
            <w:r w:rsidRPr="008B0E6F">
              <w:rPr>
                <w:rFonts w:hint="eastAsia"/>
                <w:sz w:val="15"/>
              </w:rPr>
              <w:t>冰醋酸库存量</w:t>
            </w:r>
          </w:p>
        </w:tc>
        <w:tc>
          <w:tcPr>
            <w:tcW w:w="1140" w:type="dxa"/>
            <w:vAlign w:val="center"/>
            <w:hideMark/>
          </w:tcPr>
          <w:p w:rsidR="00A37802" w:rsidRPr="008B0E6F" w:rsidRDefault="00A37802" w:rsidP="00683DFB">
            <w:pPr>
              <w:jc w:val="center"/>
              <w:rPr>
                <w:rFonts w:hint="eastAsia"/>
                <w:sz w:val="15"/>
              </w:rPr>
            </w:pPr>
            <w:r w:rsidRPr="008B0E6F">
              <w:rPr>
                <w:rFonts w:hint="eastAsia"/>
                <w:sz w:val="15"/>
              </w:rPr>
              <w:t>冰醋酸消费量</w:t>
            </w:r>
          </w:p>
        </w:tc>
        <w:tc>
          <w:tcPr>
            <w:tcW w:w="960" w:type="dxa"/>
            <w:vAlign w:val="center"/>
            <w:hideMark/>
          </w:tcPr>
          <w:p w:rsidR="00A37802" w:rsidRPr="008B0E6F" w:rsidRDefault="00A37802" w:rsidP="00683DFB">
            <w:pPr>
              <w:jc w:val="center"/>
              <w:rPr>
                <w:rFonts w:hint="eastAsia"/>
                <w:sz w:val="15"/>
              </w:rPr>
            </w:pPr>
            <w:r w:rsidRPr="008B0E6F">
              <w:rPr>
                <w:rFonts w:hint="eastAsia"/>
                <w:sz w:val="15"/>
              </w:rPr>
              <w:t>冰醋酸现货价格</w:t>
            </w:r>
          </w:p>
        </w:tc>
        <w:tc>
          <w:tcPr>
            <w:tcW w:w="1060" w:type="dxa"/>
            <w:vAlign w:val="center"/>
            <w:hideMark/>
          </w:tcPr>
          <w:p w:rsidR="00A37802" w:rsidRPr="008B0E6F" w:rsidRDefault="00A37802" w:rsidP="00683DFB">
            <w:pPr>
              <w:jc w:val="center"/>
              <w:rPr>
                <w:rFonts w:hint="eastAsia"/>
                <w:sz w:val="15"/>
              </w:rPr>
            </w:pPr>
            <w:r w:rsidRPr="008B0E6F">
              <w:rPr>
                <w:rFonts w:hint="eastAsia"/>
                <w:sz w:val="15"/>
              </w:rPr>
              <w:t>冰醋酸毛利</w:t>
            </w:r>
          </w:p>
        </w:tc>
      </w:tr>
      <w:tr w:rsidR="00A37802" w:rsidRPr="008B0E6F" w:rsidTr="00543378">
        <w:trPr>
          <w:trHeight w:val="20"/>
        </w:trPr>
        <w:tc>
          <w:tcPr>
            <w:tcW w:w="960" w:type="dxa"/>
            <w:vMerge w:val="restart"/>
            <w:vAlign w:val="center"/>
            <w:hideMark/>
          </w:tcPr>
          <w:p w:rsidR="00A37802" w:rsidRPr="008B0E6F" w:rsidRDefault="00A37802" w:rsidP="00683DFB">
            <w:pPr>
              <w:jc w:val="center"/>
              <w:rPr>
                <w:rFonts w:hint="eastAsia"/>
                <w:sz w:val="15"/>
              </w:rPr>
            </w:pPr>
            <w:r w:rsidRPr="008B0E6F">
              <w:rPr>
                <w:rFonts w:hint="eastAsia"/>
                <w:sz w:val="15"/>
              </w:rPr>
              <w:t>期货价格</w:t>
            </w: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Pearson 相关性</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-.091</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.425</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.344</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-.483</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-.248</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-.052</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.582</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.379</w:t>
            </w:r>
            <w:r w:rsidRPr="008B0E6F">
              <w:rPr>
                <w:rFonts w:hint="eastAsia"/>
                <w:sz w:val="15"/>
                <w:vertAlign w:val="superscript"/>
              </w:rPr>
              <w:t>**</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显著性（双侧）</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.002</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.070</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.000</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Kendall相关系数</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-.090</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.307</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.250</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-.301</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-.175</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.002</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.536</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.324</w:t>
            </w:r>
            <w:r w:rsidRPr="008B0E6F">
              <w:rPr>
                <w:rFonts w:hint="eastAsia"/>
                <w:sz w:val="15"/>
                <w:vertAlign w:val="superscript"/>
              </w:rPr>
              <w:t>**</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Sig.（双侧）</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.915</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.000</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Spearman相关系数</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-.123</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.455</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.347</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-.430</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-.252</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.009</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.751</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.480</w:t>
            </w:r>
            <w:r w:rsidRPr="008B0E6F">
              <w:rPr>
                <w:rFonts w:hint="eastAsia"/>
                <w:sz w:val="15"/>
                <w:vertAlign w:val="superscript"/>
              </w:rPr>
              <w:t>**</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rFonts w:hint="eastAsia"/>
                <w:sz w:val="15"/>
              </w:rPr>
            </w:pPr>
            <w:r w:rsidRPr="008B0E6F">
              <w:rPr>
                <w:rFonts w:hint="eastAsia"/>
                <w:sz w:val="15"/>
              </w:rPr>
              <w:t>Sig.（双侧）</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140" w:type="dxa"/>
            <w:noWrap/>
            <w:vAlign w:val="center"/>
            <w:hideMark/>
          </w:tcPr>
          <w:p w:rsidR="00A37802" w:rsidRPr="008B0E6F" w:rsidRDefault="00A37802" w:rsidP="00683DFB">
            <w:pPr>
              <w:jc w:val="center"/>
              <w:rPr>
                <w:rFonts w:hint="eastAsia"/>
                <w:sz w:val="15"/>
              </w:rPr>
            </w:pPr>
            <w:r w:rsidRPr="008B0E6F">
              <w:rPr>
                <w:rFonts w:hint="eastAsia"/>
                <w:sz w:val="15"/>
              </w:rPr>
              <w:t>.745</w:t>
            </w:r>
          </w:p>
        </w:tc>
        <w:tc>
          <w:tcPr>
            <w:tcW w:w="960" w:type="dxa"/>
            <w:noWrap/>
            <w:vAlign w:val="center"/>
            <w:hideMark/>
          </w:tcPr>
          <w:p w:rsidR="00A37802" w:rsidRPr="008B0E6F" w:rsidRDefault="00A37802" w:rsidP="00683DFB">
            <w:pPr>
              <w:jc w:val="center"/>
              <w:rPr>
                <w:rFonts w:hint="eastAsia"/>
                <w:sz w:val="15"/>
              </w:rPr>
            </w:pPr>
            <w:r w:rsidRPr="008B0E6F">
              <w:rPr>
                <w:rFonts w:hint="eastAsia"/>
                <w:sz w:val="15"/>
              </w:rPr>
              <w:t>.000</w:t>
            </w:r>
          </w:p>
        </w:tc>
        <w:tc>
          <w:tcPr>
            <w:tcW w:w="1060" w:type="dxa"/>
            <w:noWrap/>
            <w:vAlign w:val="center"/>
            <w:hideMark/>
          </w:tcPr>
          <w:p w:rsidR="00A37802" w:rsidRPr="008B0E6F" w:rsidRDefault="00A37802" w:rsidP="00683DFB">
            <w:pPr>
              <w:jc w:val="center"/>
              <w:rPr>
                <w:rFonts w:hint="eastAsia"/>
                <w:sz w:val="15"/>
              </w:rPr>
            </w:pPr>
            <w:r w:rsidRPr="008B0E6F">
              <w:rPr>
                <w:rFonts w:hint="eastAsia"/>
                <w:sz w:val="15"/>
              </w:rPr>
              <w:t>.000</w:t>
            </w:r>
          </w:p>
        </w:tc>
      </w:tr>
      <w:tr w:rsidR="00A37802" w:rsidRPr="008B0E6F" w:rsidTr="00543378">
        <w:trPr>
          <w:trHeight w:val="20"/>
        </w:trPr>
        <w:tc>
          <w:tcPr>
            <w:tcW w:w="5380" w:type="dxa"/>
            <w:gridSpan w:val="5"/>
            <w:noWrap/>
            <w:vAlign w:val="center"/>
            <w:hideMark/>
          </w:tcPr>
          <w:p w:rsidR="00A37802" w:rsidRPr="008B0E6F" w:rsidRDefault="00A37802" w:rsidP="00683DFB">
            <w:pPr>
              <w:jc w:val="center"/>
              <w:rPr>
                <w:rFonts w:hint="eastAsia"/>
                <w:sz w:val="15"/>
              </w:rPr>
            </w:pPr>
            <w:r w:rsidRPr="008B0E6F">
              <w:rPr>
                <w:sz w:val="15"/>
              </w:rPr>
              <w:t xml:space="preserve">**. </w:t>
            </w:r>
            <w:r w:rsidRPr="008B0E6F">
              <w:rPr>
                <w:rFonts w:hint="eastAsia"/>
                <w:sz w:val="15"/>
              </w:rPr>
              <w:t>在置信度（双测）为</w:t>
            </w:r>
            <w:r w:rsidRPr="008B0E6F">
              <w:rPr>
                <w:sz w:val="15"/>
              </w:rPr>
              <w:t xml:space="preserve"> 0.01 </w:t>
            </w:r>
            <w:r w:rsidRPr="008B0E6F">
              <w:rPr>
                <w:rFonts w:hint="eastAsia"/>
                <w:sz w:val="15"/>
              </w:rPr>
              <w:t>时，相关性是显著的。</w:t>
            </w:r>
          </w:p>
        </w:tc>
        <w:tc>
          <w:tcPr>
            <w:tcW w:w="1140" w:type="dxa"/>
            <w:noWrap/>
            <w:vAlign w:val="center"/>
            <w:hideMark/>
          </w:tcPr>
          <w:p w:rsidR="00A37802" w:rsidRPr="008B0E6F" w:rsidRDefault="00A37802" w:rsidP="00683DFB">
            <w:pPr>
              <w:jc w:val="center"/>
              <w:rPr>
                <w:sz w:val="15"/>
              </w:rPr>
            </w:pPr>
          </w:p>
        </w:tc>
        <w:tc>
          <w:tcPr>
            <w:tcW w:w="1060" w:type="dxa"/>
            <w:noWrap/>
            <w:vAlign w:val="center"/>
            <w:hideMark/>
          </w:tcPr>
          <w:p w:rsidR="00A37802" w:rsidRPr="008B0E6F" w:rsidRDefault="00A37802" w:rsidP="00683DFB">
            <w:pPr>
              <w:jc w:val="center"/>
              <w:rPr>
                <w:sz w:val="15"/>
              </w:rPr>
            </w:pPr>
          </w:p>
        </w:tc>
        <w:tc>
          <w:tcPr>
            <w:tcW w:w="1140" w:type="dxa"/>
            <w:noWrap/>
            <w:vAlign w:val="center"/>
            <w:hideMark/>
          </w:tcPr>
          <w:p w:rsidR="00A37802" w:rsidRPr="008B0E6F" w:rsidRDefault="00A37802" w:rsidP="00683DFB">
            <w:pPr>
              <w:jc w:val="center"/>
              <w:rPr>
                <w:sz w:val="15"/>
              </w:rPr>
            </w:pPr>
          </w:p>
        </w:tc>
        <w:tc>
          <w:tcPr>
            <w:tcW w:w="960" w:type="dxa"/>
            <w:noWrap/>
            <w:vAlign w:val="center"/>
            <w:hideMark/>
          </w:tcPr>
          <w:p w:rsidR="00A37802" w:rsidRPr="008B0E6F" w:rsidRDefault="00A37802" w:rsidP="00683DFB">
            <w:pPr>
              <w:jc w:val="center"/>
              <w:rPr>
                <w:sz w:val="15"/>
              </w:rPr>
            </w:pPr>
          </w:p>
        </w:tc>
        <w:tc>
          <w:tcPr>
            <w:tcW w:w="1060" w:type="dxa"/>
            <w:noWrap/>
            <w:vAlign w:val="center"/>
            <w:hideMark/>
          </w:tcPr>
          <w:p w:rsidR="00A37802" w:rsidRPr="008B0E6F" w:rsidRDefault="00A37802" w:rsidP="00683DFB">
            <w:pPr>
              <w:jc w:val="center"/>
              <w:rPr>
                <w:sz w:val="15"/>
              </w:rPr>
            </w:pPr>
          </w:p>
        </w:tc>
      </w:tr>
    </w:tbl>
    <w:p w:rsidR="00C229F0" w:rsidRPr="0015073F" w:rsidRDefault="0015073F" w:rsidP="00A37802">
      <w:pPr>
        <w:ind w:firstLine="420"/>
        <w:rPr>
          <w:rFonts w:hint="eastAsia"/>
        </w:rPr>
      </w:pPr>
      <w:r w:rsidRPr="001E767D">
        <w:rPr>
          <w:rFonts w:hint="eastAsia"/>
        </w:rPr>
        <w:t>根据</w:t>
      </w:r>
      <w:r>
        <w:rPr>
          <w:rFonts w:hint="eastAsia"/>
        </w:rPr>
        <w:t>表1</w:t>
      </w:r>
      <w:r w:rsidRPr="001E767D">
        <w:rPr>
          <w:rFonts w:hint="eastAsia"/>
        </w:rPr>
        <w:t>分析结果可以看出，除了甲醇产量</w:t>
      </w:r>
      <w:r>
        <w:rPr>
          <w:rFonts w:hint="eastAsia"/>
        </w:rPr>
        <w:t>、</w:t>
      </w:r>
      <w:r w:rsidRPr="001E767D">
        <w:rPr>
          <w:rFonts w:hint="eastAsia"/>
        </w:rPr>
        <w:t>冰醋酸消费量以及天然气进口量与期货价格不</w:t>
      </w:r>
      <w:r>
        <w:rPr>
          <w:rFonts w:hint="eastAsia"/>
        </w:rPr>
        <w:t>显著</w:t>
      </w:r>
      <w:r w:rsidRPr="001E767D">
        <w:rPr>
          <w:rFonts w:hint="eastAsia"/>
        </w:rPr>
        <w:t>相关以外，</w:t>
      </w:r>
      <w:r w:rsidRPr="00B42C87">
        <w:rPr>
          <w:rFonts w:hint="eastAsia"/>
        </w:rPr>
        <w:t>其余的备选预测变量</w:t>
      </w:r>
      <w:r>
        <w:rPr>
          <w:rFonts w:hint="eastAsia"/>
        </w:rPr>
        <w:t>在显著性水平0</w:t>
      </w:r>
      <w:r>
        <w:t>.01</w:t>
      </w:r>
      <w:r>
        <w:rPr>
          <w:rFonts w:hint="eastAsia"/>
        </w:rPr>
        <w:t>条件下均与甲醇期货价格显著相关</w:t>
      </w:r>
      <w:r w:rsidRPr="001E767D">
        <w:rPr>
          <w:rFonts w:hint="eastAsia"/>
        </w:rPr>
        <w:t>。与我们此前的假设基本一致，并且符合经济学原理。因此，将冰醋酸消费量、甲醇产量以及天然气进口量以外的备选预测变量</w:t>
      </w:r>
      <w:r>
        <w:rPr>
          <w:rFonts w:hint="eastAsia"/>
        </w:rPr>
        <w:t>选作模型的</w:t>
      </w:r>
      <w:r w:rsidRPr="001E767D">
        <w:rPr>
          <w:rFonts w:hint="eastAsia"/>
        </w:rPr>
        <w:t>预测变量。</w:t>
      </w:r>
    </w:p>
    <w:p w:rsidR="008A02AD" w:rsidRPr="002C43D6" w:rsidRDefault="00A03994">
      <w:pPr>
        <w:rPr>
          <w:rFonts w:hint="eastAsia"/>
          <w:b/>
        </w:rPr>
      </w:pPr>
      <w:r w:rsidRPr="002C43D6">
        <w:rPr>
          <w:rFonts w:hint="eastAsia"/>
          <w:b/>
        </w:rPr>
        <w:t>三、研究方法</w:t>
      </w:r>
    </w:p>
    <w:p w:rsidR="00A03994" w:rsidRDefault="00294FFF">
      <w:pPr>
        <w:rPr>
          <w:rFonts w:hint="eastAsia"/>
        </w:rPr>
      </w:pPr>
      <w:r>
        <w:rPr>
          <w:rFonts w:hint="eastAsia"/>
        </w:rPr>
        <w:t>根据</w:t>
      </w:r>
      <w:r w:rsidR="00335544">
        <w:rPr>
          <w:rFonts w:hint="eastAsia"/>
        </w:rPr>
        <w:t>表</w:t>
      </w:r>
      <w:r>
        <w:rPr>
          <w:rFonts w:hint="eastAsia"/>
        </w:rPr>
        <w:t>1所示，</w:t>
      </w:r>
      <w:r w:rsidR="00CB3275">
        <w:rPr>
          <w:rFonts w:hint="eastAsia"/>
        </w:rPr>
        <w:t>各预测变量和被预测变量</w:t>
      </w:r>
      <w:r>
        <w:rPr>
          <w:rFonts w:hint="eastAsia"/>
        </w:rPr>
        <w:t>之间表现</w:t>
      </w:r>
      <w:r w:rsidR="00F11D9F">
        <w:rPr>
          <w:rFonts w:hint="eastAsia"/>
        </w:rPr>
        <w:t>出强线性相关性的较少</w:t>
      </w:r>
      <w:r w:rsidR="0008672F">
        <w:rPr>
          <w:rFonts w:hint="eastAsia"/>
        </w:rPr>
        <w:t>。</w:t>
      </w:r>
      <w:r w:rsidR="00E03707">
        <w:rPr>
          <w:rFonts w:hint="eastAsia"/>
        </w:rPr>
        <w:t>根据各预测变量之间的相关性分</w:t>
      </w:r>
      <w:r w:rsidR="00E03707" w:rsidRPr="00DC794F">
        <w:rPr>
          <w:rFonts w:hint="eastAsia"/>
        </w:rPr>
        <w:t>析可以发现</w:t>
      </w:r>
      <w:r w:rsidR="00E03707">
        <w:rPr>
          <w:rFonts w:hint="eastAsia"/>
        </w:rPr>
        <w:t>，</w:t>
      </w:r>
      <w:r w:rsidR="00F43040">
        <w:rPr>
          <w:rFonts w:hint="eastAsia"/>
        </w:rPr>
        <w:t>大部分变量之间呈现出显著的相关性，限于篇幅没有将预测变量之间的相关性分析结果附上</w:t>
      </w:r>
      <w:r w:rsidR="000A6AA8">
        <w:rPr>
          <w:rFonts w:hint="eastAsia"/>
        </w:rPr>
        <w:t>。</w:t>
      </w:r>
      <w:r w:rsidR="000D1CC6">
        <w:rPr>
          <w:rFonts w:hint="eastAsia"/>
        </w:rPr>
        <w:t>方匡南</w:t>
      </w:r>
      <w:r w:rsidR="00700A79">
        <w:rPr>
          <w:rFonts w:hint="eastAsia"/>
        </w:rPr>
        <w:t>等人于</w:t>
      </w:r>
      <w:r w:rsidR="00700A79">
        <w:t>2011</w:t>
      </w:r>
      <w:r w:rsidR="00700A79">
        <w:rPr>
          <w:rFonts w:hint="eastAsia"/>
        </w:rPr>
        <w:t>年指出，随机森林不需要考虑共线性问题，能够很好地处理高维度数据，对异常值和噪声</w:t>
      </w:r>
      <w:r w:rsidR="0000540F">
        <w:rPr>
          <w:rFonts w:hint="eastAsia"/>
        </w:rPr>
        <w:t>有很好的容忍度，不易出现过拟合，且预测准确率高</w:t>
      </w:r>
      <w:r w:rsidR="00B27197">
        <w:rPr>
          <w:rFonts w:hint="eastAsia"/>
        </w:rPr>
        <w:t>[</w:t>
      </w:r>
      <w:r w:rsidR="00B27197">
        <w:t>1</w:t>
      </w:r>
      <w:r w:rsidR="00585AD3">
        <w:t>4</w:t>
      </w:r>
      <w:r w:rsidR="00B27197">
        <w:t>]</w:t>
      </w:r>
      <w:r w:rsidR="0000540F">
        <w:rPr>
          <w:rFonts w:hint="eastAsia"/>
        </w:rPr>
        <w:t>。</w:t>
      </w:r>
      <w:r w:rsidR="00D112E1">
        <w:rPr>
          <w:rFonts w:hint="eastAsia"/>
        </w:rPr>
        <w:t>XGBoost作为梯度提升树模型的扩展，</w:t>
      </w:r>
      <w:r w:rsidR="00882253">
        <w:rPr>
          <w:rFonts w:hint="eastAsia"/>
        </w:rPr>
        <w:t>具有高稳定性和预测精度并且具备很强的拟合能力（fitting</w:t>
      </w:r>
      <w:r w:rsidR="00882253">
        <w:t xml:space="preserve"> </w:t>
      </w:r>
      <w:r w:rsidR="00882253">
        <w:rPr>
          <w:rFonts w:hint="eastAsia"/>
        </w:rPr>
        <w:t>ability）</w:t>
      </w:r>
      <w:r w:rsidR="00B27197">
        <w:rPr>
          <w:rFonts w:hint="eastAsia"/>
        </w:rPr>
        <w:t>[</w:t>
      </w:r>
      <w:r w:rsidR="00B27197">
        <w:t>1</w:t>
      </w:r>
      <w:r w:rsidR="00585AD3">
        <w:t>5</w:t>
      </w:r>
      <w:r w:rsidR="00B27197">
        <w:t>]</w:t>
      </w:r>
      <w:r w:rsidR="0002296B">
        <w:rPr>
          <w:rFonts w:hint="eastAsia"/>
        </w:rPr>
        <w:t>。根据预测变量和被预测变量所呈现出来的特点，本文采用随机森林和XGBoost回归模型来预测甲醇期货价格，并发现对预测甲醇期货价格贡献率较高的特征变量。</w:t>
      </w:r>
    </w:p>
    <w:p w:rsidR="00832F79" w:rsidRPr="00CF5C58" w:rsidRDefault="00832F79" w:rsidP="00832F79">
      <w:pPr>
        <w:pStyle w:val="a3"/>
        <w:numPr>
          <w:ilvl w:val="0"/>
          <w:numId w:val="1"/>
        </w:numPr>
        <w:ind w:firstLineChars="0"/>
        <w:rPr>
          <w:rFonts w:ascii="宋体" w:eastAsia="宋体" w:hAnsi="宋体" w:cs="宋体" w:hint="eastAsia"/>
          <w:b/>
          <w:kern w:val="0"/>
          <w:sz w:val="24"/>
        </w:rPr>
      </w:pPr>
      <w:r w:rsidRPr="00CF5C58">
        <w:rPr>
          <w:rFonts w:ascii="宋体" w:eastAsia="宋体" w:hAnsi="宋体" w:cs="宋体" w:hint="eastAsia"/>
          <w:b/>
          <w:kern w:val="0"/>
          <w:sz w:val="24"/>
        </w:rPr>
        <w:t>随机森林回归模型</w:t>
      </w:r>
    </w:p>
    <w:p w:rsidR="00832F79" w:rsidRDefault="00F55059" w:rsidP="0056743D">
      <w:pPr>
        <w:pStyle w:val="a3"/>
        <w:ind w:left="360" w:firstLineChars="0" w:firstLine="0"/>
        <w:rPr>
          <w:rFonts w:hint="eastAsia"/>
        </w:rPr>
      </w:pPr>
      <w:r>
        <w:rPr>
          <w:rFonts w:hint="eastAsia"/>
        </w:rPr>
        <w:t>随机森林是决策树算法的集成算法，</w:t>
      </w:r>
      <w:r w:rsidR="00895C2F">
        <w:rPr>
          <w:rFonts w:hint="eastAsia"/>
        </w:rPr>
        <w:t>它</w:t>
      </w:r>
      <w:r>
        <w:rPr>
          <w:rFonts w:hint="eastAsia"/>
        </w:rPr>
        <w:t>将n</w:t>
      </w:r>
      <w:r w:rsidR="00750691">
        <w:rPr>
          <w:rFonts w:hint="eastAsia"/>
        </w:rPr>
        <w:t>棵决策树</w:t>
      </w:r>
      <w:r>
        <w:rPr>
          <w:rFonts w:hint="eastAsia"/>
        </w:rPr>
        <w:t>的预测结果结合起来以做出比</w:t>
      </w:r>
      <w:r w:rsidR="002B4003">
        <w:rPr>
          <w:rFonts w:hint="eastAsia"/>
        </w:rPr>
        <w:t>单棵</w:t>
      </w:r>
      <w:r>
        <w:rPr>
          <w:rFonts w:hint="eastAsia"/>
        </w:rPr>
        <w:t>决策树更为精确的预测。随机森林在构造</w:t>
      </w:r>
      <w:r w:rsidR="00DC43AF">
        <w:rPr>
          <w:rFonts w:hint="eastAsia"/>
        </w:rPr>
        <w:t>单棵</w:t>
      </w:r>
      <w:r>
        <w:rPr>
          <w:rFonts w:hint="eastAsia"/>
        </w:rPr>
        <w:t>决策树的过程中</w:t>
      </w:r>
      <w:r w:rsidR="005E121A">
        <w:rPr>
          <w:rFonts w:hint="eastAsia"/>
        </w:rPr>
        <w:t>除了</w:t>
      </w:r>
      <w:r w:rsidR="000672CF">
        <w:rPr>
          <w:rFonts w:hint="eastAsia"/>
        </w:rPr>
        <w:t>在选择样本时使用随机抽样，</w:t>
      </w:r>
      <w:r w:rsidR="005E121A">
        <w:rPr>
          <w:rFonts w:hint="eastAsia"/>
        </w:rPr>
        <w:t>同样</w:t>
      </w:r>
      <w:r w:rsidR="00FF1822">
        <w:rPr>
          <w:rFonts w:hint="eastAsia"/>
        </w:rPr>
        <w:t>选择随机抽样的方式</w:t>
      </w:r>
      <w:r w:rsidR="00B53469">
        <w:rPr>
          <w:rFonts w:hint="eastAsia"/>
        </w:rPr>
        <w:t>从原特征空间中选择部分特征作为输入特征，此做法</w:t>
      </w:r>
      <w:r w:rsidR="00741764">
        <w:rPr>
          <w:rFonts w:hint="eastAsia"/>
        </w:rPr>
        <w:t>有效</w:t>
      </w:r>
      <w:r w:rsidR="00B53469">
        <w:rPr>
          <w:rFonts w:hint="eastAsia"/>
        </w:rPr>
        <w:t>降低了模型的不稳定性。</w:t>
      </w:r>
      <w:r w:rsidR="00791878">
        <w:rPr>
          <w:rFonts w:hint="eastAsia"/>
        </w:rPr>
        <w:t>在构建单个决策树的过程中，本文选择</w:t>
      </w:r>
      <w:r w:rsidR="000D3230">
        <w:rPr>
          <w:rFonts w:hint="eastAsia"/>
        </w:rPr>
        <w:t>以分层随机</w:t>
      </w:r>
      <w:r w:rsidR="005D7B7D">
        <w:rPr>
          <w:rFonts w:hint="eastAsia"/>
        </w:rPr>
        <w:t>抽样的方式来</w:t>
      </w:r>
      <w:r w:rsidR="004725C6">
        <w:rPr>
          <w:rFonts w:hint="eastAsia"/>
        </w:rPr>
        <w:t>出现数据泄漏的问题。由于本文采用的变量是时间序列，如果不考虑时间先后顺序二随机选择训练集和验证集，容易出现错误地将验证模型的部分信息作为已知信息对模型进行训练，</w:t>
      </w:r>
      <w:r w:rsidR="00943273">
        <w:rPr>
          <w:rFonts w:hint="eastAsia"/>
        </w:rPr>
        <w:t>有</w:t>
      </w:r>
      <w:r w:rsidR="004725C6">
        <w:rPr>
          <w:rFonts w:hint="eastAsia"/>
        </w:rPr>
        <w:t>可能导致最终模型的无效</w:t>
      </w:r>
      <w:r w:rsidR="004A59ED">
        <w:t>[1</w:t>
      </w:r>
      <w:r w:rsidR="00585AD3">
        <w:t>6</w:t>
      </w:r>
      <w:r w:rsidR="004A59ED">
        <w:t>]</w:t>
      </w:r>
      <w:r w:rsidR="004725C6">
        <w:rPr>
          <w:rFonts w:hint="eastAsia"/>
        </w:rPr>
        <w:t>。</w:t>
      </w:r>
    </w:p>
    <w:p w:rsidR="00832F79" w:rsidRPr="00CF5C58" w:rsidRDefault="00832F79" w:rsidP="00832F79">
      <w:pPr>
        <w:pStyle w:val="a3"/>
        <w:numPr>
          <w:ilvl w:val="0"/>
          <w:numId w:val="1"/>
        </w:numPr>
        <w:ind w:firstLineChars="0"/>
        <w:rPr>
          <w:rFonts w:ascii="宋体" w:eastAsia="宋体" w:hAnsi="宋体" w:cs="宋体"/>
          <w:b/>
          <w:kern w:val="0"/>
          <w:sz w:val="24"/>
        </w:rPr>
      </w:pPr>
      <w:r w:rsidRPr="00CF5C58">
        <w:rPr>
          <w:rFonts w:ascii="宋体" w:eastAsia="宋体" w:hAnsi="宋体" w:cs="宋体" w:hint="eastAsia"/>
          <w:b/>
          <w:kern w:val="0"/>
          <w:sz w:val="24"/>
        </w:rPr>
        <w:t>XGBoost回归模型</w:t>
      </w:r>
    </w:p>
    <w:p w:rsidR="00832F79" w:rsidRDefault="00832F79" w:rsidP="00832F79">
      <w:pPr>
        <w:ind w:left="360"/>
      </w:pPr>
      <w:r>
        <w:rPr>
          <w:rFonts w:hint="eastAsia"/>
        </w:rPr>
        <w:t>XGBoost是机器学习中较新的算法，由C</w:t>
      </w:r>
      <w:r>
        <w:t>h</w:t>
      </w:r>
      <w:r>
        <w:rPr>
          <w:rFonts w:hint="eastAsia"/>
        </w:rPr>
        <w:t>en和</w:t>
      </w:r>
      <w:proofErr w:type="spellStart"/>
      <w:r>
        <w:rPr>
          <w:rFonts w:hint="eastAsia"/>
        </w:rPr>
        <w:t>Guestrin</w:t>
      </w:r>
      <w:proofErr w:type="spellEnd"/>
      <w:r>
        <w:rPr>
          <w:rFonts w:hint="eastAsia"/>
        </w:rPr>
        <w:t>在2</w:t>
      </w:r>
      <w:r>
        <w:t>016</w:t>
      </w:r>
      <w:r>
        <w:rPr>
          <w:rFonts w:hint="eastAsia"/>
        </w:rPr>
        <w:t>年提出，可用于分类、回归和排序模型的创建，是基于梯度提升树的扩展</w:t>
      </w:r>
      <w:r w:rsidR="002B2000">
        <w:rPr>
          <w:rFonts w:hint="eastAsia"/>
        </w:rPr>
        <w:t>。XGBoost</w:t>
      </w:r>
      <w:r w:rsidR="002B2000">
        <w:rPr>
          <w:rFonts w:hint="eastAsia"/>
        </w:rPr>
        <w:lastRenderedPageBreak/>
        <w:t>回归模型是基于决策回归树。</w:t>
      </w:r>
      <w:r w:rsidR="004C7063">
        <w:rPr>
          <w:rFonts w:hint="eastAsia"/>
        </w:rPr>
        <w:t>，并在目标函数中包含了正则化项来避免模型出现过拟合现象。</w:t>
      </w:r>
      <w:r w:rsidR="003139CF">
        <w:rPr>
          <w:rFonts w:hint="eastAsia"/>
        </w:rPr>
        <w:t>XGBoost回归模型的目标函数为：</w:t>
      </w:r>
    </w:p>
    <w:p w:rsidR="0019056B" w:rsidRPr="0019056B" w:rsidRDefault="003139CF" w:rsidP="0019056B">
      <w:pPr>
        <w:ind w:left="360"/>
        <w:rPr>
          <w:i/>
        </w:rPr>
      </w:pPr>
      <m:oMathPara>
        <m:oMath>
          <m:r>
            <m:rPr>
              <m:sty m:val="p"/>
            </m:rPr>
            <w:rPr>
              <w:rFonts w:ascii="Cambria Math" w:hAnsi="Cambria Math" w:hint="eastAsia"/>
            </w:rPr>
            <m:t>Obj</m:t>
          </m:r>
          <m:d>
            <m:dPr>
              <m:ctrlPr>
                <w:rPr>
                  <w:rFonts w:ascii="Cambria Math" w:hAnsi="Cambria Math"/>
                  <w:i/>
                </w:rPr>
              </m:ctrlPr>
            </m:dPr>
            <m:e>
              <m:r>
                <w:rPr>
                  <w:rFonts w:ascii="Cambria Math" w:hAnsi="Cambria Math"/>
                </w:rPr>
                <m:t>θ</m:t>
              </m:r>
            </m:e>
          </m:d>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+C</m:t>
          </m:r>
        </m:oMath>
      </m:oMathPara>
    </w:p>
    <w:p w:rsidR="00C33C78" w:rsidRDefault="006C4520" w:rsidP="00C33C78">
      <w:pPr>
        <w:ind w:left="360"/>
      </w:pPr>
      <w:r>
        <w:rPr>
          <w:rFonts w:hint="eastAsia"/>
          <w:i/>
        </w:rPr>
        <w:t>其中</w:t>
      </w:r>
      <m:oMath>
        <m:r>
          <w:rPr>
            <w:rFonts w:ascii="Cambria Math" w:hAnsi="Cambria Math"/>
          </w:rPr>
          <m:t>L</m:t>
        </m:r>
        <m:d>
          <m:dPr>
            <m:ctrlPr>
              <w:rPr>
                <w:rFonts w:ascii="Cambria Math" w:hAnsi="Cambria Math"/>
                <w:i/>
              </w:rPr>
            </m:ctrlPr>
          </m:dPr>
          <m:e>
            <m:r>
              <w:rPr>
                <w:rFonts w:ascii="Cambria Math" w:hAnsi="Cambria Math"/>
              </w:rPr>
              <m:t>θ</m:t>
            </m:r>
          </m:e>
        </m:d>
      </m:oMath>
      <w:r w:rsidR="00661B00">
        <w:rPr>
          <w:rFonts w:hint="eastAsia"/>
        </w:rPr>
        <w:t>为梯度提升算法损失部分，</w:t>
      </w:r>
      <m:oMath>
        <m:r>
          <m:rPr>
            <m:sty m:val="p"/>
          </m:rPr>
          <w:rPr>
            <w:rFonts w:ascii="Cambria Math" w:hAnsi="Cambria Math"/>
          </w:rPr>
          <m:t>Ω</m:t>
        </m:r>
        <m:d>
          <m:dPr>
            <m:ctrlPr>
              <w:rPr>
                <w:rFonts w:ascii="Cambria Math" w:hAnsi="Cambria Math"/>
                <w:i/>
              </w:rPr>
            </m:ctrlPr>
          </m:dPr>
          <m:e>
            <m:r>
              <w:rPr>
                <w:rFonts w:ascii="Cambria Math" w:hAnsi="Cambria Math"/>
              </w:rPr>
              <m:t>θ</m:t>
            </m:r>
          </m:e>
        </m:d>
      </m:oMath>
      <w:r w:rsidR="00661B00">
        <w:rPr>
          <w:rFonts w:hint="eastAsia"/>
        </w:rPr>
        <w:t>为正则化项</w:t>
      </w:r>
      <w:r w:rsidR="00921942">
        <w:rPr>
          <w:rFonts w:hint="eastAsia"/>
        </w:rPr>
        <w:t>，</w:t>
      </w:r>
      <m:oMath>
        <m:r>
          <w:rPr>
            <w:rFonts w:ascii="Cambria Math" w:hAnsi="Cambria Math"/>
          </w:rPr>
          <m:t>C</m:t>
        </m:r>
      </m:oMath>
      <w:r w:rsidR="00921942">
        <w:rPr>
          <w:rFonts w:hint="eastAsia"/>
        </w:rPr>
        <w:t>为常数</w:t>
      </w:r>
      <w:r w:rsidR="00D8798F">
        <w:rPr>
          <w:rFonts w:hint="eastAsia"/>
        </w:rPr>
        <w:t>项</w:t>
      </w:r>
      <w:r w:rsidR="001B58E0">
        <w:rPr>
          <w:rFonts w:hint="eastAsia"/>
        </w:rPr>
        <w:t>。</w:t>
      </w:r>
      <w:r w:rsidR="00170650">
        <w:rPr>
          <w:rFonts w:hint="eastAsia"/>
        </w:rPr>
        <w:t>XGBoost模型的参数可以分为三个部分</w:t>
      </w:r>
      <w:r w:rsidR="006F17A9">
        <w:rPr>
          <w:rFonts w:hint="eastAsia"/>
        </w:rPr>
        <w:t>，</w:t>
      </w:r>
      <w:r w:rsidR="00385AA6">
        <w:rPr>
          <w:rFonts w:hint="eastAsia"/>
        </w:rPr>
        <w:t>分别为</w:t>
      </w:r>
      <w:r w:rsidR="007721F7">
        <w:rPr>
          <w:rFonts w:hint="eastAsia"/>
        </w:rPr>
        <w:t>通用参数，</w:t>
      </w:r>
      <w:r w:rsidR="00B34B79">
        <w:rPr>
          <w:rFonts w:hint="eastAsia"/>
        </w:rPr>
        <w:t>b</w:t>
      </w:r>
      <w:r w:rsidR="007721F7">
        <w:rPr>
          <w:rFonts w:hint="eastAsia"/>
        </w:rPr>
        <w:t>ooster参数，学习目标参数</w:t>
      </w:r>
      <w:r w:rsidR="00385AA6">
        <w:rPr>
          <w:rFonts w:hint="eastAsia"/>
        </w:rPr>
        <w:t>。</w:t>
      </w:r>
      <w:r w:rsidR="008D3431">
        <w:rPr>
          <w:rFonts w:hint="eastAsia"/>
        </w:rPr>
        <w:t>当其中的</w:t>
      </w:r>
      <w:r w:rsidR="00B34B79">
        <w:rPr>
          <w:rFonts w:hint="eastAsia"/>
        </w:rPr>
        <w:t>b</w:t>
      </w:r>
      <w:r w:rsidR="008D3431">
        <w:rPr>
          <w:rFonts w:hint="eastAsia"/>
        </w:rPr>
        <w:t>ooster参数被设置为‘</w:t>
      </w:r>
      <w:proofErr w:type="spellStart"/>
      <w:r w:rsidR="008D3431">
        <w:rPr>
          <w:rFonts w:hint="eastAsia"/>
        </w:rPr>
        <w:t>gblinear</w:t>
      </w:r>
      <w:proofErr w:type="spellEnd"/>
      <w:r w:rsidR="008D3431">
        <w:rPr>
          <w:rFonts w:hint="eastAsia"/>
        </w:rPr>
        <w:t>’是模型是一个线性模型，如果被设置为‘</w:t>
      </w:r>
      <w:proofErr w:type="spellStart"/>
      <w:r w:rsidR="008D3431">
        <w:rPr>
          <w:rFonts w:hint="eastAsia"/>
        </w:rPr>
        <w:t>gbtree</w:t>
      </w:r>
      <w:proofErr w:type="spellEnd"/>
      <w:r w:rsidR="008D3431">
        <w:rPr>
          <w:rFonts w:hint="eastAsia"/>
        </w:rPr>
        <w:t>’则模型是一个树模型</w:t>
      </w:r>
      <w:r w:rsidR="00BB7844">
        <w:rPr>
          <w:rFonts w:hint="eastAsia"/>
        </w:rPr>
        <w:t>，</w:t>
      </w:r>
      <w:r w:rsidR="0002504F">
        <w:rPr>
          <w:rFonts w:hint="eastAsia"/>
        </w:rPr>
        <w:t>根据被预测变量和预测变量相关性分析的结果可以看出，呈现出强相关性的变量较少，仅仅为2个，因而本文选择树模型</w:t>
      </w:r>
      <w:r w:rsidR="007B5BF1">
        <w:rPr>
          <w:rFonts w:hint="eastAsia"/>
        </w:rPr>
        <w:t>。</w:t>
      </w:r>
      <w:r w:rsidR="002604C7">
        <w:rPr>
          <w:rFonts w:hint="eastAsia"/>
        </w:rPr>
        <w:t>通过对上述三类参数进行调优以选择相对最优的回归模型。</w:t>
      </w:r>
      <w:r w:rsidR="004B7BB8">
        <w:rPr>
          <w:rFonts w:hint="eastAsia"/>
        </w:rPr>
        <w:t>在构建模型过程中，同样采用分层抽样的方式来降低</w:t>
      </w:r>
      <w:r w:rsidR="00EA4D70">
        <w:rPr>
          <w:rFonts w:hint="eastAsia"/>
        </w:rPr>
        <w:t>不良模型出现的可能性</w:t>
      </w:r>
      <w:r w:rsidR="002D19D3">
        <w:rPr>
          <w:rFonts w:hint="eastAsia"/>
        </w:rPr>
        <w:t>。</w:t>
      </w:r>
    </w:p>
    <w:p w:rsidR="00C33C78" w:rsidRPr="002C43D6" w:rsidRDefault="00C33C78" w:rsidP="00C33C78">
      <w:pPr>
        <w:rPr>
          <w:b/>
        </w:rPr>
      </w:pPr>
      <w:r w:rsidRPr="002C43D6">
        <w:rPr>
          <w:rFonts w:hint="eastAsia"/>
          <w:b/>
        </w:rPr>
        <w:t>四、实证分析</w:t>
      </w:r>
    </w:p>
    <w:p w:rsidR="00C33C78" w:rsidRPr="00CF5C58" w:rsidRDefault="00C33C78" w:rsidP="00C33C78">
      <w:pPr>
        <w:rPr>
          <w:b/>
        </w:rPr>
      </w:pPr>
      <w:r w:rsidRPr="00CF5C58">
        <w:rPr>
          <w:rFonts w:hint="eastAsia"/>
          <w:b/>
        </w:rPr>
        <w:t>（一）变量样本数据说明</w:t>
      </w:r>
    </w:p>
    <w:p w:rsidR="00C33C78" w:rsidRDefault="000C4F5A" w:rsidP="00C33C78">
      <w:r w:rsidRPr="000C4F5A">
        <w:t>本文选取了2016年1月至2021年5月时间区间内甲醇期货主力合约交易日的收盘价作为被预测变量。备选预测变量为甲醇的现货价格、产量、进口量、出口量、库存量、毛利，天然气的现货价格、产量、进口量、库存量，以及冰醋酸的现货价格、进口量、出口量、库存量、消费量、毛利共16个</w:t>
      </w:r>
      <w:r w:rsidR="00BB02CA">
        <w:rPr>
          <w:rFonts w:hint="eastAsia"/>
        </w:rPr>
        <w:t>基本面特征变量</w:t>
      </w:r>
      <w:r w:rsidRPr="000C4F5A">
        <w:t>。其中现货价格数据来源生意社网站，产量、进口量、出口量、库存量、毛利数据来源于钢联客户端，期货数据来源于大智慧行情系统。由于基本面数据中包含日序列数据、周序列数据、月序列数据，</w:t>
      </w:r>
      <w:r w:rsidR="00196718">
        <w:rPr>
          <w:rFonts w:hint="eastAsia"/>
        </w:rPr>
        <w:t>所以要对特征变量进行预处理，</w:t>
      </w:r>
      <w:r w:rsidRPr="000C4F5A">
        <w:t>本文采取的处理方式是交易日若无新周序列数据、月序列数据将沿用上一</w:t>
      </w:r>
      <w:r w:rsidR="000B521B">
        <w:rPr>
          <w:rFonts w:hint="eastAsia"/>
        </w:rPr>
        <w:t>条</w:t>
      </w:r>
      <w:r w:rsidRPr="000C4F5A">
        <w:t>的数据。此外，将预测变量相对甲醇期货价格数据向前偏移一个时间单位。</w:t>
      </w:r>
    </w:p>
    <w:p w:rsidR="00C31192" w:rsidRPr="00CF5C58" w:rsidRDefault="00C31192" w:rsidP="00C31192">
      <w:pPr>
        <w:rPr>
          <w:b/>
        </w:rPr>
      </w:pPr>
      <w:r w:rsidRPr="00CF5C58">
        <w:rPr>
          <w:rFonts w:hint="eastAsia"/>
          <w:b/>
        </w:rPr>
        <w:t>（二）预测变量筛选结果</w:t>
      </w:r>
    </w:p>
    <w:p w:rsidR="00C31192" w:rsidRDefault="00C31192" w:rsidP="00C31192">
      <w:pPr>
        <w:ind w:firstLineChars="200" w:firstLine="480"/>
      </w:pPr>
      <w:r w:rsidRPr="001E767D">
        <w:rPr>
          <w:rFonts w:hint="eastAsia"/>
        </w:rPr>
        <w:t>使用SPSS统计软件进行基本面变量和技术指标变量与甲醇期货收盘价格进行Pearson、Spearman、Kendall相关性分析。相关性结果如</w:t>
      </w:r>
      <w:r w:rsidRPr="00882A77">
        <w:rPr>
          <w:rFonts w:hint="eastAsia"/>
        </w:rPr>
        <w:t>表1</w:t>
      </w:r>
      <w:r w:rsidRPr="001E767D">
        <w:rPr>
          <w:rFonts w:hint="eastAsia"/>
        </w:rPr>
        <w:t>。在显著性水平</w:t>
      </w:r>
      <w:r>
        <w:rPr>
          <w:rFonts w:hint="eastAsia"/>
        </w:rPr>
        <w:t>0</w:t>
      </w:r>
      <w:r>
        <w:t>.01</w:t>
      </w:r>
      <w:r>
        <w:rPr>
          <w:rFonts w:hint="eastAsia"/>
        </w:rPr>
        <w:t>情况</w:t>
      </w:r>
      <w:r w:rsidRPr="001E767D">
        <w:rPr>
          <w:rFonts w:hint="eastAsia"/>
        </w:rPr>
        <w:t>下，</w:t>
      </w:r>
      <w:r>
        <w:rPr>
          <w:rFonts w:hint="eastAsia"/>
        </w:rPr>
        <w:t>甲醇期货价格与</w:t>
      </w:r>
      <w:r w:rsidRPr="001E767D">
        <w:rPr>
          <w:rFonts w:hint="eastAsia"/>
        </w:rPr>
        <w:t>冰醋酸消费量、甲醇产量以及天然气进口量</w:t>
      </w:r>
      <w:r>
        <w:rPr>
          <w:rFonts w:hint="eastAsia"/>
        </w:rPr>
        <w:t>之外的备选变量均显著相关，因而除了</w:t>
      </w:r>
      <w:r w:rsidRPr="001E767D">
        <w:rPr>
          <w:rFonts w:hint="eastAsia"/>
        </w:rPr>
        <w:t>冰醋酸消费量、甲醇产量以及天然气进口量</w:t>
      </w:r>
      <w:r>
        <w:rPr>
          <w:rFonts w:hint="eastAsia"/>
        </w:rPr>
        <w:t>之外的变量均入选为预测变量。</w:t>
      </w:r>
    </w:p>
    <w:p w:rsidR="00704D5E" w:rsidRDefault="00C31192" w:rsidP="00C33C78">
      <w:pPr>
        <w:rPr>
          <w:b/>
        </w:rPr>
      </w:pPr>
      <w:r w:rsidRPr="00CF5C58">
        <w:rPr>
          <w:rFonts w:hint="eastAsia"/>
          <w:b/>
        </w:rPr>
        <w:t>（三）模型预测结果</w:t>
      </w:r>
    </w:p>
    <w:p w:rsidR="00C31192" w:rsidRPr="00CF5C58" w:rsidRDefault="00704D5E" w:rsidP="00C33C78">
      <w:pPr>
        <w:rPr>
          <w:b/>
        </w:rPr>
      </w:pPr>
      <w:r>
        <w:rPr>
          <w:rFonts w:hint="eastAsia"/>
          <w:b/>
        </w:rPr>
        <w:t>1</w:t>
      </w:r>
      <w:r>
        <w:rPr>
          <w:b/>
        </w:rPr>
        <w:t>.</w:t>
      </w:r>
      <w:r>
        <w:rPr>
          <w:rFonts w:hint="eastAsia"/>
          <w:b/>
        </w:rPr>
        <w:t xml:space="preserve"> </w:t>
      </w:r>
      <w:r w:rsidR="00831498" w:rsidRPr="00CF5C58">
        <w:rPr>
          <w:rFonts w:hint="eastAsia"/>
          <w:b/>
        </w:rPr>
        <w:t>原始数据模型回归结果</w:t>
      </w:r>
    </w:p>
    <w:p w:rsidR="00BB3253" w:rsidRDefault="00BB3253" w:rsidP="00C33C78">
      <w:r>
        <w:rPr>
          <w:rFonts w:hint="eastAsia"/>
        </w:rPr>
        <w:t>随机森林和XGBoost回归模型的表现</w:t>
      </w:r>
      <w:r w:rsidR="00A761AC">
        <w:rPr>
          <w:rFonts w:hint="eastAsia"/>
        </w:rPr>
        <w:t>结果</w:t>
      </w:r>
      <w:r>
        <w:rPr>
          <w:rFonts w:hint="eastAsia"/>
        </w:rPr>
        <w:t>如下表所示。</w:t>
      </w:r>
    </w:p>
    <w:p w:rsidR="002B6268" w:rsidRPr="00A761AC" w:rsidRDefault="006F7C88" w:rsidP="00A761AC">
      <w:pPr>
        <w:jc w:val="center"/>
        <w:rPr>
          <w:rFonts w:ascii="Cambria Math" w:hAnsi="Cambria Math" w:hint="eastAsia"/>
          <w:sz w:val="15"/>
        </w:rPr>
      </w:pPr>
      <w:r>
        <w:rPr>
          <w:rFonts w:ascii="Cambria Math" w:hAnsi="Cambria Math" w:hint="eastAsia"/>
          <w:sz w:val="15"/>
        </w:rPr>
        <w:t>表</w:t>
      </w:r>
      <w:r>
        <w:rPr>
          <w:rFonts w:ascii="Cambria Math" w:hAnsi="Cambria Math" w:hint="eastAsia"/>
          <w:sz w:val="15"/>
        </w:rPr>
        <w:t>2</w:t>
      </w:r>
      <w:r w:rsidR="00A761AC" w:rsidRPr="00A761AC">
        <w:rPr>
          <w:rFonts w:ascii="Cambria Math" w:hAnsi="Cambria Math" w:hint="eastAsia"/>
          <w:sz w:val="15"/>
        </w:rPr>
        <w:t>原始数据回归模型结果</w:t>
      </w:r>
    </w:p>
    <w:tbl>
      <w:tblPr>
        <w:tblStyle w:val="a5"/>
        <w:tblW w:w="0" w:type="auto"/>
        <w:jc w:val="center"/>
        <w:tblLook w:val="04A0" w:firstRow="1" w:lastRow="0" w:firstColumn="1" w:lastColumn="0" w:noHBand="0" w:noVBand="1"/>
      </w:tblPr>
      <w:tblGrid>
        <w:gridCol w:w="1477"/>
        <w:gridCol w:w="1400"/>
        <w:gridCol w:w="1413"/>
      </w:tblGrid>
      <w:tr w:rsidR="00BA3655" w:rsidTr="002B6268">
        <w:trPr>
          <w:jc w:val="center"/>
        </w:trPr>
        <w:tc>
          <w:tcPr>
            <w:tcW w:w="1477" w:type="dxa"/>
          </w:tcPr>
          <w:p w:rsidR="00BA3655" w:rsidRPr="00543378" w:rsidRDefault="00BA3655" w:rsidP="00543378">
            <w:pPr>
              <w:widowControl w:val="0"/>
              <w:jc w:val="center"/>
              <w:rPr>
                <w:sz w:val="15"/>
              </w:rPr>
            </w:pPr>
          </w:p>
        </w:tc>
        <w:tc>
          <w:tcPr>
            <w:tcW w:w="1400" w:type="dxa"/>
          </w:tcPr>
          <w:p w:rsidR="00BA3655" w:rsidRPr="00543378" w:rsidRDefault="00BA3655" w:rsidP="00543378">
            <w:pPr>
              <w:widowControl w:val="0"/>
              <w:jc w:val="center"/>
              <w:rPr>
                <w:sz w:val="15"/>
              </w:rPr>
            </w:pPr>
            <w:r w:rsidRPr="00543378">
              <w:rPr>
                <w:rFonts w:hint="eastAsia"/>
                <w:sz w:val="15"/>
              </w:rPr>
              <w:t>R</w:t>
            </w:r>
            <w:r w:rsidRPr="00543378">
              <w:rPr>
                <w:sz w:val="15"/>
              </w:rPr>
              <w:t>2</w:t>
            </w:r>
          </w:p>
        </w:tc>
        <w:tc>
          <w:tcPr>
            <w:tcW w:w="1413" w:type="dxa"/>
          </w:tcPr>
          <w:p w:rsidR="00BA3655" w:rsidRPr="00543378" w:rsidRDefault="00BA3655" w:rsidP="00543378">
            <w:pPr>
              <w:widowControl w:val="0"/>
              <w:jc w:val="center"/>
              <w:rPr>
                <w:sz w:val="15"/>
              </w:rPr>
            </w:pPr>
            <w:r w:rsidRPr="00543378">
              <w:rPr>
                <w:rFonts w:hint="eastAsia"/>
                <w:sz w:val="15"/>
              </w:rPr>
              <w:t>MAPE</w:t>
            </w:r>
          </w:p>
        </w:tc>
      </w:tr>
      <w:tr w:rsidR="00BA3655" w:rsidTr="002B6268">
        <w:trPr>
          <w:jc w:val="center"/>
        </w:trPr>
        <w:tc>
          <w:tcPr>
            <w:tcW w:w="1477" w:type="dxa"/>
          </w:tcPr>
          <w:p w:rsidR="00BA3655" w:rsidRPr="00543378" w:rsidRDefault="00BA3655" w:rsidP="00543378">
            <w:pPr>
              <w:widowControl w:val="0"/>
              <w:jc w:val="center"/>
              <w:rPr>
                <w:sz w:val="15"/>
              </w:rPr>
            </w:pPr>
            <w:r w:rsidRPr="00543378">
              <w:rPr>
                <w:rFonts w:hint="eastAsia"/>
                <w:sz w:val="15"/>
              </w:rPr>
              <w:t>随机森林</w:t>
            </w:r>
          </w:p>
        </w:tc>
        <w:tc>
          <w:tcPr>
            <w:tcW w:w="1400" w:type="dxa"/>
          </w:tcPr>
          <w:p w:rsidR="00BA3655" w:rsidRPr="00543378" w:rsidRDefault="00BA3655" w:rsidP="00543378">
            <w:pPr>
              <w:widowControl w:val="0"/>
              <w:jc w:val="center"/>
              <w:rPr>
                <w:sz w:val="15"/>
              </w:rPr>
            </w:pPr>
            <w:r w:rsidRPr="00543378">
              <w:rPr>
                <w:sz w:val="15"/>
              </w:rPr>
              <w:t>0.990</w:t>
            </w:r>
          </w:p>
        </w:tc>
        <w:tc>
          <w:tcPr>
            <w:tcW w:w="1413" w:type="dxa"/>
          </w:tcPr>
          <w:p w:rsidR="00BA3655" w:rsidRPr="00543378" w:rsidRDefault="00BA3655" w:rsidP="00543378">
            <w:pPr>
              <w:widowControl w:val="0"/>
              <w:jc w:val="center"/>
              <w:rPr>
                <w:sz w:val="15"/>
              </w:rPr>
            </w:pPr>
            <w:r w:rsidRPr="00543378">
              <w:rPr>
                <w:rFonts w:hint="eastAsia"/>
                <w:sz w:val="15"/>
              </w:rPr>
              <w:t>0</w:t>
            </w:r>
            <w:r w:rsidRPr="00543378">
              <w:rPr>
                <w:sz w:val="15"/>
              </w:rPr>
              <w:t>.012</w:t>
            </w:r>
          </w:p>
        </w:tc>
      </w:tr>
      <w:tr w:rsidR="00BA3655" w:rsidTr="002B6268">
        <w:trPr>
          <w:jc w:val="center"/>
        </w:trPr>
        <w:tc>
          <w:tcPr>
            <w:tcW w:w="1477" w:type="dxa"/>
          </w:tcPr>
          <w:p w:rsidR="00BA3655" w:rsidRPr="00543378" w:rsidRDefault="00BA3655" w:rsidP="00543378">
            <w:pPr>
              <w:widowControl w:val="0"/>
              <w:jc w:val="center"/>
              <w:rPr>
                <w:sz w:val="15"/>
              </w:rPr>
            </w:pPr>
            <w:r w:rsidRPr="00543378">
              <w:rPr>
                <w:rFonts w:hint="eastAsia"/>
                <w:sz w:val="15"/>
              </w:rPr>
              <w:t>XGBoost</w:t>
            </w:r>
          </w:p>
        </w:tc>
        <w:tc>
          <w:tcPr>
            <w:tcW w:w="1400" w:type="dxa"/>
          </w:tcPr>
          <w:p w:rsidR="00BA3655" w:rsidRPr="00543378" w:rsidRDefault="00BA3655" w:rsidP="00543378">
            <w:pPr>
              <w:widowControl w:val="0"/>
              <w:jc w:val="center"/>
              <w:rPr>
                <w:sz w:val="15"/>
              </w:rPr>
            </w:pPr>
            <w:r w:rsidRPr="00543378">
              <w:rPr>
                <w:sz w:val="15"/>
              </w:rPr>
              <w:t>0.991</w:t>
            </w:r>
          </w:p>
        </w:tc>
        <w:tc>
          <w:tcPr>
            <w:tcW w:w="1413" w:type="dxa"/>
          </w:tcPr>
          <w:p w:rsidR="00BA3655" w:rsidRPr="00543378" w:rsidRDefault="00BA3655" w:rsidP="00543378">
            <w:pPr>
              <w:widowControl w:val="0"/>
              <w:jc w:val="center"/>
              <w:rPr>
                <w:sz w:val="15"/>
              </w:rPr>
            </w:pPr>
            <w:r w:rsidRPr="00543378">
              <w:rPr>
                <w:rFonts w:hint="eastAsia"/>
                <w:sz w:val="15"/>
              </w:rPr>
              <w:t>0</w:t>
            </w:r>
            <w:r w:rsidRPr="00543378">
              <w:rPr>
                <w:sz w:val="15"/>
              </w:rPr>
              <w:t>.012</w:t>
            </w:r>
          </w:p>
        </w:tc>
      </w:tr>
    </w:tbl>
    <w:p w:rsidR="00BB3253" w:rsidRDefault="00131A98" w:rsidP="00C33C78">
      <w:r>
        <w:rPr>
          <w:rFonts w:hint="eastAsia"/>
        </w:rPr>
        <w:t>选取两个回归模型中对模型贡献率最高的前5个变量，结果如下表所示。</w:t>
      </w:r>
    </w:p>
    <w:p w:rsidR="002B6268" w:rsidRPr="00FF3498" w:rsidRDefault="002B6268" w:rsidP="00FF3498">
      <w:pPr>
        <w:jc w:val="center"/>
        <w:rPr>
          <w:rFonts w:ascii="Cambria Math" w:hAnsi="Cambria Math" w:hint="eastAsia"/>
          <w:sz w:val="15"/>
        </w:rPr>
      </w:pPr>
      <w:r w:rsidRPr="00FF3498">
        <w:rPr>
          <w:rFonts w:ascii="Cambria Math" w:hAnsi="Cambria Math" w:hint="eastAsia"/>
          <w:sz w:val="15"/>
        </w:rPr>
        <w:t>表</w:t>
      </w:r>
      <w:r w:rsidR="00066644" w:rsidRPr="00FF3498">
        <w:rPr>
          <w:rFonts w:ascii="Cambria Math" w:hAnsi="Cambria Math"/>
          <w:sz w:val="15"/>
        </w:rPr>
        <w:t>3</w:t>
      </w:r>
      <w:r w:rsidR="00680B36">
        <w:rPr>
          <w:rFonts w:ascii="Cambria Math" w:hAnsi="Cambria Math" w:hint="eastAsia"/>
          <w:sz w:val="15"/>
        </w:rPr>
        <w:t>原始</w:t>
      </w:r>
      <w:r w:rsidR="00066644" w:rsidRPr="00FF3498">
        <w:rPr>
          <w:rFonts w:ascii="Cambria Math" w:hAnsi="Cambria Math" w:hint="eastAsia"/>
          <w:sz w:val="15"/>
        </w:rPr>
        <w:t>模型贡献度最高特征变量</w:t>
      </w:r>
    </w:p>
    <w:tbl>
      <w:tblPr>
        <w:tblStyle w:val="a5"/>
        <w:tblW w:w="0" w:type="auto"/>
        <w:jc w:val="center"/>
        <w:tblLook w:val="04A0" w:firstRow="1" w:lastRow="0" w:firstColumn="1" w:lastColumn="0" w:noHBand="0" w:noVBand="1"/>
      </w:tblPr>
      <w:tblGrid>
        <w:gridCol w:w="889"/>
        <w:gridCol w:w="1025"/>
        <w:gridCol w:w="1121"/>
        <w:gridCol w:w="1217"/>
        <w:gridCol w:w="1419"/>
        <w:gridCol w:w="1539"/>
      </w:tblGrid>
      <w:tr w:rsidR="00F2278C" w:rsidTr="002B6268">
        <w:trPr>
          <w:jc w:val="center"/>
        </w:trPr>
        <w:tc>
          <w:tcPr>
            <w:tcW w:w="889" w:type="dxa"/>
          </w:tcPr>
          <w:p w:rsidR="00F2278C" w:rsidRPr="00543378" w:rsidRDefault="00F2278C" w:rsidP="00543378">
            <w:pPr>
              <w:widowControl w:val="0"/>
              <w:jc w:val="center"/>
              <w:rPr>
                <w:sz w:val="15"/>
              </w:rPr>
            </w:pPr>
            <w:r w:rsidRPr="00543378">
              <w:rPr>
                <w:rFonts w:hint="eastAsia"/>
                <w:sz w:val="15"/>
              </w:rPr>
              <w:t>随机森林回归</w:t>
            </w:r>
          </w:p>
        </w:tc>
        <w:tc>
          <w:tcPr>
            <w:tcW w:w="1025" w:type="dxa"/>
          </w:tcPr>
          <w:p w:rsidR="00F2278C" w:rsidRPr="00543378" w:rsidRDefault="00F2278C" w:rsidP="00543378">
            <w:pPr>
              <w:widowControl w:val="0"/>
              <w:jc w:val="center"/>
              <w:rPr>
                <w:sz w:val="15"/>
              </w:rPr>
            </w:pPr>
            <w:r w:rsidRPr="00543378">
              <w:rPr>
                <w:rFonts w:hint="eastAsia"/>
                <w:sz w:val="15"/>
              </w:rPr>
              <w:t>甲醇毛利</w:t>
            </w:r>
          </w:p>
        </w:tc>
        <w:tc>
          <w:tcPr>
            <w:tcW w:w="1121" w:type="dxa"/>
          </w:tcPr>
          <w:p w:rsidR="00F2278C" w:rsidRPr="00543378" w:rsidRDefault="00F2278C" w:rsidP="00543378">
            <w:pPr>
              <w:widowControl w:val="0"/>
              <w:jc w:val="center"/>
              <w:rPr>
                <w:sz w:val="15"/>
              </w:rPr>
            </w:pPr>
            <w:r w:rsidRPr="00543378">
              <w:rPr>
                <w:rFonts w:hint="eastAsia"/>
                <w:sz w:val="15"/>
              </w:rPr>
              <w:t>甲醇现货价格</w:t>
            </w:r>
          </w:p>
        </w:tc>
        <w:tc>
          <w:tcPr>
            <w:tcW w:w="1217" w:type="dxa"/>
          </w:tcPr>
          <w:p w:rsidR="00F2278C" w:rsidRPr="00543378" w:rsidRDefault="00F2278C" w:rsidP="00543378">
            <w:pPr>
              <w:widowControl w:val="0"/>
              <w:jc w:val="center"/>
              <w:rPr>
                <w:sz w:val="15"/>
              </w:rPr>
            </w:pPr>
            <w:r w:rsidRPr="00543378">
              <w:rPr>
                <w:rFonts w:hint="eastAsia"/>
                <w:sz w:val="15"/>
              </w:rPr>
              <w:t>冰醋酸现货价格</w:t>
            </w:r>
          </w:p>
        </w:tc>
        <w:tc>
          <w:tcPr>
            <w:tcW w:w="1419" w:type="dxa"/>
          </w:tcPr>
          <w:p w:rsidR="00F2278C" w:rsidRPr="00543378" w:rsidRDefault="00F2278C" w:rsidP="00543378">
            <w:pPr>
              <w:widowControl w:val="0"/>
              <w:jc w:val="center"/>
              <w:rPr>
                <w:rFonts w:hint="eastAsia"/>
                <w:sz w:val="15"/>
              </w:rPr>
            </w:pPr>
            <w:r w:rsidRPr="00543378">
              <w:rPr>
                <w:sz w:val="15"/>
              </w:rPr>
              <w:t>甲醇</w:t>
            </w:r>
            <w:r w:rsidR="00FB7985" w:rsidRPr="00543378">
              <w:rPr>
                <w:rFonts w:hint="eastAsia"/>
                <w:sz w:val="15"/>
              </w:rPr>
              <w:t>产量</w:t>
            </w:r>
          </w:p>
        </w:tc>
        <w:tc>
          <w:tcPr>
            <w:tcW w:w="1539" w:type="dxa"/>
          </w:tcPr>
          <w:p w:rsidR="00F2278C" w:rsidRPr="00543378" w:rsidRDefault="00F2278C" w:rsidP="00543378">
            <w:pPr>
              <w:widowControl w:val="0"/>
              <w:jc w:val="center"/>
              <w:rPr>
                <w:sz w:val="15"/>
              </w:rPr>
            </w:pPr>
            <w:r w:rsidRPr="00543378">
              <w:rPr>
                <w:sz w:val="15"/>
              </w:rPr>
              <w:t>冰醋酸进口</w:t>
            </w:r>
            <w:r w:rsidRPr="00543378">
              <w:rPr>
                <w:rFonts w:hint="eastAsia"/>
                <w:sz w:val="15"/>
              </w:rPr>
              <w:t>量</w:t>
            </w:r>
          </w:p>
        </w:tc>
      </w:tr>
      <w:tr w:rsidR="00F2278C" w:rsidTr="002B6268">
        <w:trPr>
          <w:jc w:val="center"/>
        </w:trPr>
        <w:tc>
          <w:tcPr>
            <w:tcW w:w="889" w:type="dxa"/>
          </w:tcPr>
          <w:p w:rsidR="00F2278C" w:rsidRPr="00543378" w:rsidRDefault="00F2278C" w:rsidP="00543378">
            <w:pPr>
              <w:widowControl w:val="0"/>
              <w:jc w:val="center"/>
              <w:rPr>
                <w:sz w:val="15"/>
              </w:rPr>
            </w:pPr>
            <w:r w:rsidRPr="00543378">
              <w:rPr>
                <w:rFonts w:hint="eastAsia"/>
                <w:sz w:val="15"/>
              </w:rPr>
              <w:t>XGBoost回归</w:t>
            </w:r>
          </w:p>
        </w:tc>
        <w:tc>
          <w:tcPr>
            <w:tcW w:w="1025" w:type="dxa"/>
          </w:tcPr>
          <w:p w:rsidR="00F2278C" w:rsidRPr="00543378" w:rsidRDefault="00F2278C" w:rsidP="00543378">
            <w:pPr>
              <w:widowControl w:val="0"/>
              <w:jc w:val="center"/>
              <w:rPr>
                <w:sz w:val="15"/>
              </w:rPr>
            </w:pPr>
            <w:r w:rsidRPr="00543378">
              <w:rPr>
                <w:sz w:val="15"/>
              </w:rPr>
              <w:t xml:space="preserve">甲醇毛利 </w:t>
            </w:r>
          </w:p>
        </w:tc>
        <w:tc>
          <w:tcPr>
            <w:tcW w:w="1121" w:type="dxa"/>
          </w:tcPr>
          <w:p w:rsidR="00F2278C" w:rsidRPr="00543378" w:rsidRDefault="00F2278C" w:rsidP="00543378">
            <w:pPr>
              <w:widowControl w:val="0"/>
              <w:jc w:val="center"/>
              <w:rPr>
                <w:sz w:val="15"/>
              </w:rPr>
            </w:pPr>
            <w:r w:rsidRPr="00543378">
              <w:rPr>
                <w:sz w:val="15"/>
              </w:rPr>
              <w:t>甲醇现货价格</w:t>
            </w:r>
          </w:p>
        </w:tc>
        <w:tc>
          <w:tcPr>
            <w:tcW w:w="1217" w:type="dxa"/>
          </w:tcPr>
          <w:p w:rsidR="00F2278C" w:rsidRPr="00543378" w:rsidRDefault="00AE3180" w:rsidP="00543378">
            <w:pPr>
              <w:widowControl w:val="0"/>
              <w:jc w:val="center"/>
              <w:rPr>
                <w:sz w:val="15"/>
              </w:rPr>
            </w:pPr>
            <w:r w:rsidRPr="00543378">
              <w:rPr>
                <w:rFonts w:hint="eastAsia"/>
                <w:sz w:val="15"/>
              </w:rPr>
              <w:t>天然气进口量</w:t>
            </w:r>
          </w:p>
        </w:tc>
        <w:tc>
          <w:tcPr>
            <w:tcW w:w="1419" w:type="dxa"/>
          </w:tcPr>
          <w:p w:rsidR="00F2278C" w:rsidRPr="00543378" w:rsidRDefault="00AE3180" w:rsidP="00543378">
            <w:pPr>
              <w:widowControl w:val="0"/>
              <w:jc w:val="center"/>
              <w:rPr>
                <w:sz w:val="15"/>
              </w:rPr>
            </w:pPr>
            <w:r w:rsidRPr="00543378">
              <w:rPr>
                <w:rFonts w:hint="eastAsia"/>
                <w:sz w:val="15"/>
              </w:rPr>
              <w:t>甲醇产量</w:t>
            </w:r>
          </w:p>
        </w:tc>
        <w:tc>
          <w:tcPr>
            <w:tcW w:w="1539" w:type="dxa"/>
          </w:tcPr>
          <w:p w:rsidR="00F2278C" w:rsidRPr="00543378" w:rsidRDefault="00AE3180" w:rsidP="00543378">
            <w:pPr>
              <w:widowControl w:val="0"/>
              <w:jc w:val="center"/>
              <w:rPr>
                <w:sz w:val="15"/>
              </w:rPr>
            </w:pPr>
            <w:r w:rsidRPr="00543378">
              <w:rPr>
                <w:rFonts w:hint="eastAsia"/>
                <w:sz w:val="15"/>
              </w:rPr>
              <w:t>天然气产量</w:t>
            </w:r>
          </w:p>
        </w:tc>
      </w:tr>
    </w:tbl>
    <w:p w:rsidR="00831498" w:rsidRPr="00166361" w:rsidRDefault="00166361" w:rsidP="00166361">
      <w:pPr>
        <w:rPr>
          <w:b/>
        </w:rPr>
      </w:pPr>
      <w:r>
        <w:rPr>
          <w:rFonts w:hint="eastAsia"/>
          <w:b/>
        </w:rPr>
        <w:t>2</w:t>
      </w:r>
      <w:r>
        <w:rPr>
          <w:b/>
        </w:rPr>
        <w:t xml:space="preserve">. </w:t>
      </w:r>
      <w:bookmarkStart w:id="0" w:name="_GoBack"/>
      <w:bookmarkEnd w:id="0"/>
      <w:r w:rsidR="006D281C" w:rsidRPr="00166361">
        <w:rPr>
          <w:rFonts w:hint="eastAsia"/>
          <w:b/>
        </w:rPr>
        <w:t>归一化数据模型回归结果</w:t>
      </w:r>
    </w:p>
    <w:p w:rsidR="00222A0E" w:rsidRPr="00222A0E" w:rsidRDefault="00222A0E" w:rsidP="00222A0E">
      <w:pPr>
        <w:pStyle w:val="a3"/>
        <w:ind w:left="360" w:firstLineChars="0" w:firstLine="0"/>
        <w:jc w:val="center"/>
        <w:rPr>
          <w:rFonts w:ascii="Cambria Math" w:hAnsi="Cambria Math" w:hint="eastAsia"/>
          <w:sz w:val="15"/>
        </w:rPr>
      </w:pPr>
      <w:r w:rsidRPr="00222A0E">
        <w:rPr>
          <w:rFonts w:ascii="Cambria Math" w:hAnsi="Cambria Math" w:hint="eastAsia"/>
          <w:sz w:val="15"/>
        </w:rPr>
        <w:t>表</w:t>
      </w:r>
      <w:r>
        <w:rPr>
          <w:rFonts w:ascii="Cambria Math" w:hAnsi="Cambria Math"/>
          <w:sz w:val="15"/>
        </w:rPr>
        <w:t>4</w:t>
      </w:r>
      <w:r>
        <w:rPr>
          <w:rFonts w:ascii="Cambria Math" w:hAnsi="Cambria Math" w:hint="eastAsia"/>
          <w:sz w:val="15"/>
        </w:rPr>
        <w:t>归一化</w:t>
      </w:r>
      <w:r w:rsidRPr="00222A0E">
        <w:rPr>
          <w:rFonts w:ascii="Cambria Math" w:hAnsi="Cambria Math" w:hint="eastAsia"/>
          <w:sz w:val="15"/>
        </w:rPr>
        <w:t>数据回归模型结果</w:t>
      </w:r>
    </w:p>
    <w:tbl>
      <w:tblPr>
        <w:tblStyle w:val="a5"/>
        <w:tblW w:w="0" w:type="auto"/>
        <w:jc w:val="center"/>
        <w:tblLook w:val="04A0" w:firstRow="1" w:lastRow="0" w:firstColumn="1" w:lastColumn="0" w:noHBand="0" w:noVBand="1"/>
      </w:tblPr>
      <w:tblGrid>
        <w:gridCol w:w="1477"/>
        <w:gridCol w:w="1400"/>
        <w:gridCol w:w="1413"/>
      </w:tblGrid>
      <w:tr w:rsidR="00EB0E7E" w:rsidTr="002B6268">
        <w:trPr>
          <w:jc w:val="center"/>
        </w:trPr>
        <w:tc>
          <w:tcPr>
            <w:tcW w:w="1477" w:type="dxa"/>
          </w:tcPr>
          <w:p w:rsidR="00EB0E7E" w:rsidRPr="00543378" w:rsidRDefault="00EB0E7E" w:rsidP="00543378">
            <w:pPr>
              <w:widowControl w:val="0"/>
              <w:jc w:val="center"/>
              <w:rPr>
                <w:sz w:val="15"/>
              </w:rPr>
            </w:pPr>
          </w:p>
        </w:tc>
        <w:tc>
          <w:tcPr>
            <w:tcW w:w="1400" w:type="dxa"/>
          </w:tcPr>
          <w:p w:rsidR="00EB0E7E" w:rsidRPr="00543378" w:rsidRDefault="00EB0E7E" w:rsidP="00543378">
            <w:pPr>
              <w:widowControl w:val="0"/>
              <w:jc w:val="center"/>
              <w:rPr>
                <w:sz w:val="15"/>
              </w:rPr>
            </w:pPr>
            <w:r w:rsidRPr="00543378">
              <w:rPr>
                <w:rFonts w:hint="eastAsia"/>
                <w:sz w:val="15"/>
              </w:rPr>
              <w:t>R</w:t>
            </w:r>
            <w:r w:rsidRPr="00543378">
              <w:rPr>
                <w:sz w:val="15"/>
              </w:rPr>
              <w:t>2</w:t>
            </w:r>
          </w:p>
        </w:tc>
        <w:tc>
          <w:tcPr>
            <w:tcW w:w="1413" w:type="dxa"/>
          </w:tcPr>
          <w:p w:rsidR="00EB0E7E" w:rsidRPr="00543378" w:rsidRDefault="00EB0E7E" w:rsidP="00543378">
            <w:pPr>
              <w:widowControl w:val="0"/>
              <w:jc w:val="center"/>
              <w:rPr>
                <w:sz w:val="15"/>
              </w:rPr>
            </w:pPr>
            <w:r w:rsidRPr="00543378">
              <w:rPr>
                <w:rFonts w:hint="eastAsia"/>
                <w:sz w:val="15"/>
              </w:rPr>
              <w:t>MAPE</w:t>
            </w:r>
          </w:p>
        </w:tc>
      </w:tr>
      <w:tr w:rsidR="00EB0E7E" w:rsidTr="002B6268">
        <w:trPr>
          <w:jc w:val="center"/>
        </w:trPr>
        <w:tc>
          <w:tcPr>
            <w:tcW w:w="1477" w:type="dxa"/>
          </w:tcPr>
          <w:p w:rsidR="00EB0E7E" w:rsidRPr="00543378" w:rsidRDefault="00EB0E7E" w:rsidP="00543378">
            <w:pPr>
              <w:widowControl w:val="0"/>
              <w:jc w:val="center"/>
              <w:rPr>
                <w:sz w:val="15"/>
              </w:rPr>
            </w:pPr>
            <w:r w:rsidRPr="00543378">
              <w:rPr>
                <w:rFonts w:hint="eastAsia"/>
                <w:sz w:val="15"/>
              </w:rPr>
              <w:lastRenderedPageBreak/>
              <w:t>随机森林</w:t>
            </w:r>
          </w:p>
        </w:tc>
        <w:tc>
          <w:tcPr>
            <w:tcW w:w="1400" w:type="dxa"/>
          </w:tcPr>
          <w:p w:rsidR="00EB0E7E" w:rsidRPr="00543378" w:rsidRDefault="00EB0E7E" w:rsidP="00543378">
            <w:pPr>
              <w:widowControl w:val="0"/>
              <w:jc w:val="center"/>
              <w:rPr>
                <w:sz w:val="15"/>
              </w:rPr>
            </w:pPr>
            <w:r w:rsidRPr="00543378">
              <w:rPr>
                <w:sz w:val="15"/>
              </w:rPr>
              <w:t>0.991</w:t>
            </w:r>
          </w:p>
        </w:tc>
        <w:tc>
          <w:tcPr>
            <w:tcW w:w="1413" w:type="dxa"/>
          </w:tcPr>
          <w:p w:rsidR="00EB0E7E" w:rsidRPr="00543378" w:rsidRDefault="00EB0E7E" w:rsidP="00543378">
            <w:pPr>
              <w:widowControl w:val="0"/>
              <w:jc w:val="center"/>
              <w:rPr>
                <w:sz w:val="15"/>
              </w:rPr>
            </w:pPr>
            <w:r w:rsidRPr="00543378">
              <w:rPr>
                <w:sz w:val="15"/>
              </w:rPr>
              <w:t>0.103</w:t>
            </w:r>
          </w:p>
        </w:tc>
      </w:tr>
      <w:tr w:rsidR="00EB0E7E" w:rsidTr="002B6268">
        <w:trPr>
          <w:jc w:val="center"/>
        </w:trPr>
        <w:tc>
          <w:tcPr>
            <w:tcW w:w="1477" w:type="dxa"/>
          </w:tcPr>
          <w:p w:rsidR="00EB0E7E" w:rsidRPr="00543378" w:rsidRDefault="00EB0E7E" w:rsidP="00543378">
            <w:pPr>
              <w:widowControl w:val="0"/>
              <w:jc w:val="center"/>
              <w:rPr>
                <w:sz w:val="15"/>
              </w:rPr>
            </w:pPr>
            <w:r w:rsidRPr="00543378">
              <w:rPr>
                <w:rFonts w:hint="eastAsia"/>
                <w:sz w:val="15"/>
              </w:rPr>
              <w:t>XGBoost</w:t>
            </w:r>
          </w:p>
        </w:tc>
        <w:tc>
          <w:tcPr>
            <w:tcW w:w="1400" w:type="dxa"/>
          </w:tcPr>
          <w:p w:rsidR="00EB0E7E" w:rsidRPr="00543378" w:rsidRDefault="00EB0E7E" w:rsidP="00543378">
            <w:pPr>
              <w:widowControl w:val="0"/>
              <w:jc w:val="center"/>
              <w:rPr>
                <w:sz w:val="15"/>
              </w:rPr>
            </w:pPr>
            <w:r w:rsidRPr="00543378">
              <w:rPr>
                <w:sz w:val="15"/>
              </w:rPr>
              <w:t>0.992</w:t>
            </w:r>
          </w:p>
        </w:tc>
        <w:tc>
          <w:tcPr>
            <w:tcW w:w="1413" w:type="dxa"/>
          </w:tcPr>
          <w:p w:rsidR="00EB0E7E" w:rsidRPr="00543378" w:rsidRDefault="00EB0E7E" w:rsidP="00543378">
            <w:pPr>
              <w:widowControl w:val="0"/>
              <w:jc w:val="center"/>
              <w:rPr>
                <w:sz w:val="15"/>
              </w:rPr>
            </w:pPr>
            <w:r w:rsidRPr="00543378">
              <w:rPr>
                <w:rFonts w:hint="eastAsia"/>
                <w:sz w:val="15"/>
              </w:rPr>
              <w:t>0</w:t>
            </w:r>
            <w:r w:rsidRPr="00543378">
              <w:rPr>
                <w:sz w:val="15"/>
              </w:rPr>
              <w:t>.077</w:t>
            </w:r>
          </w:p>
        </w:tc>
      </w:tr>
    </w:tbl>
    <w:p w:rsidR="00893B13" w:rsidRDefault="00893B13" w:rsidP="00893B13">
      <w:r>
        <w:rPr>
          <w:rFonts w:hint="eastAsia"/>
        </w:rPr>
        <w:t>选取两个回归模型中对模型贡献率最高的前5个变量，结果如下表所示。</w:t>
      </w:r>
    </w:p>
    <w:p w:rsidR="00680B36" w:rsidRPr="00FF3498" w:rsidRDefault="00680B36" w:rsidP="00680B36">
      <w:pPr>
        <w:jc w:val="center"/>
        <w:rPr>
          <w:rFonts w:ascii="Cambria Math" w:hAnsi="Cambria Math" w:hint="eastAsia"/>
          <w:sz w:val="15"/>
        </w:rPr>
      </w:pPr>
      <w:r w:rsidRPr="00FF3498">
        <w:rPr>
          <w:rFonts w:ascii="Cambria Math" w:hAnsi="Cambria Math" w:hint="eastAsia"/>
          <w:sz w:val="15"/>
        </w:rPr>
        <w:t>表</w:t>
      </w:r>
      <w:r>
        <w:rPr>
          <w:rFonts w:ascii="Cambria Math" w:hAnsi="Cambria Math"/>
          <w:sz w:val="15"/>
        </w:rPr>
        <w:t>5</w:t>
      </w:r>
      <w:r>
        <w:rPr>
          <w:rFonts w:ascii="Cambria Math" w:hAnsi="Cambria Math" w:hint="eastAsia"/>
          <w:sz w:val="15"/>
        </w:rPr>
        <w:t>归一化</w:t>
      </w:r>
      <w:r w:rsidRPr="00FF3498">
        <w:rPr>
          <w:rFonts w:ascii="Cambria Math" w:hAnsi="Cambria Math" w:hint="eastAsia"/>
          <w:sz w:val="15"/>
        </w:rPr>
        <w:t>模型贡献度最高特征变量</w:t>
      </w:r>
    </w:p>
    <w:tbl>
      <w:tblPr>
        <w:tblStyle w:val="a5"/>
        <w:tblW w:w="0" w:type="auto"/>
        <w:jc w:val="center"/>
        <w:tblLook w:val="04A0" w:firstRow="1" w:lastRow="0" w:firstColumn="1" w:lastColumn="0" w:noHBand="0" w:noVBand="1"/>
      </w:tblPr>
      <w:tblGrid>
        <w:gridCol w:w="889"/>
        <w:gridCol w:w="1025"/>
        <w:gridCol w:w="1121"/>
        <w:gridCol w:w="1217"/>
        <w:gridCol w:w="1419"/>
        <w:gridCol w:w="1539"/>
      </w:tblGrid>
      <w:tr w:rsidR="00893B13" w:rsidTr="002B6268">
        <w:trPr>
          <w:jc w:val="center"/>
        </w:trPr>
        <w:tc>
          <w:tcPr>
            <w:tcW w:w="889" w:type="dxa"/>
          </w:tcPr>
          <w:p w:rsidR="00893B13" w:rsidRPr="00543378" w:rsidRDefault="00893B13" w:rsidP="00543378">
            <w:pPr>
              <w:widowControl w:val="0"/>
              <w:jc w:val="center"/>
              <w:rPr>
                <w:sz w:val="15"/>
              </w:rPr>
            </w:pPr>
            <w:r w:rsidRPr="00543378">
              <w:rPr>
                <w:rFonts w:hint="eastAsia"/>
                <w:sz w:val="15"/>
              </w:rPr>
              <w:t>随机森林回归</w:t>
            </w:r>
          </w:p>
        </w:tc>
        <w:tc>
          <w:tcPr>
            <w:tcW w:w="1025" w:type="dxa"/>
          </w:tcPr>
          <w:p w:rsidR="00893B13" w:rsidRPr="00543378" w:rsidRDefault="00893B13" w:rsidP="00543378">
            <w:pPr>
              <w:widowControl w:val="0"/>
              <w:jc w:val="center"/>
              <w:rPr>
                <w:sz w:val="15"/>
              </w:rPr>
            </w:pPr>
            <w:r w:rsidRPr="00543378">
              <w:rPr>
                <w:rFonts w:hint="eastAsia"/>
                <w:sz w:val="15"/>
              </w:rPr>
              <w:t>甲醇毛利</w:t>
            </w:r>
          </w:p>
        </w:tc>
        <w:tc>
          <w:tcPr>
            <w:tcW w:w="1121" w:type="dxa"/>
          </w:tcPr>
          <w:p w:rsidR="00893B13" w:rsidRPr="00543378" w:rsidRDefault="00893B13" w:rsidP="00543378">
            <w:pPr>
              <w:widowControl w:val="0"/>
              <w:jc w:val="center"/>
              <w:rPr>
                <w:sz w:val="15"/>
              </w:rPr>
            </w:pPr>
            <w:r w:rsidRPr="00543378">
              <w:rPr>
                <w:rFonts w:hint="eastAsia"/>
                <w:sz w:val="15"/>
              </w:rPr>
              <w:t>甲醇现货价格</w:t>
            </w:r>
          </w:p>
        </w:tc>
        <w:tc>
          <w:tcPr>
            <w:tcW w:w="1217" w:type="dxa"/>
          </w:tcPr>
          <w:p w:rsidR="00893B13" w:rsidRPr="00543378" w:rsidRDefault="00893B13" w:rsidP="00543378">
            <w:pPr>
              <w:widowControl w:val="0"/>
              <w:jc w:val="center"/>
              <w:rPr>
                <w:sz w:val="15"/>
              </w:rPr>
            </w:pPr>
            <w:r w:rsidRPr="00543378">
              <w:rPr>
                <w:rFonts w:hint="eastAsia"/>
                <w:sz w:val="15"/>
              </w:rPr>
              <w:t>冰醋酸现货价格</w:t>
            </w:r>
          </w:p>
        </w:tc>
        <w:tc>
          <w:tcPr>
            <w:tcW w:w="1419" w:type="dxa"/>
          </w:tcPr>
          <w:p w:rsidR="00893B13" w:rsidRPr="00543378" w:rsidRDefault="00893B13" w:rsidP="00543378">
            <w:pPr>
              <w:widowControl w:val="0"/>
              <w:jc w:val="center"/>
              <w:rPr>
                <w:rFonts w:hint="eastAsia"/>
                <w:sz w:val="15"/>
              </w:rPr>
            </w:pPr>
            <w:r w:rsidRPr="00543378">
              <w:rPr>
                <w:sz w:val="15"/>
              </w:rPr>
              <w:t>甲醇</w:t>
            </w:r>
            <w:r w:rsidR="00FB7985" w:rsidRPr="00543378">
              <w:rPr>
                <w:rFonts w:hint="eastAsia"/>
                <w:sz w:val="15"/>
              </w:rPr>
              <w:t>产量</w:t>
            </w:r>
          </w:p>
        </w:tc>
        <w:tc>
          <w:tcPr>
            <w:tcW w:w="1539" w:type="dxa"/>
          </w:tcPr>
          <w:p w:rsidR="00893B13" w:rsidRPr="00543378" w:rsidRDefault="00FE4D59" w:rsidP="00543378">
            <w:pPr>
              <w:widowControl w:val="0"/>
              <w:jc w:val="center"/>
              <w:rPr>
                <w:sz w:val="15"/>
              </w:rPr>
            </w:pPr>
            <w:r w:rsidRPr="00543378">
              <w:rPr>
                <w:rFonts w:hint="eastAsia"/>
                <w:sz w:val="15"/>
              </w:rPr>
              <w:t>冰醋酸毛利</w:t>
            </w:r>
          </w:p>
        </w:tc>
      </w:tr>
      <w:tr w:rsidR="00893B13" w:rsidTr="002B6268">
        <w:trPr>
          <w:jc w:val="center"/>
        </w:trPr>
        <w:tc>
          <w:tcPr>
            <w:tcW w:w="889" w:type="dxa"/>
          </w:tcPr>
          <w:p w:rsidR="00893B13" w:rsidRPr="00543378" w:rsidRDefault="00893B13" w:rsidP="00543378">
            <w:pPr>
              <w:widowControl w:val="0"/>
              <w:jc w:val="center"/>
              <w:rPr>
                <w:sz w:val="15"/>
              </w:rPr>
            </w:pPr>
            <w:r w:rsidRPr="00543378">
              <w:rPr>
                <w:rFonts w:hint="eastAsia"/>
                <w:sz w:val="15"/>
              </w:rPr>
              <w:t>XGBoost回归</w:t>
            </w:r>
          </w:p>
        </w:tc>
        <w:tc>
          <w:tcPr>
            <w:tcW w:w="1025" w:type="dxa"/>
          </w:tcPr>
          <w:p w:rsidR="00893B13" w:rsidRPr="00543378" w:rsidRDefault="00893B13" w:rsidP="00543378">
            <w:pPr>
              <w:widowControl w:val="0"/>
              <w:jc w:val="center"/>
              <w:rPr>
                <w:sz w:val="15"/>
              </w:rPr>
            </w:pPr>
            <w:r w:rsidRPr="00543378">
              <w:rPr>
                <w:sz w:val="15"/>
              </w:rPr>
              <w:t xml:space="preserve">甲醇毛利 </w:t>
            </w:r>
          </w:p>
        </w:tc>
        <w:tc>
          <w:tcPr>
            <w:tcW w:w="1121" w:type="dxa"/>
          </w:tcPr>
          <w:p w:rsidR="00893B13" w:rsidRPr="00543378" w:rsidRDefault="00893B13" w:rsidP="00543378">
            <w:pPr>
              <w:widowControl w:val="0"/>
              <w:jc w:val="center"/>
              <w:rPr>
                <w:sz w:val="15"/>
              </w:rPr>
            </w:pPr>
            <w:r w:rsidRPr="00543378">
              <w:rPr>
                <w:sz w:val="15"/>
              </w:rPr>
              <w:t>甲醇现货价格</w:t>
            </w:r>
          </w:p>
        </w:tc>
        <w:tc>
          <w:tcPr>
            <w:tcW w:w="1217" w:type="dxa"/>
          </w:tcPr>
          <w:p w:rsidR="00893B13" w:rsidRPr="00543378" w:rsidRDefault="00893B13" w:rsidP="00543378">
            <w:pPr>
              <w:widowControl w:val="0"/>
              <w:jc w:val="center"/>
              <w:rPr>
                <w:sz w:val="15"/>
              </w:rPr>
            </w:pPr>
            <w:r w:rsidRPr="00543378">
              <w:rPr>
                <w:rFonts w:hint="eastAsia"/>
                <w:sz w:val="15"/>
              </w:rPr>
              <w:t>甲醇产量</w:t>
            </w:r>
          </w:p>
        </w:tc>
        <w:tc>
          <w:tcPr>
            <w:tcW w:w="1419" w:type="dxa"/>
          </w:tcPr>
          <w:p w:rsidR="00893B13" w:rsidRPr="00543378" w:rsidRDefault="00893B13" w:rsidP="00543378">
            <w:pPr>
              <w:widowControl w:val="0"/>
              <w:jc w:val="center"/>
              <w:rPr>
                <w:sz w:val="15"/>
              </w:rPr>
            </w:pPr>
            <w:r w:rsidRPr="00543378">
              <w:rPr>
                <w:rFonts w:hint="eastAsia"/>
                <w:sz w:val="15"/>
              </w:rPr>
              <w:t>天然气产量</w:t>
            </w:r>
          </w:p>
        </w:tc>
        <w:tc>
          <w:tcPr>
            <w:tcW w:w="1539" w:type="dxa"/>
          </w:tcPr>
          <w:p w:rsidR="00893B13" w:rsidRPr="00543378" w:rsidRDefault="00893B13" w:rsidP="00543378">
            <w:pPr>
              <w:widowControl w:val="0"/>
              <w:jc w:val="center"/>
              <w:rPr>
                <w:sz w:val="15"/>
              </w:rPr>
            </w:pPr>
            <w:r w:rsidRPr="00543378">
              <w:rPr>
                <w:rFonts w:hint="eastAsia"/>
                <w:sz w:val="15"/>
              </w:rPr>
              <w:t>天然气库存量</w:t>
            </w:r>
          </w:p>
        </w:tc>
      </w:tr>
    </w:tbl>
    <w:p w:rsidR="006D281C" w:rsidRPr="00CF5C58" w:rsidRDefault="002B6268" w:rsidP="00C33C78">
      <w:pPr>
        <w:rPr>
          <w:b/>
        </w:rPr>
      </w:pPr>
      <w:r w:rsidRPr="00CF5C58">
        <w:rPr>
          <w:rFonts w:hint="eastAsia"/>
          <w:b/>
        </w:rPr>
        <w:t>（四）模型结果分析</w:t>
      </w:r>
    </w:p>
    <w:p w:rsidR="002B6268" w:rsidRDefault="0043043C" w:rsidP="00E93EB6">
      <w:pPr>
        <w:ind w:firstLineChars="200" w:firstLine="480"/>
      </w:pPr>
      <w:r>
        <w:rPr>
          <w:rFonts w:hint="eastAsia"/>
        </w:rPr>
        <w:t>比较分别由原始数据以及经过归一化处理后</w:t>
      </w:r>
      <w:r w:rsidR="003C3B5B">
        <w:rPr>
          <w:rFonts w:hint="eastAsia"/>
        </w:rPr>
        <w:t>的数据所构建的树模型的表现可以知道，</w:t>
      </w:r>
      <w:r w:rsidR="00D242B8">
        <w:rPr>
          <w:rFonts w:hint="eastAsia"/>
        </w:rPr>
        <w:t>在经过归一化处理之后，两种树模型的R</w:t>
      </w:r>
      <w:r w:rsidR="00D242B8" w:rsidRPr="009F4BD8">
        <w:rPr>
          <w:vertAlign w:val="superscript"/>
        </w:rPr>
        <w:t>2</w:t>
      </w:r>
      <w:r w:rsidR="00D242B8">
        <w:rPr>
          <w:rFonts w:hint="eastAsia"/>
        </w:rPr>
        <w:t>均提高了</w:t>
      </w:r>
      <w:r w:rsidR="00D242B8">
        <w:t>0.1%</w:t>
      </w:r>
      <w:r w:rsidR="00D242B8">
        <w:rPr>
          <w:rFonts w:hint="eastAsia"/>
        </w:rPr>
        <w:t>，</w:t>
      </w:r>
      <w:r w:rsidR="004A3BE0">
        <w:rPr>
          <w:rFonts w:hint="eastAsia"/>
        </w:rPr>
        <w:t>模型的预测精度没有较大提高，</w:t>
      </w:r>
      <w:r w:rsidR="00D242B8">
        <w:rPr>
          <w:rFonts w:hint="eastAsia"/>
        </w:rPr>
        <w:t>但从MAPE表现结果来看，经过归一化处理后的两种树模型均表现地比原始数据构建的模型所表现出的结果要差，随机森林模型的误差增大了近1</w:t>
      </w:r>
      <w:r w:rsidR="00D242B8">
        <w:t>0%</w:t>
      </w:r>
      <w:r w:rsidR="00D242B8">
        <w:rPr>
          <w:rFonts w:hint="eastAsia"/>
        </w:rPr>
        <w:t>，XGBoost模型误差增大了接近6</w:t>
      </w:r>
      <w:r w:rsidR="00D242B8">
        <w:t>%</w:t>
      </w:r>
      <w:r w:rsidR="00D242B8">
        <w:rPr>
          <w:rFonts w:hint="eastAsia"/>
        </w:rPr>
        <w:t>，因而从误差角度来看，将数据进行归一化处理后，模型的预测精确度反而变差了。</w:t>
      </w:r>
      <w:r w:rsidR="004B6386">
        <w:rPr>
          <w:rFonts w:hint="eastAsia"/>
        </w:rPr>
        <w:t>比较表</w:t>
      </w:r>
      <w:r w:rsidR="009F4BD8">
        <w:t>3</w:t>
      </w:r>
      <w:r w:rsidR="004B6386">
        <w:rPr>
          <w:rFonts w:hint="eastAsia"/>
        </w:rPr>
        <w:t>和表</w:t>
      </w:r>
      <w:r w:rsidR="009F4BD8">
        <w:t>5</w:t>
      </w:r>
      <w:r w:rsidR="004B6386">
        <w:rPr>
          <w:rFonts w:hint="eastAsia"/>
        </w:rPr>
        <w:t>可以发现，</w:t>
      </w:r>
      <w:r w:rsidR="00C02914">
        <w:rPr>
          <w:rFonts w:hint="eastAsia"/>
        </w:rPr>
        <w:t>无论是否将基本面数据归一化，</w:t>
      </w:r>
      <w:r w:rsidR="007D0D0A">
        <w:rPr>
          <w:rFonts w:hint="eastAsia"/>
        </w:rPr>
        <w:t>甲醇毛利、甲醇现货价格以及甲醇产量</w:t>
      </w:r>
      <w:r w:rsidR="009A2B03">
        <w:rPr>
          <w:rFonts w:hint="eastAsia"/>
        </w:rPr>
        <w:t>这三个变量</w:t>
      </w:r>
      <w:r w:rsidR="007D0D0A">
        <w:rPr>
          <w:rFonts w:hint="eastAsia"/>
        </w:rPr>
        <w:t>对两种树模型</w:t>
      </w:r>
      <w:r w:rsidR="00C02914">
        <w:rPr>
          <w:rFonts w:hint="eastAsia"/>
        </w:rPr>
        <w:t>的重要程度都很高</w:t>
      </w:r>
      <w:r w:rsidR="00E90C65">
        <w:rPr>
          <w:rFonts w:hint="eastAsia"/>
        </w:rPr>
        <w:t>，可以认为这三个变量对预测甲醇期货价格具有重要</w:t>
      </w:r>
      <w:r w:rsidR="00CA3130">
        <w:rPr>
          <w:rFonts w:hint="eastAsia"/>
        </w:rPr>
        <w:t>作用</w:t>
      </w:r>
      <w:r w:rsidR="00C02914">
        <w:rPr>
          <w:rFonts w:hint="eastAsia"/>
        </w:rPr>
        <w:t>。</w:t>
      </w:r>
    </w:p>
    <w:p w:rsidR="00C93FD1" w:rsidRDefault="00844A91" w:rsidP="00E93EB6">
      <w:pPr>
        <w:ind w:firstLineChars="200" w:firstLine="480"/>
        <w:rPr>
          <w:rFonts w:hint="eastAsia"/>
        </w:rPr>
      </w:pPr>
      <w:r>
        <w:rPr>
          <w:rFonts w:hint="eastAsia"/>
        </w:rPr>
        <w:t>根据两种树模型回归的结果可以看出，</w:t>
      </w:r>
      <w:r w:rsidR="009B5B3C">
        <w:rPr>
          <w:rFonts w:hint="eastAsia"/>
        </w:rPr>
        <w:t>使用本文筛选基本面</w:t>
      </w:r>
      <w:r w:rsidR="00E62BC1">
        <w:rPr>
          <w:rFonts w:hint="eastAsia"/>
        </w:rPr>
        <w:t>特征变量</w:t>
      </w:r>
      <w:r w:rsidR="009B5B3C">
        <w:rPr>
          <w:rFonts w:hint="eastAsia"/>
        </w:rPr>
        <w:t>，可以将</w:t>
      </w:r>
      <w:r w:rsidR="00DE5C87">
        <w:rPr>
          <w:rFonts w:hint="eastAsia"/>
        </w:rPr>
        <w:t>甲醇期货价格</w:t>
      </w:r>
      <w:r w:rsidR="009B5B3C">
        <w:rPr>
          <w:rFonts w:hint="eastAsia"/>
        </w:rPr>
        <w:t>预测</w:t>
      </w:r>
      <w:r w:rsidR="00DE5C87">
        <w:rPr>
          <w:rFonts w:hint="eastAsia"/>
        </w:rPr>
        <w:t>模型</w:t>
      </w:r>
      <w:r w:rsidR="009B5B3C">
        <w:rPr>
          <w:rFonts w:hint="eastAsia"/>
        </w:rPr>
        <w:t>的</w:t>
      </w:r>
      <w:r w:rsidR="00C93FD1">
        <w:rPr>
          <w:rFonts w:hint="eastAsia"/>
        </w:rPr>
        <w:t>R</w:t>
      </w:r>
      <w:r w:rsidR="00C93FD1" w:rsidRPr="00E93EB6">
        <w:rPr>
          <w:vertAlign w:val="superscript"/>
        </w:rPr>
        <w:t>2</w:t>
      </w:r>
      <w:r w:rsidR="00C93FD1">
        <w:rPr>
          <w:rFonts w:hint="eastAsia"/>
        </w:rPr>
        <w:t>保持在9</w:t>
      </w:r>
      <w:r w:rsidR="00C93FD1">
        <w:t>9%</w:t>
      </w:r>
      <w:r w:rsidR="00C93FD1">
        <w:rPr>
          <w:rFonts w:hint="eastAsia"/>
        </w:rPr>
        <w:t>以上，</w:t>
      </w:r>
      <w:r w:rsidR="003A5B06">
        <w:rPr>
          <w:rFonts w:hint="eastAsia"/>
        </w:rPr>
        <w:t>能够</w:t>
      </w:r>
      <w:r w:rsidR="00C93FD1">
        <w:rPr>
          <w:rFonts w:hint="eastAsia"/>
        </w:rPr>
        <w:t>很精准地预测甲醇期货价格，具有很高的实用价值。</w:t>
      </w:r>
    </w:p>
    <w:p w:rsidR="00745E7B" w:rsidRPr="002C43D6" w:rsidRDefault="00745E7B" w:rsidP="00745E7B">
      <w:pPr>
        <w:rPr>
          <w:b/>
        </w:rPr>
      </w:pPr>
      <w:r w:rsidRPr="002C43D6">
        <w:rPr>
          <w:rFonts w:hint="eastAsia"/>
          <w:b/>
        </w:rPr>
        <w:t>五 结论与启示</w:t>
      </w:r>
    </w:p>
    <w:p w:rsidR="00745E7B" w:rsidRDefault="00745E7B" w:rsidP="00745E7B">
      <w:pPr>
        <w:ind w:firstLineChars="200" w:firstLine="480"/>
      </w:pPr>
      <w:r>
        <w:rPr>
          <w:rFonts w:hint="eastAsia"/>
        </w:rPr>
        <w:t>首先，本文借助经济学原理中的</w:t>
      </w:r>
      <w:r w:rsidR="00416456">
        <w:rPr>
          <w:rFonts w:hint="eastAsia"/>
        </w:rPr>
        <w:t>生产成本以及供需关系准则角度</w:t>
      </w:r>
      <w:r>
        <w:rPr>
          <w:rFonts w:hint="eastAsia"/>
        </w:rPr>
        <w:t>初步选取模型的备选预测变量，对数据预处理之后使用相关性分析最终选取了模型预测变量。</w:t>
      </w:r>
    </w:p>
    <w:p w:rsidR="00745E7B" w:rsidRDefault="00745E7B" w:rsidP="00745E7B">
      <w:pPr>
        <w:ind w:firstLineChars="200" w:firstLine="480"/>
      </w:pPr>
      <w:r>
        <w:rPr>
          <w:rFonts w:hint="eastAsia"/>
        </w:rPr>
        <w:t>其次，根据被预测变量甲醇期货价格，以及选取预测变量的特点选择随机森林、XGBoost回归模型。</w:t>
      </w:r>
      <w:r w:rsidR="001B2D06">
        <w:rPr>
          <w:rFonts w:hint="eastAsia"/>
        </w:rPr>
        <w:t>将预测变量以及被预测变量归一化后，</w:t>
      </w:r>
      <w:r>
        <w:rPr>
          <w:rFonts w:hint="eastAsia"/>
        </w:rPr>
        <w:t>构建对照回归模型，对两种树模型的超参数进行调优，得到最终的</w:t>
      </w:r>
      <w:r w:rsidR="002269B7">
        <w:rPr>
          <w:rFonts w:hint="eastAsia"/>
        </w:rPr>
        <w:t>两种</w:t>
      </w:r>
      <w:r>
        <w:rPr>
          <w:rFonts w:hint="eastAsia"/>
        </w:rPr>
        <w:t>回归</w:t>
      </w:r>
      <w:r w:rsidR="002269B7">
        <w:rPr>
          <w:rFonts w:hint="eastAsia"/>
        </w:rPr>
        <w:t>树</w:t>
      </w:r>
      <w:r>
        <w:rPr>
          <w:rFonts w:hint="eastAsia"/>
        </w:rPr>
        <w:t>模型。</w:t>
      </w:r>
    </w:p>
    <w:p w:rsidR="00FE4823" w:rsidRDefault="00745E7B" w:rsidP="00A37802">
      <w:pPr>
        <w:ind w:firstLineChars="200" w:firstLine="480"/>
        <w:rPr>
          <w:rFonts w:hint="eastAsia"/>
        </w:rPr>
      </w:pPr>
      <w:r>
        <w:rPr>
          <w:rFonts w:hint="eastAsia"/>
        </w:rPr>
        <w:t>最后，根据模型得到的预测结果进行对比分析。结果发现：</w:t>
      </w:r>
      <w:r w:rsidR="00ED5C5B">
        <w:rPr>
          <w:rFonts w:hint="eastAsia"/>
        </w:rPr>
        <w:t>在将数据进行归一化处理之后，两种树模型的R</w:t>
      </w:r>
      <w:r w:rsidR="00ED5C5B" w:rsidRPr="00DF68B1">
        <w:rPr>
          <w:vertAlign w:val="superscript"/>
        </w:rPr>
        <w:t>2</w:t>
      </w:r>
      <w:r w:rsidR="00ED5C5B">
        <w:rPr>
          <w:rFonts w:hint="eastAsia"/>
        </w:rPr>
        <w:t>并没有明显的变化，两者仅提高了0</w:t>
      </w:r>
      <w:r w:rsidR="00ED5C5B">
        <w:t>.1%</w:t>
      </w:r>
      <w:r w:rsidR="00ED5C5B">
        <w:rPr>
          <w:rFonts w:hint="eastAsia"/>
        </w:rPr>
        <w:t>，但模型的预测误差却变得很大，因而归一化并没有改善模型的预测精度。</w:t>
      </w:r>
      <w:r w:rsidR="00197F99">
        <w:rPr>
          <w:rFonts w:hint="eastAsia"/>
        </w:rPr>
        <w:t>甲醇毛利、甲醇现货价格、甲醇产量对模型的重要程度并没有因为对数据进行归一化处理而发生较大变化</w:t>
      </w:r>
      <w:r w:rsidR="00F4746E">
        <w:rPr>
          <w:rFonts w:hint="eastAsia"/>
        </w:rPr>
        <w:t>，可以认为这三个特征变量对甲醇期货价格预测具有重要作用。使用</w:t>
      </w:r>
      <w:r w:rsidR="00595F57">
        <w:rPr>
          <w:rFonts w:hint="eastAsia"/>
        </w:rPr>
        <w:t>本文</w:t>
      </w:r>
      <w:r w:rsidR="00F4746E">
        <w:rPr>
          <w:rFonts w:hint="eastAsia"/>
        </w:rPr>
        <w:t>筛选后的基本面特征数据，模型的预测精度可以达到9</w:t>
      </w:r>
      <w:r w:rsidR="00F4746E">
        <w:t>9%</w:t>
      </w:r>
      <w:r w:rsidR="00F4746E">
        <w:rPr>
          <w:rFonts w:hint="eastAsia"/>
        </w:rPr>
        <w:t>，能够很精准地预测甲醇期货价格，具有很</w:t>
      </w:r>
      <w:r w:rsidR="005B5260">
        <w:rPr>
          <w:rFonts w:hint="eastAsia"/>
        </w:rPr>
        <w:t>高</w:t>
      </w:r>
      <w:r w:rsidR="00F4746E">
        <w:rPr>
          <w:rFonts w:hint="eastAsia"/>
        </w:rPr>
        <w:t>的实用价值。</w:t>
      </w:r>
    </w:p>
    <w:p w:rsidR="00745E7B" w:rsidRPr="002C43D6" w:rsidRDefault="00745E7B" w:rsidP="00745E7B">
      <w:pPr>
        <w:rPr>
          <w:b/>
        </w:rPr>
      </w:pPr>
      <w:r w:rsidRPr="002C43D6">
        <w:rPr>
          <w:rFonts w:hint="eastAsia"/>
          <w:b/>
        </w:rPr>
        <w:t>参考文献</w:t>
      </w:r>
    </w:p>
    <w:p w:rsidR="00745E7B" w:rsidRPr="007C1182" w:rsidRDefault="00745E7B" w:rsidP="00745E7B">
      <w:r w:rsidRPr="001E767D">
        <w:t>[1]周亚.基于XGBoost与弹性网络回归的集成模型对上证指数日极差的预测分析[J].中国物价,2021(05):68-71.</w:t>
      </w:r>
    </w:p>
    <w:p w:rsidR="00745E7B" w:rsidRPr="001E767D" w:rsidRDefault="00745E7B" w:rsidP="00745E7B">
      <w:r w:rsidRPr="001E767D">
        <w:t>[2]李燕,何如海,廖宜静,聂雷.聚氯乙烯期货价格与现货价格传导关系实证研究[J].宿州学院学报,2013,28(01):14-18.</w:t>
      </w:r>
    </w:p>
    <w:p w:rsidR="00745E7B" w:rsidRPr="001E767D" w:rsidRDefault="00745E7B" w:rsidP="00745E7B">
      <w:r w:rsidRPr="001E767D">
        <w:t>[3]范俊明,刘洪久,胡彦蓉.基于LSTM深度学习的大豆期货价格预测[J].价格月刊,2021(02):7-15.</w:t>
      </w:r>
    </w:p>
    <w:p w:rsidR="00745E7B" w:rsidRDefault="00745E7B" w:rsidP="00745E7B">
      <w:r w:rsidRPr="001E767D">
        <w:t>[4]陈标金,王锋.宏观经济指标、技术指标与国债期货价格预测——基于随机森林机器学习的实证检验[J].统计与信息论坛,2019,34(06):29-35.</w:t>
      </w:r>
    </w:p>
    <w:p w:rsidR="00745E7B" w:rsidRPr="001E767D" w:rsidRDefault="00745E7B" w:rsidP="00745E7B">
      <w:r w:rsidRPr="00F20070">
        <w:lastRenderedPageBreak/>
        <w:t>[5]范俊明,刘洪久,胡彦蓉.基于LSTM深度学习的大豆期货价格预测[J].价格月刊,2021(02):7-15.</w:t>
      </w:r>
    </w:p>
    <w:p w:rsidR="00745E7B" w:rsidRDefault="00745E7B" w:rsidP="00745E7B">
      <w:r w:rsidRPr="001E767D">
        <w:t>[</w:t>
      </w:r>
      <w:proofErr w:type="gramStart"/>
      <w:r>
        <w:t>6</w:t>
      </w:r>
      <w:r w:rsidRPr="001E767D">
        <w:t>]</w:t>
      </w:r>
      <w:proofErr w:type="spellStart"/>
      <w:r w:rsidRPr="001E767D">
        <w:t>Liran</w:t>
      </w:r>
      <w:proofErr w:type="spellEnd"/>
      <w:proofErr w:type="gramEnd"/>
      <w:r w:rsidRPr="001E767D">
        <w:t xml:space="preserve"> </w:t>
      </w:r>
      <w:proofErr w:type="spellStart"/>
      <w:r w:rsidRPr="001E767D">
        <w:t>Einav,Jonathan</w:t>
      </w:r>
      <w:proofErr w:type="spellEnd"/>
      <w:r w:rsidRPr="001E767D">
        <w:t xml:space="preserve"> Levin. Economics in the age of big data[J]. Science,2014,346(6210).</w:t>
      </w:r>
    </w:p>
    <w:p w:rsidR="00745E7B" w:rsidRPr="001E767D" w:rsidRDefault="00745E7B" w:rsidP="00745E7B">
      <w:r w:rsidRPr="001E767D">
        <w:t>[</w:t>
      </w:r>
      <w:proofErr w:type="gramStart"/>
      <w:r>
        <w:t>7</w:t>
      </w:r>
      <w:r w:rsidRPr="001E767D">
        <w:t>]Alessandro</w:t>
      </w:r>
      <w:proofErr w:type="gramEnd"/>
      <w:r w:rsidRPr="001E767D">
        <w:t xml:space="preserve"> </w:t>
      </w:r>
      <w:proofErr w:type="spellStart"/>
      <w:r w:rsidRPr="001E767D">
        <w:t>Vespignani</w:t>
      </w:r>
      <w:proofErr w:type="spellEnd"/>
      <w:r w:rsidRPr="001E767D">
        <w:t xml:space="preserve">. Predicting the Behavior of Techno-Social Systems[J]. Science,2009,325(5939). </w:t>
      </w:r>
    </w:p>
    <w:p w:rsidR="00745E7B" w:rsidRDefault="00745E7B" w:rsidP="00745E7B">
      <w:r w:rsidRPr="001E767D">
        <w:t>[</w:t>
      </w:r>
      <w:r>
        <w:t>8</w:t>
      </w:r>
      <w:r w:rsidRPr="001E767D">
        <w:t>]</w:t>
      </w:r>
      <w:r w:rsidRPr="001E767D">
        <w:rPr>
          <w:rFonts w:hint="eastAsia"/>
        </w:rPr>
        <w:t>李航</w:t>
      </w:r>
      <w:r w:rsidRPr="001E767D">
        <w:t xml:space="preserve">. </w:t>
      </w:r>
      <w:r w:rsidRPr="001E767D">
        <w:rPr>
          <w:rFonts w:hint="eastAsia"/>
        </w:rPr>
        <w:t>统计学习方法</w:t>
      </w:r>
      <w:r w:rsidRPr="001E767D">
        <w:t>[M].</w:t>
      </w:r>
      <w:r w:rsidRPr="001E767D">
        <w:rPr>
          <w:rFonts w:hint="eastAsia"/>
        </w:rPr>
        <w:t>清华大学</w:t>
      </w:r>
      <w:r w:rsidRPr="001E767D">
        <w:t>出版社:, 201905.403.</w:t>
      </w:r>
    </w:p>
    <w:p w:rsidR="00745E7B" w:rsidRPr="001E767D" w:rsidRDefault="00745E7B" w:rsidP="00745E7B">
      <w:r w:rsidRPr="001E767D">
        <w:rPr>
          <w:rFonts w:hint="eastAsia"/>
        </w:rPr>
        <w:t>[</w:t>
      </w:r>
      <w:proofErr w:type="gramStart"/>
      <w:r>
        <w:t>9</w:t>
      </w:r>
      <w:r w:rsidRPr="001E767D">
        <w:t>]</w:t>
      </w:r>
      <w:proofErr w:type="spellStart"/>
      <w:r w:rsidRPr="001E767D">
        <w:t>Breiman</w:t>
      </w:r>
      <w:proofErr w:type="spellEnd"/>
      <w:proofErr w:type="gramEnd"/>
      <w:r w:rsidRPr="001E767D">
        <w:t xml:space="preserve">, L. Random Forests. Machine Learning 45, 5–32 (2001). </w:t>
      </w:r>
    </w:p>
    <w:p w:rsidR="00745E7B" w:rsidRPr="001E767D" w:rsidRDefault="00745E7B" w:rsidP="00745E7B">
      <w:r w:rsidRPr="001E767D">
        <w:t>[</w:t>
      </w:r>
      <w:proofErr w:type="gramStart"/>
      <w:r>
        <w:t>10</w:t>
      </w:r>
      <w:r w:rsidRPr="001E767D">
        <w:t>]</w:t>
      </w:r>
      <w:proofErr w:type="spellStart"/>
      <w:r w:rsidRPr="001E767D">
        <w:t>Sendhil</w:t>
      </w:r>
      <w:proofErr w:type="spellEnd"/>
      <w:proofErr w:type="gramEnd"/>
      <w:r w:rsidRPr="001E767D">
        <w:t xml:space="preserve"> </w:t>
      </w:r>
      <w:proofErr w:type="spellStart"/>
      <w:r w:rsidRPr="001E767D">
        <w:t>Mullainathan,Jann</w:t>
      </w:r>
      <w:proofErr w:type="spellEnd"/>
      <w:r w:rsidRPr="001E767D">
        <w:t xml:space="preserve"> </w:t>
      </w:r>
      <w:proofErr w:type="spellStart"/>
      <w:r w:rsidRPr="001E767D">
        <w:t>Spiess</w:t>
      </w:r>
      <w:proofErr w:type="spellEnd"/>
      <w:r w:rsidRPr="001E767D">
        <w:t>. Machine Learning: An Applied Econometric Approach[J]. Journal of Economic Perspectives,2017,31(2).</w:t>
      </w:r>
    </w:p>
    <w:p w:rsidR="00745E7B" w:rsidRDefault="00745E7B" w:rsidP="00745E7B">
      <w:r w:rsidRPr="00E60230">
        <w:t>[</w:t>
      </w:r>
      <w:proofErr w:type="gramStart"/>
      <w:r w:rsidRPr="00E60230">
        <w:t>11]Pérez</w:t>
      </w:r>
      <w:proofErr w:type="gramEnd"/>
      <w:r w:rsidRPr="00E60230">
        <w:t>-</w:t>
      </w:r>
      <w:proofErr w:type="spellStart"/>
      <w:r w:rsidRPr="00E60230">
        <w:t>Rave,Correa</w:t>
      </w:r>
      <w:proofErr w:type="spellEnd"/>
      <w:r w:rsidRPr="00E60230">
        <w:t>-</w:t>
      </w:r>
      <w:proofErr w:type="spellStart"/>
      <w:r w:rsidRPr="00E60230">
        <w:t>Morales,González-Echavarría</w:t>
      </w:r>
      <w:proofErr w:type="spellEnd"/>
      <w:r w:rsidRPr="00E60230">
        <w:t xml:space="preserve">. </w:t>
      </w:r>
      <w:r w:rsidRPr="001E767D">
        <w:t>A machine learning approach to big data regression analysis of real estate prices for inferential and predictive purposes[J]. Journal of Property Research,2019,36(1).</w:t>
      </w:r>
    </w:p>
    <w:p w:rsidR="00745E7B" w:rsidRDefault="00745E7B" w:rsidP="00745E7B">
      <w:r w:rsidRPr="00E60230">
        <w:t>[</w:t>
      </w:r>
      <w:proofErr w:type="gramStart"/>
      <w:r w:rsidRPr="00E60230">
        <w:t>12]Lucas</w:t>
      </w:r>
      <w:proofErr w:type="gramEnd"/>
      <w:r w:rsidRPr="00E60230">
        <w:t xml:space="preserve"> </w:t>
      </w:r>
      <w:proofErr w:type="spellStart"/>
      <w:r w:rsidRPr="00E60230">
        <w:t>Alexandre,Pegios</w:t>
      </w:r>
      <w:proofErr w:type="spellEnd"/>
      <w:r w:rsidRPr="00E60230">
        <w:t xml:space="preserve"> </w:t>
      </w:r>
      <w:proofErr w:type="spellStart"/>
      <w:r w:rsidRPr="00E60230">
        <w:t>Konstantinos,Kotsakis</w:t>
      </w:r>
      <w:proofErr w:type="spellEnd"/>
      <w:r w:rsidRPr="00E60230">
        <w:t xml:space="preserve"> </w:t>
      </w:r>
      <w:proofErr w:type="spellStart"/>
      <w:r w:rsidRPr="00E60230">
        <w:t>Evangelos,Clarke</w:t>
      </w:r>
      <w:proofErr w:type="spellEnd"/>
      <w:r w:rsidRPr="00E60230">
        <w:t xml:space="preserve"> Dan. </w:t>
      </w:r>
      <w:r w:rsidRPr="001E767D">
        <w:t>Price Forecasting for the Balancing Energy Market Using Machine-Learning Regression[J]. Energies,2020,13(20).</w:t>
      </w:r>
    </w:p>
    <w:p w:rsidR="00745E7B" w:rsidRDefault="00745E7B" w:rsidP="00745E7B">
      <w:r w:rsidRPr="001E767D">
        <w:t>[1</w:t>
      </w:r>
      <w:r>
        <w:t>3</w:t>
      </w:r>
      <w:r w:rsidRPr="001E767D">
        <w:t>]马郑玮,琚心然,姚瑜,冯异立.基于产业链视角对石油期货与PTA期货价格关联性的分析[J/OL].现代化工:1-16[2021-06-29].http://kns.cnki.net/kcms/detail/11.2172.tq.20200910.0845.005.html.</w:t>
      </w:r>
    </w:p>
    <w:p w:rsidR="008C5BEC" w:rsidRDefault="008C5BEC" w:rsidP="008C5BEC">
      <w:r w:rsidRPr="008C5BEC">
        <w:t>[</w:t>
      </w:r>
      <w:r w:rsidRPr="008C5BEC">
        <w:t>1</w:t>
      </w:r>
      <w:r w:rsidR="00F62159">
        <w:t>4</w:t>
      </w:r>
      <w:r w:rsidRPr="008C5BEC">
        <w:t>]方匡南,吴见彬,朱建平,谢邦昌.随机森林方法研究综述[J].统计与信息论坛,2011,26(03):32-38.</w:t>
      </w:r>
    </w:p>
    <w:p w:rsidR="00A74045" w:rsidRDefault="0004657B" w:rsidP="00745E7B">
      <w:pPr>
        <w:rPr>
          <w:rFonts w:hint="eastAsia"/>
        </w:rPr>
      </w:pPr>
      <w:r w:rsidRPr="008C5BEC">
        <w:t>[1</w:t>
      </w:r>
      <w:r w:rsidR="00F62159">
        <w:t>5</w:t>
      </w:r>
      <w:r w:rsidRPr="008C5BEC">
        <w:t>]</w:t>
      </w:r>
      <w:r w:rsidRPr="00832F79">
        <w:t>Q Chen. XGBoost: A scalable tree boosting system. The 22nd ACM SIGKDD International Conference ACM, 2016.</w:t>
      </w:r>
    </w:p>
    <w:p w:rsidR="00445968" w:rsidRDefault="00445968" w:rsidP="00445968">
      <w:r w:rsidRPr="00445968">
        <w:t>[1</w:t>
      </w:r>
      <w:r w:rsidR="00F62159">
        <w:t>6</w:t>
      </w:r>
      <w:r w:rsidRPr="00445968">
        <w:t>]周亚.基于XGBoost与弹性网络回归的集成模型对上证指数日极差的预测分析[J].中国物价,2021(05):68-71.</w:t>
      </w:r>
    </w:p>
    <w:p w:rsidR="00831498" w:rsidRPr="00445968" w:rsidRDefault="00831498" w:rsidP="00445968">
      <w:pPr>
        <w:rPr>
          <w:rFonts w:hint="eastAsia"/>
        </w:rPr>
      </w:pPr>
    </w:p>
    <w:sectPr w:rsidR="00831498" w:rsidRPr="00445968" w:rsidSect="000039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D03E6"/>
    <w:multiLevelType w:val="hybridMultilevel"/>
    <w:tmpl w:val="E0A4ABE4"/>
    <w:lvl w:ilvl="0" w:tplc="8DBCE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4849D5"/>
    <w:multiLevelType w:val="hybridMultilevel"/>
    <w:tmpl w:val="61F8F6BC"/>
    <w:lvl w:ilvl="0" w:tplc="FF305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94"/>
    <w:rsid w:val="00002230"/>
    <w:rsid w:val="00003970"/>
    <w:rsid w:val="0000540F"/>
    <w:rsid w:val="00013FAA"/>
    <w:rsid w:val="0002296B"/>
    <w:rsid w:val="0002504F"/>
    <w:rsid w:val="0004657B"/>
    <w:rsid w:val="00066644"/>
    <w:rsid w:val="000672CF"/>
    <w:rsid w:val="00067D61"/>
    <w:rsid w:val="00070231"/>
    <w:rsid w:val="0008672F"/>
    <w:rsid w:val="000A6AA8"/>
    <w:rsid w:val="000B382E"/>
    <w:rsid w:val="000B521B"/>
    <w:rsid w:val="000C4F5A"/>
    <w:rsid w:val="000D1CC6"/>
    <w:rsid w:val="000D3230"/>
    <w:rsid w:val="000D5DAF"/>
    <w:rsid w:val="00131A98"/>
    <w:rsid w:val="00143CD7"/>
    <w:rsid w:val="0015073F"/>
    <w:rsid w:val="00155A36"/>
    <w:rsid w:val="00166361"/>
    <w:rsid w:val="00170650"/>
    <w:rsid w:val="0017397A"/>
    <w:rsid w:val="0019056B"/>
    <w:rsid w:val="00196718"/>
    <w:rsid w:val="001969ED"/>
    <w:rsid w:val="00197F99"/>
    <w:rsid w:val="001A7B65"/>
    <w:rsid w:val="001B2D06"/>
    <w:rsid w:val="001B58E0"/>
    <w:rsid w:val="001D1C0C"/>
    <w:rsid w:val="001F0652"/>
    <w:rsid w:val="00222A0E"/>
    <w:rsid w:val="00223250"/>
    <w:rsid w:val="002269B7"/>
    <w:rsid w:val="002310DD"/>
    <w:rsid w:val="0024156A"/>
    <w:rsid w:val="00256032"/>
    <w:rsid w:val="002604C7"/>
    <w:rsid w:val="00262438"/>
    <w:rsid w:val="002921FC"/>
    <w:rsid w:val="00294FFF"/>
    <w:rsid w:val="002A25CD"/>
    <w:rsid w:val="002B2000"/>
    <w:rsid w:val="002B4003"/>
    <w:rsid w:val="002B44E2"/>
    <w:rsid w:val="002B6268"/>
    <w:rsid w:val="002C43D6"/>
    <w:rsid w:val="002D19D3"/>
    <w:rsid w:val="002E3AC0"/>
    <w:rsid w:val="003139CF"/>
    <w:rsid w:val="00335544"/>
    <w:rsid w:val="003523D3"/>
    <w:rsid w:val="00385AA6"/>
    <w:rsid w:val="003A5B06"/>
    <w:rsid w:val="003C3B5B"/>
    <w:rsid w:val="00416456"/>
    <w:rsid w:val="00417B8E"/>
    <w:rsid w:val="0042707B"/>
    <w:rsid w:val="0043043C"/>
    <w:rsid w:val="00445968"/>
    <w:rsid w:val="0046406D"/>
    <w:rsid w:val="004725C6"/>
    <w:rsid w:val="00476C36"/>
    <w:rsid w:val="00495E3D"/>
    <w:rsid w:val="004A0707"/>
    <w:rsid w:val="004A3BE0"/>
    <w:rsid w:val="004A59ED"/>
    <w:rsid w:val="004B1F1D"/>
    <w:rsid w:val="004B2DC2"/>
    <w:rsid w:val="004B6386"/>
    <w:rsid w:val="004B7BB8"/>
    <w:rsid w:val="004C7063"/>
    <w:rsid w:val="004C7869"/>
    <w:rsid w:val="00543378"/>
    <w:rsid w:val="00561F2A"/>
    <w:rsid w:val="0056743D"/>
    <w:rsid w:val="00577178"/>
    <w:rsid w:val="0058377E"/>
    <w:rsid w:val="00585AD3"/>
    <w:rsid w:val="005918CF"/>
    <w:rsid w:val="00595F57"/>
    <w:rsid w:val="00597922"/>
    <w:rsid w:val="005B5260"/>
    <w:rsid w:val="005D7B7D"/>
    <w:rsid w:val="005E121A"/>
    <w:rsid w:val="005F19DD"/>
    <w:rsid w:val="00601EA0"/>
    <w:rsid w:val="006230B1"/>
    <w:rsid w:val="0062321F"/>
    <w:rsid w:val="00646F7F"/>
    <w:rsid w:val="00661B00"/>
    <w:rsid w:val="00680B36"/>
    <w:rsid w:val="00696D02"/>
    <w:rsid w:val="006B2D45"/>
    <w:rsid w:val="006B4BA9"/>
    <w:rsid w:val="006C4520"/>
    <w:rsid w:val="006D281C"/>
    <w:rsid w:val="006D416E"/>
    <w:rsid w:val="006D7F5F"/>
    <w:rsid w:val="006E0A62"/>
    <w:rsid w:val="006F17A9"/>
    <w:rsid w:val="006F7C88"/>
    <w:rsid w:val="00700A79"/>
    <w:rsid w:val="0070388E"/>
    <w:rsid w:val="00704D5E"/>
    <w:rsid w:val="007073A0"/>
    <w:rsid w:val="00720C04"/>
    <w:rsid w:val="00720D29"/>
    <w:rsid w:val="00726AAF"/>
    <w:rsid w:val="007356C8"/>
    <w:rsid w:val="0073584B"/>
    <w:rsid w:val="00741764"/>
    <w:rsid w:val="00745E7B"/>
    <w:rsid w:val="00750691"/>
    <w:rsid w:val="00753D93"/>
    <w:rsid w:val="007721F7"/>
    <w:rsid w:val="0077679B"/>
    <w:rsid w:val="0078356B"/>
    <w:rsid w:val="00791878"/>
    <w:rsid w:val="007A1F02"/>
    <w:rsid w:val="007A3901"/>
    <w:rsid w:val="007A5DFD"/>
    <w:rsid w:val="007B5BF1"/>
    <w:rsid w:val="007D0D0A"/>
    <w:rsid w:val="007D0D1F"/>
    <w:rsid w:val="007D29D5"/>
    <w:rsid w:val="007F641E"/>
    <w:rsid w:val="00831498"/>
    <w:rsid w:val="00832F79"/>
    <w:rsid w:val="00844A91"/>
    <w:rsid w:val="008457B2"/>
    <w:rsid w:val="008672E7"/>
    <w:rsid w:val="008733DB"/>
    <w:rsid w:val="00882253"/>
    <w:rsid w:val="00882A77"/>
    <w:rsid w:val="00893B13"/>
    <w:rsid w:val="00895C2F"/>
    <w:rsid w:val="008A02AD"/>
    <w:rsid w:val="008A7ED4"/>
    <w:rsid w:val="008B0E6F"/>
    <w:rsid w:val="008B41C4"/>
    <w:rsid w:val="008B4986"/>
    <w:rsid w:val="008C5BEC"/>
    <w:rsid w:val="008D3431"/>
    <w:rsid w:val="00906892"/>
    <w:rsid w:val="009070D5"/>
    <w:rsid w:val="00907443"/>
    <w:rsid w:val="00921942"/>
    <w:rsid w:val="00924082"/>
    <w:rsid w:val="0093153E"/>
    <w:rsid w:val="00943273"/>
    <w:rsid w:val="00954B2C"/>
    <w:rsid w:val="009553EC"/>
    <w:rsid w:val="00956F7E"/>
    <w:rsid w:val="00963630"/>
    <w:rsid w:val="00996D68"/>
    <w:rsid w:val="009A2B03"/>
    <w:rsid w:val="009B5B3C"/>
    <w:rsid w:val="009D64FD"/>
    <w:rsid w:val="009E12E9"/>
    <w:rsid w:val="009F036B"/>
    <w:rsid w:val="009F4BD8"/>
    <w:rsid w:val="00A02A90"/>
    <w:rsid w:val="00A03994"/>
    <w:rsid w:val="00A2543E"/>
    <w:rsid w:val="00A37802"/>
    <w:rsid w:val="00A51B88"/>
    <w:rsid w:val="00A66CD9"/>
    <w:rsid w:val="00A74045"/>
    <w:rsid w:val="00A761AC"/>
    <w:rsid w:val="00A95763"/>
    <w:rsid w:val="00AA21BC"/>
    <w:rsid w:val="00AA3A25"/>
    <w:rsid w:val="00AB2F7D"/>
    <w:rsid w:val="00AB4E59"/>
    <w:rsid w:val="00AE1975"/>
    <w:rsid w:val="00AE3180"/>
    <w:rsid w:val="00B27197"/>
    <w:rsid w:val="00B34B79"/>
    <w:rsid w:val="00B40C44"/>
    <w:rsid w:val="00B45B80"/>
    <w:rsid w:val="00B53469"/>
    <w:rsid w:val="00B77739"/>
    <w:rsid w:val="00BA3655"/>
    <w:rsid w:val="00BB02CA"/>
    <w:rsid w:val="00BB3253"/>
    <w:rsid w:val="00BB7844"/>
    <w:rsid w:val="00BD136A"/>
    <w:rsid w:val="00BD344D"/>
    <w:rsid w:val="00BD73D6"/>
    <w:rsid w:val="00BE2CA3"/>
    <w:rsid w:val="00BF6007"/>
    <w:rsid w:val="00C02914"/>
    <w:rsid w:val="00C06608"/>
    <w:rsid w:val="00C201A9"/>
    <w:rsid w:val="00C229F0"/>
    <w:rsid w:val="00C31192"/>
    <w:rsid w:val="00C33C78"/>
    <w:rsid w:val="00C36911"/>
    <w:rsid w:val="00C370A3"/>
    <w:rsid w:val="00C377DE"/>
    <w:rsid w:val="00C45489"/>
    <w:rsid w:val="00C46E5E"/>
    <w:rsid w:val="00C53873"/>
    <w:rsid w:val="00C637BB"/>
    <w:rsid w:val="00C93FD1"/>
    <w:rsid w:val="00CA3130"/>
    <w:rsid w:val="00CB3275"/>
    <w:rsid w:val="00CD1357"/>
    <w:rsid w:val="00CE669E"/>
    <w:rsid w:val="00CF5C58"/>
    <w:rsid w:val="00CF7879"/>
    <w:rsid w:val="00D112E1"/>
    <w:rsid w:val="00D161DF"/>
    <w:rsid w:val="00D242B8"/>
    <w:rsid w:val="00D325E7"/>
    <w:rsid w:val="00D32FE3"/>
    <w:rsid w:val="00D46FD2"/>
    <w:rsid w:val="00D750DE"/>
    <w:rsid w:val="00D75B1D"/>
    <w:rsid w:val="00D80CC9"/>
    <w:rsid w:val="00D8798F"/>
    <w:rsid w:val="00DA48BE"/>
    <w:rsid w:val="00DC3496"/>
    <w:rsid w:val="00DC43AF"/>
    <w:rsid w:val="00DC794F"/>
    <w:rsid w:val="00DD7D86"/>
    <w:rsid w:val="00DE5C87"/>
    <w:rsid w:val="00DF49D1"/>
    <w:rsid w:val="00DF68B1"/>
    <w:rsid w:val="00E014C4"/>
    <w:rsid w:val="00E03707"/>
    <w:rsid w:val="00E041A6"/>
    <w:rsid w:val="00E27FAD"/>
    <w:rsid w:val="00E52925"/>
    <w:rsid w:val="00E60230"/>
    <w:rsid w:val="00E62BC1"/>
    <w:rsid w:val="00E90C65"/>
    <w:rsid w:val="00E93EB6"/>
    <w:rsid w:val="00EA4D70"/>
    <w:rsid w:val="00EA6451"/>
    <w:rsid w:val="00EB0E7E"/>
    <w:rsid w:val="00ED5C5B"/>
    <w:rsid w:val="00EF4BDC"/>
    <w:rsid w:val="00F11D9F"/>
    <w:rsid w:val="00F2278C"/>
    <w:rsid w:val="00F43040"/>
    <w:rsid w:val="00F4746E"/>
    <w:rsid w:val="00F55059"/>
    <w:rsid w:val="00F62159"/>
    <w:rsid w:val="00F72A29"/>
    <w:rsid w:val="00FB7985"/>
    <w:rsid w:val="00FD3858"/>
    <w:rsid w:val="00FE4823"/>
    <w:rsid w:val="00FE4D59"/>
    <w:rsid w:val="00FF0E4B"/>
    <w:rsid w:val="00FF0FBF"/>
    <w:rsid w:val="00FF1822"/>
    <w:rsid w:val="00FF3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653832"/>
  <w15:chartTrackingRefBased/>
  <w15:docId w15:val="{61B3A32F-FCE0-0E48-AEDC-8C9350B1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5BEC"/>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F79"/>
    <w:pPr>
      <w:widowControl w:val="0"/>
      <w:ind w:firstLineChars="200" w:firstLine="420"/>
      <w:jc w:val="both"/>
    </w:pPr>
    <w:rPr>
      <w:rFonts w:asciiTheme="minorHAnsi" w:eastAsiaTheme="minorEastAsia" w:hAnsiTheme="minorHAnsi" w:cstheme="minorBidi"/>
      <w:kern w:val="2"/>
      <w:sz w:val="21"/>
    </w:rPr>
  </w:style>
  <w:style w:type="character" w:styleId="a4">
    <w:name w:val="Placeholder Text"/>
    <w:basedOn w:val="a0"/>
    <w:uiPriority w:val="99"/>
    <w:semiHidden/>
    <w:rsid w:val="003139CF"/>
    <w:rPr>
      <w:color w:val="808080"/>
    </w:rPr>
  </w:style>
  <w:style w:type="table" w:styleId="a5">
    <w:name w:val="Table Grid"/>
    <w:basedOn w:val="a1"/>
    <w:uiPriority w:val="39"/>
    <w:rsid w:val="00BE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1808">
      <w:bodyDiv w:val="1"/>
      <w:marLeft w:val="0"/>
      <w:marRight w:val="0"/>
      <w:marTop w:val="0"/>
      <w:marBottom w:val="0"/>
      <w:divBdr>
        <w:top w:val="none" w:sz="0" w:space="0" w:color="auto"/>
        <w:left w:val="none" w:sz="0" w:space="0" w:color="auto"/>
        <w:bottom w:val="none" w:sz="0" w:space="0" w:color="auto"/>
        <w:right w:val="none" w:sz="0" w:space="0" w:color="auto"/>
      </w:divBdr>
    </w:div>
    <w:div w:id="321004031">
      <w:bodyDiv w:val="1"/>
      <w:marLeft w:val="0"/>
      <w:marRight w:val="0"/>
      <w:marTop w:val="0"/>
      <w:marBottom w:val="0"/>
      <w:divBdr>
        <w:top w:val="none" w:sz="0" w:space="0" w:color="auto"/>
        <w:left w:val="none" w:sz="0" w:space="0" w:color="auto"/>
        <w:bottom w:val="none" w:sz="0" w:space="0" w:color="auto"/>
        <w:right w:val="none" w:sz="0" w:space="0" w:color="auto"/>
      </w:divBdr>
    </w:div>
    <w:div w:id="669406273">
      <w:bodyDiv w:val="1"/>
      <w:marLeft w:val="0"/>
      <w:marRight w:val="0"/>
      <w:marTop w:val="0"/>
      <w:marBottom w:val="0"/>
      <w:divBdr>
        <w:top w:val="none" w:sz="0" w:space="0" w:color="auto"/>
        <w:left w:val="none" w:sz="0" w:space="0" w:color="auto"/>
        <w:bottom w:val="none" w:sz="0" w:space="0" w:color="auto"/>
        <w:right w:val="none" w:sz="0" w:space="0" w:color="auto"/>
      </w:divBdr>
    </w:div>
    <w:div w:id="996033617">
      <w:bodyDiv w:val="1"/>
      <w:marLeft w:val="0"/>
      <w:marRight w:val="0"/>
      <w:marTop w:val="0"/>
      <w:marBottom w:val="0"/>
      <w:divBdr>
        <w:top w:val="none" w:sz="0" w:space="0" w:color="auto"/>
        <w:left w:val="none" w:sz="0" w:space="0" w:color="auto"/>
        <w:bottom w:val="none" w:sz="0" w:space="0" w:color="auto"/>
        <w:right w:val="none" w:sz="0" w:space="0" w:color="auto"/>
      </w:divBdr>
    </w:div>
    <w:div w:id="1059130643">
      <w:bodyDiv w:val="1"/>
      <w:marLeft w:val="0"/>
      <w:marRight w:val="0"/>
      <w:marTop w:val="0"/>
      <w:marBottom w:val="0"/>
      <w:divBdr>
        <w:top w:val="none" w:sz="0" w:space="0" w:color="auto"/>
        <w:left w:val="none" w:sz="0" w:space="0" w:color="auto"/>
        <w:bottom w:val="none" w:sz="0" w:space="0" w:color="auto"/>
        <w:right w:val="none" w:sz="0" w:space="0" w:color="auto"/>
      </w:divBdr>
    </w:div>
    <w:div w:id="1118836537">
      <w:bodyDiv w:val="1"/>
      <w:marLeft w:val="0"/>
      <w:marRight w:val="0"/>
      <w:marTop w:val="0"/>
      <w:marBottom w:val="0"/>
      <w:divBdr>
        <w:top w:val="none" w:sz="0" w:space="0" w:color="auto"/>
        <w:left w:val="none" w:sz="0" w:space="0" w:color="auto"/>
        <w:bottom w:val="none" w:sz="0" w:space="0" w:color="auto"/>
        <w:right w:val="none" w:sz="0" w:space="0" w:color="auto"/>
      </w:divBdr>
      <w:divsChild>
        <w:div w:id="872814051">
          <w:marLeft w:val="0"/>
          <w:marRight w:val="0"/>
          <w:marTop w:val="0"/>
          <w:marBottom w:val="0"/>
          <w:divBdr>
            <w:top w:val="none" w:sz="0" w:space="0" w:color="auto"/>
            <w:left w:val="none" w:sz="0" w:space="0" w:color="auto"/>
            <w:bottom w:val="none" w:sz="0" w:space="0" w:color="auto"/>
            <w:right w:val="none" w:sz="0" w:space="0" w:color="auto"/>
          </w:divBdr>
          <w:divsChild>
            <w:div w:id="147020050">
              <w:marLeft w:val="0"/>
              <w:marRight w:val="0"/>
              <w:marTop w:val="0"/>
              <w:marBottom w:val="0"/>
              <w:divBdr>
                <w:top w:val="none" w:sz="0" w:space="0" w:color="auto"/>
                <w:left w:val="none" w:sz="0" w:space="0" w:color="auto"/>
                <w:bottom w:val="none" w:sz="0" w:space="0" w:color="auto"/>
                <w:right w:val="none" w:sz="0" w:space="0" w:color="auto"/>
              </w:divBdr>
              <w:divsChild>
                <w:div w:id="16823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7182">
      <w:bodyDiv w:val="1"/>
      <w:marLeft w:val="0"/>
      <w:marRight w:val="0"/>
      <w:marTop w:val="0"/>
      <w:marBottom w:val="0"/>
      <w:divBdr>
        <w:top w:val="none" w:sz="0" w:space="0" w:color="auto"/>
        <w:left w:val="none" w:sz="0" w:space="0" w:color="auto"/>
        <w:bottom w:val="none" w:sz="0" w:space="0" w:color="auto"/>
        <w:right w:val="none" w:sz="0" w:space="0" w:color="auto"/>
      </w:divBdr>
      <w:divsChild>
        <w:div w:id="77138122">
          <w:marLeft w:val="0"/>
          <w:marRight w:val="0"/>
          <w:marTop w:val="0"/>
          <w:marBottom w:val="0"/>
          <w:divBdr>
            <w:top w:val="none" w:sz="0" w:space="0" w:color="auto"/>
            <w:left w:val="none" w:sz="0" w:space="0" w:color="auto"/>
            <w:bottom w:val="none" w:sz="0" w:space="0" w:color="auto"/>
            <w:right w:val="none" w:sz="0" w:space="0" w:color="auto"/>
          </w:divBdr>
          <w:divsChild>
            <w:div w:id="810560051">
              <w:marLeft w:val="0"/>
              <w:marRight w:val="0"/>
              <w:marTop w:val="0"/>
              <w:marBottom w:val="0"/>
              <w:divBdr>
                <w:top w:val="none" w:sz="0" w:space="0" w:color="auto"/>
                <w:left w:val="none" w:sz="0" w:space="0" w:color="auto"/>
                <w:bottom w:val="none" w:sz="0" w:space="0" w:color="auto"/>
                <w:right w:val="none" w:sz="0" w:space="0" w:color="auto"/>
              </w:divBdr>
              <w:divsChild>
                <w:div w:id="18302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6759">
      <w:bodyDiv w:val="1"/>
      <w:marLeft w:val="0"/>
      <w:marRight w:val="0"/>
      <w:marTop w:val="0"/>
      <w:marBottom w:val="0"/>
      <w:divBdr>
        <w:top w:val="none" w:sz="0" w:space="0" w:color="auto"/>
        <w:left w:val="none" w:sz="0" w:space="0" w:color="auto"/>
        <w:bottom w:val="none" w:sz="0" w:space="0" w:color="auto"/>
        <w:right w:val="none" w:sz="0" w:space="0" w:color="auto"/>
      </w:divBdr>
    </w:div>
    <w:div w:id="2118598962">
      <w:bodyDiv w:val="1"/>
      <w:marLeft w:val="0"/>
      <w:marRight w:val="0"/>
      <w:marTop w:val="0"/>
      <w:marBottom w:val="0"/>
      <w:divBdr>
        <w:top w:val="none" w:sz="0" w:space="0" w:color="auto"/>
        <w:left w:val="none" w:sz="0" w:space="0" w:color="auto"/>
        <w:bottom w:val="none" w:sz="0" w:space="0" w:color="auto"/>
        <w:right w:val="none" w:sz="0" w:space="0" w:color="auto"/>
      </w:divBdr>
    </w:div>
    <w:div w:id="2142577547">
      <w:bodyDiv w:val="1"/>
      <w:marLeft w:val="0"/>
      <w:marRight w:val="0"/>
      <w:marTop w:val="0"/>
      <w:marBottom w:val="0"/>
      <w:divBdr>
        <w:top w:val="none" w:sz="0" w:space="0" w:color="auto"/>
        <w:left w:val="none" w:sz="0" w:space="0" w:color="auto"/>
        <w:bottom w:val="none" w:sz="0" w:space="0" w:color="auto"/>
        <w:right w:val="none" w:sz="0" w:space="0" w:color="auto"/>
      </w:divBdr>
      <w:divsChild>
        <w:div w:id="1926723095">
          <w:marLeft w:val="0"/>
          <w:marRight w:val="0"/>
          <w:marTop w:val="0"/>
          <w:marBottom w:val="0"/>
          <w:divBdr>
            <w:top w:val="none" w:sz="0" w:space="0" w:color="auto"/>
            <w:left w:val="none" w:sz="0" w:space="0" w:color="auto"/>
            <w:bottom w:val="none" w:sz="0" w:space="0" w:color="auto"/>
            <w:right w:val="none" w:sz="0" w:space="0" w:color="auto"/>
          </w:divBdr>
          <w:divsChild>
            <w:div w:id="2068870622">
              <w:marLeft w:val="0"/>
              <w:marRight w:val="0"/>
              <w:marTop w:val="0"/>
              <w:marBottom w:val="0"/>
              <w:divBdr>
                <w:top w:val="none" w:sz="0" w:space="0" w:color="auto"/>
                <w:left w:val="none" w:sz="0" w:space="0" w:color="auto"/>
                <w:bottom w:val="none" w:sz="0" w:space="0" w:color="auto"/>
                <w:right w:val="none" w:sz="0" w:space="0" w:color="auto"/>
              </w:divBdr>
              <w:divsChild>
                <w:div w:id="11581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956</cp:revision>
  <dcterms:created xsi:type="dcterms:W3CDTF">2021-07-02T06:45:00Z</dcterms:created>
  <dcterms:modified xsi:type="dcterms:W3CDTF">2021-07-02T15:42:00Z</dcterms:modified>
</cp:coreProperties>
</file>