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98A" w:rsidRDefault="00E2098A">
      <w:r>
        <w:rPr>
          <w:rFonts w:hint="eastAsia"/>
        </w:rPr>
        <w:t>目前整体论文的思路已经出来了，接下来的工作就是对论文的整体进行一个语言的润色</w:t>
      </w:r>
      <w:r w:rsidR="00A9310F">
        <w:rPr>
          <w:rFonts w:hint="eastAsia"/>
        </w:rPr>
        <w:t>，增删改查</w:t>
      </w:r>
    </w:p>
    <w:p w:rsidR="00E2098A" w:rsidRDefault="00B52A08">
      <w:r>
        <w:rPr>
          <w:rFonts w:hint="eastAsia"/>
        </w:rPr>
        <w:t>题目</w:t>
      </w:r>
    </w:p>
    <w:p w:rsidR="00B52A08" w:rsidRDefault="00B52A08">
      <w:r>
        <w:rPr>
          <w:rFonts w:hint="eastAsia"/>
        </w:rPr>
        <w:t>作者</w:t>
      </w:r>
    </w:p>
    <w:p w:rsidR="002D3F96" w:rsidRDefault="002D3F96">
      <w:r>
        <w:rPr>
          <w:rFonts w:hint="eastAsia"/>
        </w:rPr>
        <w:t>摘要：</w:t>
      </w:r>
      <w:r w:rsidR="00944740">
        <w:rPr>
          <w:rFonts w:hint="eastAsia"/>
        </w:rPr>
        <w:t>以筛选的1</w:t>
      </w:r>
      <w:r w:rsidR="00944740">
        <w:t>6</w:t>
      </w:r>
      <w:r w:rsidR="00944740">
        <w:rPr>
          <w:rFonts w:hint="eastAsia"/>
        </w:rPr>
        <w:t>个基本面</w:t>
      </w:r>
      <w:r w:rsidR="00CF3254">
        <w:rPr>
          <w:rFonts w:hint="eastAsia"/>
        </w:rPr>
        <w:t>特征</w:t>
      </w:r>
      <w:r w:rsidR="00183957">
        <w:rPr>
          <w:rFonts w:hint="eastAsia"/>
        </w:rPr>
        <w:t>变量</w:t>
      </w:r>
      <w:r w:rsidR="00944740">
        <w:rPr>
          <w:rFonts w:hint="eastAsia"/>
        </w:rPr>
        <w:t>作为甲醇期货价格预测变量，</w:t>
      </w:r>
      <w:r w:rsidR="00A302C2">
        <w:rPr>
          <w:rFonts w:hint="eastAsia"/>
        </w:rPr>
        <w:t>利用随机森林构建预测模型</w:t>
      </w:r>
      <w:r w:rsidR="00E17F98">
        <w:rPr>
          <w:rFonts w:hint="eastAsia"/>
        </w:rPr>
        <w:t>。</w:t>
      </w:r>
      <w:r w:rsidR="005818E0">
        <w:rPr>
          <w:rFonts w:hint="eastAsia"/>
        </w:rPr>
        <w:t>依据</w:t>
      </w:r>
      <w:r w:rsidR="000B4B15">
        <w:rPr>
          <w:rFonts w:hint="eastAsia"/>
        </w:rPr>
        <w:t>模型</w:t>
      </w:r>
      <w:r w:rsidR="00AE41BB">
        <w:rPr>
          <w:rFonts w:hint="eastAsia"/>
        </w:rPr>
        <w:t>的</w:t>
      </w:r>
      <w:r w:rsidR="000B4B15">
        <w:rPr>
          <w:rFonts w:hint="eastAsia"/>
        </w:rPr>
        <w:t>预测精度</w:t>
      </w:r>
      <w:r w:rsidR="005818E0">
        <w:rPr>
          <w:rFonts w:hint="eastAsia"/>
        </w:rPr>
        <w:t>来</w:t>
      </w:r>
      <w:r w:rsidR="000B4B15">
        <w:rPr>
          <w:rFonts w:hint="eastAsia"/>
        </w:rPr>
        <w:t>检验基本面特征对甲醇期货价格</w:t>
      </w:r>
      <w:r w:rsidR="005818E0">
        <w:rPr>
          <w:rFonts w:hint="eastAsia"/>
        </w:rPr>
        <w:t>的预测能力。</w:t>
      </w:r>
      <w:r w:rsidR="00AE3184">
        <w:rPr>
          <w:rFonts w:hint="eastAsia"/>
        </w:rPr>
        <w:t>研究结果发现：</w:t>
      </w:r>
      <w:r w:rsidR="00D71300">
        <w:rPr>
          <w:rFonts w:hint="eastAsia"/>
        </w:rPr>
        <w:t>经过归一化处理后的预测变量并没能让模型的预测精度提高，反而</w:t>
      </w:r>
      <w:r w:rsidR="00980B94">
        <w:rPr>
          <w:rFonts w:hint="eastAsia"/>
        </w:rPr>
        <w:t>较大程度地增大了模型预测的不稳定性</w:t>
      </w:r>
      <w:r w:rsidR="00A01668">
        <w:rPr>
          <w:rFonts w:hint="eastAsia"/>
        </w:rPr>
        <w:t>；特征变量甲醇毛利、甲醇现货价格、甲醇产量对预测模型的</w:t>
      </w:r>
      <w:r w:rsidR="001C2AD2">
        <w:rPr>
          <w:rFonts w:hint="eastAsia"/>
        </w:rPr>
        <w:t>贡献度一直处于前列</w:t>
      </w:r>
      <w:r w:rsidR="00764BAD">
        <w:rPr>
          <w:rFonts w:hint="eastAsia"/>
        </w:rPr>
        <w:t>（对模型贡献度最高的）</w:t>
      </w:r>
      <w:r w:rsidR="00A01668">
        <w:rPr>
          <w:rFonts w:hint="eastAsia"/>
        </w:rPr>
        <w:t>，这表明这三个特征变量对甲醇期货价格具有预测意义</w:t>
      </w:r>
      <w:r w:rsidR="00F666C8">
        <w:rPr>
          <w:rFonts w:hint="eastAsia"/>
        </w:rPr>
        <w:t>；利用随机森林和XGBoost能够建立有效的甲醇期货价格预测模型。</w:t>
      </w:r>
      <w:r w:rsidR="004A2A36">
        <w:rPr>
          <w:rFonts w:hint="eastAsia"/>
        </w:rPr>
        <w:t>（考虑一下是不是要进行一下跟踪交易）</w:t>
      </w:r>
      <w:r w:rsidR="007D1F90">
        <w:rPr>
          <w:rFonts w:hint="eastAsia"/>
        </w:rPr>
        <w:t>（摘要中目前还缺少一个与时间序列分析之间进行的比较）</w:t>
      </w:r>
    </w:p>
    <w:p w:rsidR="00636A0C" w:rsidRDefault="00636A0C">
      <w:r>
        <w:rPr>
          <w:rFonts w:hint="eastAsia"/>
        </w:rPr>
        <w:t>关键字：期货价格；价格预测；随机森林；</w:t>
      </w:r>
      <w:r w:rsidR="00B52A08">
        <w:rPr>
          <w:rFonts w:hint="eastAsia"/>
        </w:rPr>
        <w:t>Aberration交易策略</w:t>
      </w:r>
    </w:p>
    <w:p w:rsidR="007D1F90" w:rsidRDefault="00CB41C3">
      <w:r>
        <w:rPr>
          <w:rFonts w:hint="eastAsia"/>
        </w:rPr>
        <w:t>引言</w:t>
      </w:r>
    </w:p>
    <w:p w:rsidR="00731D0B" w:rsidRDefault="00731D0B" w:rsidP="001F230C">
      <w:pPr>
        <w:ind w:firstLine="420"/>
      </w:pPr>
      <w:r>
        <w:rPr>
          <w:rFonts w:hint="eastAsia"/>
        </w:rPr>
        <w:t>期货</w:t>
      </w:r>
      <w:r w:rsidR="001F230C">
        <w:rPr>
          <w:rFonts w:hint="eastAsia"/>
        </w:rPr>
        <w:t>交易</w:t>
      </w:r>
      <w:r>
        <w:rPr>
          <w:rFonts w:hint="eastAsia"/>
        </w:rPr>
        <w:t>是市场经济发展到</w:t>
      </w:r>
      <w:r w:rsidR="008D77FA">
        <w:rPr>
          <w:rFonts w:hint="eastAsia"/>
        </w:rPr>
        <w:t>一定阶段的产物，</w:t>
      </w:r>
      <w:r w:rsidR="00C806A7">
        <w:rPr>
          <w:rFonts w:hint="eastAsia"/>
        </w:rPr>
        <w:t>成熟的期货交易市场在一定程度上可以认为是完全竞争的市场，是经济学中最理想的市场形式。</w:t>
      </w:r>
      <w:r w:rsidR="00C038E0">
        <w:rPr>
          <w:rFonts w:hint="eastAsia"/>
        </w:rPr>
        <w:t>我国</w:t>
      </w:r>
      <w:r w:rsidR="00D352BF">
        <w:rPr>
          <w:rFonts w:hint="eastAsia"/>
        </w:rPr>
        <w:t>第一</w:t>
      </w:r>
      <w:r w:rsidR="00C038E0">
        <w:rPr>
          <w:rFonts w:hint="eastAsia"/>
        </w:rPr>
        <w:t>个</w:t>
      </w:r>
      <w:r w:rsidR="004E00A0">
        <w:rPr>
          <w:rFonts w:hint="eastAsia"/>
        </w:rPr>
        <w:t>商品</w:t>
      </w:r>
      <w:r w:rsidR="00D352BF">
        <w:rPr>
          <w:rFonts w:hint="eastAsia"/>
        </w:rPr>
        <w:t>期货交易</w:t>
      </w:r>
      <w:r w:rsidR="004E00A0">
        <w:rPr>
          <w:rFonts w:hint="eastAsia"/>
        </w:rPr>
        <w:t>所</w:t>
      </w:r>
      <w:r w:rsidR="002651AC">
        <w:rPr>
          <w:rFonts w:hint="eastAsia"/>
        </w:rPr>
        <w:t>的</w:t>
      </w:r>
      <w:r w:rsidR="00C038E0">
        <w:rPr>
          <w:rFonts w:hint="eastAsia"/>
        </w:rPr>
        <w:t>出现</w:t>
      </w:r>
      <w:r w:rsidR="00D352BF">
        <w:rPr>
          <w:rFonts w:hint="eastAsia"/>
        </w:rPr>
        <w:t>要</w:t>
      </w:r>
      <w:r w:rsidR="00997A0B">
        <w:rPr>
          <w:rFonts w:hint="eastAsia"/>
        </w:rPr>
        <w:t>追溯到</w:t>
      </w:r>
      <w:r w:rsidR="00D352BF">
        <w:rPr>
          <w:rFonts w:hint="eastAsia"/>
        </w:rPr>
        <w:t>上世纪9</w:t>
      </w:r>
      <w:r w:rsidR="00D352BF">
        <w:t>0</w:t>
      </w:r>
      <w:r w:rsidR="00D352BF">
        <w:rPr>
          <w:rFonts w:hint="eastAsia"/>
        </w:rPr>
        <w:t>年代，</w:t>
      </w:r>
      <w:r w:rsidR="00FF370A">
        <w:rPr>
          <w:rFonts w:hint="eastAsia"/>
        </w:rPr>
        <w:t>而世界上最早出现期货交易场所的时间是1</w:t>
      </w:r>
      <w:r w:rsidR="00FF370A">
        <w:t>9</w:t>
      </w:r>
      <w:r w:rsidR="00FF370A">
        <w:rPr>
          <w:rFonts w:hint="eastAsia"/>
        </w:rPr>
        <w:t>世纪5</w:t>
      </w:r>
      <w:r w:rsidR="00FF370A">
        <w:t>0</w:t>
      </w:r>
      <w:r w:rsidR="00FF370A">
        <w:rPr>
          <w:rFonts w:hint="eastAsia"/>
        </w:rPr>
        <w:t>年代，</w:t>
      </w:r>
      <w:r w:rsidR="00F9072E">
        <w:rPr>
          <w:rFonts w:hint="eastAsia"/>
        </w:rPr>
        <w:t>相比于</w:t>
      </w:r>
      <w:r w:rsidR="001D1610">
        <w:rPr>
          <w:rFonts w:hint="eastAsia"/>
        </w:rPr>
        <w:t>一些国外期货</w:t>
      </w:r>
      <w:r w:rsidR="003C26B3">
        <w:rPr>
          <w:rFonts w:hint="eastAsia"/>
        </w:rPr>
        <w:t>市场而言，我国的期货交易市场</w:t>
      </w:r>
      <w:r w:rsidR="00D26D04">
        <w:rPr>
          <w:rFonts w:hint="eastAsia"/>
        </w:rPr>
        <w:t>还</w:t>
      </w:r>
      <w:r w:rsidR="000162BF">
        <w:rPr>
          <w:rFonts w:hint="eastAsia"/>
        </w:rPr>
        <w:t>不</w:t>
      </w:r>
      <w:r w:rsidR="00C038E0">
        <w:rPr>
          <w:rFonts w:hint="eastAsia"/>
        </w:rPr>
        <w:t>太</w:t>
      </w:r>
      <w:r w:rsidR="00D26D04">
        <w:rPr>
          <w:rFonts w:hint="eastAsia"/>
        </w:rPr>
        <w:t>成熟</w:t>
      </w:r>
      <w:r w:rsidR="001F5120">
        <w:rPr>
          <w:rFonts w:hint="eastAsia"/>
        </w:rPr>
        <w:t>，</w:t>
      </w:r>
      <w:r w:rsidR="009A2612">
        <w:rPr>
          <w:rFonts w:hint="eastAsia"/>
        </w:rPr>
        <w:t>期货理论对</w:t>
      </w:r>
      <w:r w:rsidR="00444A13">
        <w:rPr>
          <w:rFonts w:hint="eastAsia"/>
        </w:rPr>
        <w:t>现实期货</w:t>
      </w:r>
      <w:r w:rsidR="00032081">
        <w:rPr>
          <w:rFonts w:hint="eastAsia"/>
        </w:rPr>
        <w:t>交易</w:t>
      </w:r>
      <w:r w:rsidR="007C3AF0">
        <w:rPr>
          <w:rFonts w:hint="eastAsia"/>
        </w:rPr>
        <w:t>的</w:t>
      </w:r>
      <w:r w:rsidR="009A2612">
        <w:rPr>
          <w:rFonts w:hint="eastAsia"/>
        </w:rPr>
        <w:t>支撑</w:t>
      </w:r>
      <w:r w:rsidR="007C3AF0">
        <w:rPr>
          <w:rFonts w:hint="eastAsia"/>
        </w:rPr>
        <w:t>还</w:t>
      </w:r>
      <w:r w:rsidR="009A2612">
        <w:rPr>
          <w:rFonts w:hint="eastAsia"/>
        </w:rPr>
        <w:t>不够。</w:t>
      </w:r>
      <w:r w:rsidR="007F7D83">
        <w:rPr>
          <w:rFonts w:hint="eastAsia"/>
        </w:rPr>
        <w:t>国内的甲醇期货于2</w:t>
      </w:r>
      <w:r w:rsidR="007F7D83">
        <w:t>011</w:t>
      </w:r>
      <w:r w:rsidR="007F7D83">
        <w:rPr>
          <w:rFonts w:hint="eastAsia"/>
        </w:rPr>
        <w:t>年1</w:t>
      </w:r>
      <w:r w:rsidR="007F7D83">
        <w:t>0</w:t>
      </w:r>
      <w:r w:rsidR="007F7D83">
        <w:rPr>
          <w:rFonts w:hint="eastAsia"/>
        </w:rPr>
        <w:t>月2</w:t>
      </w:r>
      <w:r w:rsidR="007F7D83">
        <w:t>8</w:t>
      </w:r>
      <w:r w:rsidR="007F7D83">
        <w:rPr>
          <w:rFonts w:hint="eastAsia"/>
        </w:rPr>
        <w:t>日在郑州商品交易所上市，到今年已有十年之久，</w:t>
      </w:r>
      <w:r w:rsidR="00B233FE">
        <w:rPr>
          <w:rFonts w:hint="eastAsia"/>
        </w:rPr>
        <w:t>相关企业和投资者对甲醇期货的关注度也在不断上升，对甲醇期货价格进行分析对国内甲醇期现货市场的健康发展以及相关企业和投资者进行甲醇期</w:t>
      </w:r>
      <w:r w:rsidR="00562D57">
        <w:rPr>
          <w:rFonts w:hint="eastAsia"/>
        </w:rPr>
        <w:t>现</w:t>
      </w:r>
      <w:r w:rsidR="00B233FE">
        <w:rPr>
          <w:rFonts w:hint="eastAsia"/>
        </w:rPr>
        <w:t>货交易具有重要意义。</w:t>
      </w:r>
    </w:p>
    <w:p w:rsidR="00E72B68" w:rsidRDefault="00E92FC8">
      <w:r>
        <w:tab/>
      </w:r>
      <w:r>
        <w:rPr>
          <w:rFonts w:hint="eastAsia"/>
        </w:rPr>
        <w:t>在现有期货市场的研究中，研究方法主要分为数理统计和机器学习方法。其中数理统计模型包括自回归模型、差分自回归移动平均模型、广义自回归条件异常差模型等。机器学习方法包括决策树、支持向量机、随机森林、人工神经网络等【4】。随着计算机技术的发展，机器学习也逐渐被应用到金融领域的研究中，并表现出很好的研究性能</w:t>
      </w:r>
      <w:r w:rsidR="00322646">
        <w:rPr>
          <w:rFonts w:hint="eastAsia"/>
        </w:rPr>
        <w:t>【5】</w:t>
      </w:r>
      <w:r>
        <w:rPr>
          <w:rFonts w:hint="eastAsia"/>
        </w:rPr>
        <w:t>。</w:t>
      </w:r>
      <w:proofErr w:type="spellStart"/>
      <w:r w:rsidR="00F276E8">
        <w:rPr>
          <w:rFonts w:hint="eastAsia"/>
        </w:rPr>
        <w:t>Einav</w:t>
      </w:r>
      <w:proofErr w:type="spellEnd"/>
      <w:r w:rsidR="00F276E8">
        <w:rPr>
          <w:rFonts w:hint="eastAsia"/>
        </w:rPr>
        <w:t>和Levin（2</w:t>
      </w:r>
      <w:r w:rsidR="00F276E8">
        <w:t>014</w:t>
      </w:r>
      <w:r w:rsidR="00F276E8">
        <w:rPr>
          <w:rFonts w:hint="eastAsia"/>
        </w:rPr>
        <w:t>）指出在经济学研究领域中，经济模</w:t>
      </w:r>
      <w:r w:rsidR="00F276E8" w:rsidRPr="00FF2646">
        <w:rPr>
          <w:rFonts w:hint="eastAsia"/>
          <w:highlight w:val="yellow"/>
        </w:rPr>
        <w:t>型关注的重点主要放在能够代表工序变化的因素上面，研究人员需要对数据的异质性进行校正，并试图获得估计参数的异方差一致的标准</w:t>
      </w:r>
      <w:r w:rsidR="00F276E8">
        <w:rPr>
          <w:rFonts w:hint="eastAsia"/>
        </w:rPr>
        <w:t>误差和协方差。此外还需要通过不同模型来评估模型的</w:t>
      </w:r>
      <w:r w:rsidR="00F276E8" w:rsidRPr="007229E8">
        <w:rPr>
          <w:rFonts w:hint="eastAsia"/>
          <w:highlight w:val="yellow"/>
        </w:rPr>
        <w:t>鲁棒性</w:t>
      </w:r>
      <w:r w:rsidR="00F276E8">
        <w:rPr>
          <w:rFonts w:hint="eastAsia"/>
        </w:rPr>
        <w:t>[</w:t>
      </w:r>
      <w:r w:rsidR="00F276E8">
        <w:t>6]</w:t>
      </w:r>
      <w:r w:rsidR="00F276E8">
        <w:rPr>
          <w:rFonts w:hint="eastAsia"/>
        </w:rPr>
        <w:t>。</w:t>
      </w:r>
      <w:r w:rsidR="00A30703">
        <w:rPr>
          <w:rFonts w:hint="eastAsia"/>
        </w:rPr>
        <w:t>与传统计量模型相比，机器学习算法对数据的前提假设较少，是以数据为驱动，将重点放在模型的输出结果上，进而揭示出特征对模型的解释能力[</w:t>
      </w:r>
      <w:r w:rsidR="00A30703">
        <w:t>7]</w:t>
      </w:r>
      <w:r w:rsidR="00A30703">
        <w:rPr>
          <w:rFonts w:hint="eastAsia"/>
        </w:rPr>
        <w:t>。</w:t>
      </w:r>
      <w:r w:rsidR="003F152E">
        <w:rPr>
          <w:rFonts w:hint="eastAsia"/>
        </w:rPr>
        <w:t>机器学习被认为是计算机通过自身的不断观察和学习来提升自己与真实世界交互能力的一门学科[</w:t>
      </w:r>
      <w:r w:rsidR="003F152E">
        <w:t>8]</w:t>
      </w:r>
      <w:r w:rsidR="003F152E">
        <w:rPr>
          <w:rFonts w:hint="eastAsia"/>
        </w:rPr>
        <w:t>。</w:t>
      </w:r>
      <w:proofErr w:type="spellStart"/>
      <w:r w:rsidR="006A00CF">
        <w:rPr>
          <w:rFonts w:hint="eastAsia"/>
        </w:rPr>
        <w:t>Breiman</w:t>
      </w:r>
      <w:proofErr w:type="spellEnd"/>
      <w:r w:rsidR="006A00CF">
        <w:rPr>
          <w:rFonts w:hint="eastAsia"/>
        </w:rPr>
        <w:t>指出随机森林算法模型不需要考虑多元回归模型中的多重共线性问题[</w:t>
      </w:r>
      <w:r w:rsidR="006A00CF">
        <w:t>9]</w:t>
      </w:r>
      <w:r w:rsidR="008518A0">
        <w:rPr>
          <w:rFonts w:hint="eastAsia"/>
        </w:rPr>
        <w:t>，</w:t>
      </w:r>
      <w:proofErr w:type="spellStart"/>
      <w:r w:rsidR="006A00CF" w:rsidRPr="001E767D">
        <w:t>Pérez-Rave</w:t>
      </w:r>
      <w:proofErr w:type="spellEnd"/>
      <w:r w:rsidR="006A00CF">
        <w:rPr>
          <w:rFonts w:hint="eastAsia"/>
        </w:rPr>
        <w:t>等（2</w:t>
      </w:r>
      <w:r w:rsidR="006A00CF">
        <w:t>019</w:t>
      </w:r>
      <w:r w:rsidR="006A00CF">
        <w:rPr>
          <w:rFonts w:hint="eastAsia"/>
        </w:rPr>
        <w:t>）指出随机森林算法可以有效避免模型的过拟合，是一个能够做出精确预测的</w:t>
      </w:r>
      <w:r w:rsidR="006A00CF" w:rsidRPr="00D451E1">
        <w:rPr>
          <w:rFonts w:hint="eastAsia"/>
          <w:highlight w:val="yellow"/>
        </w:rPr>
        <w:t>强鲁棒性算</w:t>
      </w:r>
      <w:r w:rsidR="006A00CF">
        <w:rPr>
          <w:rFonts w:hint="eastAsia"/>
        </w:rPr>
        <w:t>法</w:t>
      </w:r>
      <w:r w:rsidR="008518A0">
        <w:rPr>
          <w:rFonts w:hint="eastAsia"/>
        </w:rPr>
        <w:t>[</w:t>
      </w:r>
      <w:r w:rsidR="008518A0">
        <w:t>11]</w:t>
      </w:r>
      <w:r w:rsidR="006A00CF">
        <w:rPr>
          <w:rFonts w:hint="eastAsia"/>
        </w:rPr>
        <w:t>。</w:t>
      </w:r>
      <w:r w:rsidR="00F352AA">
        <w:rPr>
          <w:rFonts w:hint="eastAsia"/>
        </w:rPr>
        <w:t>Chen和</w:t>
      </w:r>
      <w:proofErr w:type="spellStart"/>
      <w:r w:rsidR="00F352AA">
        <w:rPr>
          <w:rFonts w:hint="eastAsia"/>
        </w:rPr>
        <w:t>Guestrin</w:t>
      </w:r>
      <w:proofErr w:type="spellEnd"/>
      <w:r w:rsidR="00F352AA">
        <w:rPr>
          <w:rFonts w:hint="eastAsia"/>
        </w:rPr>
        <w:t>（2</w:t>
      </w:r>
      <w:r w:rsidR="00F352AA">
        <w:t>016</w:t>
      </w:r>
      <w:r w:rsidR="00F352AA">
        <w:rPr>
          <w:rFonts w:hint="eastAsia"/>
        </w:rPr>
        <w:t>）</w:t>
      </w:r>
      <w:r w:rsidR="00ED497E">
        <w:rPr>
          <w:rFonts w:hint="eastAsia"/>
        </w:rPr>
        <w:t>提出的XGBoost</w:t>
      </w:r>
      <w:r w:rsidR="00D133CC">
        <w:rPr>
          <w:rFonts w:hint="eastAsia"/>
        </w:rPr>
        <w:t>算法</w:t>
      </w:r>
      <w:r w:rsidR="00ED497E">
        <w:rPr>
          <w:rFonts w:hint="eastAsia"/>
        </w:rPr>
        <w:t>已</w:t>
      </w:r>
      <w:r w:rsidR="008B1DC1">
        <w:rPr>
          <w:rFonts w:hint="eastAsia"/>
        </w:rPr>
        <w:t>被</w:t>
      </w:r>
      <w:r w:rsidR="00ED497E">
        <w:rPr>
          <w:rFonts w:hint="eastAsia"/>
        </w:rPr>
        <w:t>成功应用</w:t>
      </w:r>
      <w:r w:rsidR="00E902E8">
        <w:rPr>
          <w:rFonts w:hint="eastAsia"/>
        </w:rPr>
        <w:t>于</w:t>
      </w:r>
      <w:r w:rsidR="00ED497E">
        <w:rPr>
          <w:rFonts w:hint="eastAsia"/>
        </w:rPr>
        <w:t>多个领域。</w:t>
      </w:r>
      <w:r w:rsidR="007E1E73">
        <w:rPr>
          <w:rFonts w:hint="eastAsia"/>
        </w:rPr>
        <w:t>黄卿等（2</w:t>
      </w:r>
      <w:r w:rsidR="007E1E73">
        <w:t>018</w:t>
      </w:r>
      <w:r w:rsidR="007E1E73">
        <w:rPr>
          <w:rFonts w:hint="eastAsia"/>
        </w:rPr>
        <w:t>）将XGBoost应用到股指期货的</w:t>
      </w:r>
      <w:r w:rsidR="00421213">
        <w:rPr>
          <w:rFonts w:hint="eastAsia"/>
        </w:rPr>
        <w:t>变动方向的预测上，验证了该方法可以有效应用于我国金融领域</w:t>
      </w:r>
      <w:r w:rsidR="00FE65AA">
        <w:rPr>
          <w:rFonts w:hint="eastAsia"/>
        </w:rPr>
        <w:t>的研究</w:t>
      </w:r>
      <w:r w:rsidR="00FB4086">
        <w:rPr>
          <w:rFonts w:hint="eastAsia"/>
        </w:rPr>
        <w:t>【</w:t>
      </w:r>
      <w:r w:rsidR="00FB4086" w:rsidRPr="00FB4086">
        <w:t>黄卿，谢合亮. 机器学习方法在股指期货预测中的应用研究——— 基于 BP 神经网络、SVM 和 XGBoost 的比较分析 [J].</w:t>
      </w:r>
      <w:r w:rsidR="00FB4086">
        <w:rPr>
          <w:rFonts w:hint="eastAsia"/>
        </w:rPr>
        <w:t>】</w:t>
      </w:r>
      <w:r w:rsidR="00421213">
        <w:rPr>
          <w:rFonts w:hint="eastAsia"/>
        </w:rPr>
        <w:t>。</w:t>
      </w:r>
    </w:p>
    <w:p w:rsidR="007504D5" w:rsidRDefault="007504D5">
      <w:r>
        <w:tab/>
      </w:r>
      <w:r w:rsidRPr="008B3F9A">
        <w:rPr>
          <w:rFonts w:hint="eastAsia"/>
          <w:highlight w:val="yellow"/>
        </w:rPr>
        <w:t>本文基于ARIMA、随机森林和XGBoost回归模型</w:t>
      </w:r>
      <w:r>
        <w:rPr>
          <w:rFonts w:hint="eastAsia"/>
        </w:rPr>
        <w:t>构建对照</w:t>
      </w:r>
      <w:r w:rsidR="006D2028">
        <w:rPr>
          <w:rFonts w:hint="eastAsia"/>
        </w:rPr>
        <w:t>模型</w:t>
      </w:r>
      <w:r>
        <w:rPr>
          <w:rFonts w:hint="eastAsia"/>
        </w:rPr>
        <w:t>，</w:t>
      </w:r>
      <w:r w:rsidR="001C1DB2">
        <w:rPr>
          <w:rFonts w:hint="eastAsia"/>
        </w:rPr>
        <w:t>以甲醇期货价格作为ARIMA的输入变量，</w:t>
      </w:r>
      <w:r>
        <w:rPr>
          <w:rFonts w:hint="eastAsia"/>
        </w:rPr>
        <w:t>以甲醇产业链上下游产品的基本面数据作为</w:t>
      </w:r>
      <w:r w:rsidR="001C1DB2">
        <w:rPr>
          <w:rFonts w:hint="eastAsia"/>
        </w:rPr>
        <w:t>随机森林和XGBoost</w:t>
      </w:r>
      <w:r>
        <w:rPr>
          <w:rFonts w:hint="eastAsia"/>
        </w:rPr>
        <w:t>模型</w:t>
      </w:r>
      <w:r w:rsidR="001F6A8E">
        <w:rPr>
          <w:rFonts w:hint="eastAsia"/>
        </w:rPr>
        <w:t>的</w:t>
      </w:r>
      <w:r w:rsidR="00F54438">
        <w:rPr>
          <w:rFonts w:hint="eastAsia"/>
        </w:rPr>
        <w:t>输入</w:t>
      </w:r>
      <w:r>
        <w:rPr>
          <w:rFonts w:hint="eastAsia"/>
        </w:rPr>
        <w:t>，</w:t>
      </w:r>
      <w:r w:rsidR="00F22E62">
        <w:rPr>
          <w:rFonts w:hint="eastAsia"/>
        </w:rPr>
        <w:t>将其应用于甲醇期货价格序列的预测分析，</w:t>
      </w:r>
      <w:r w:rsidR="002B0B1E">
        <w:rPr>
          <w:rFonts w:hint="eastAsia"/>
        </w:rPr>
        <w:t>分析</w:t>
      </w:r>
      <w:r w:rsidR="00281187">
        <w:rPr>
          <w:rFonts w:hint="eastAsia"/>
        </w:rPr>
        <w:t>产业链上下游产品的基本面特征</w:t>
      </w:r>
      <w:r w:rsidR="00AC00CE">
        <w:rPr>
          <w:rFonts w:hint="eastAsia"/>
        </w:rPr>
        <w:t>变量</w:t>
      </w:r>
      <w:r w:rsidR="00281187">
        <w:rPr>
          <w:rFonts w:hint="eastAsia"/>
        </w:rPr>
        <w:t>对甲醇期货价格预测的</w:t>
      </w:r>
      <w:r w:rsidR="00BB61F3">
        <w:rPr>
          <w:rFonts w:hint="eastAsia"/>
        </w:rPr>
        <w:t>有效性。</w:t>
      </w:r>
    </w:p>
    <w:p w:rsidR="00E7354B" w:rsidRDefault="005927A3">
      <w:r>
        <w:rPr>
          <w:rFonts w:hint="eastAsia"/>
        </w:rPr>
        <w:t>预测变量的筛选方法</w:t>
      </w:r>
    </w:p>
    <w:p w:rsidR="005927A3" w:rsidRDefault="00293C02">
      <w:r>
        <w:tab/>
      </w:r>
      <w:r w:rsidR="00BC2A3A">
        <w:rPr>
          <w:rFonts w:hint="eastAsia"/>
        </w:rPr>
        <w:t>期货价格预测效果取决于预测变量的选择和预测模型的构建。在预测变量的选择上，众多实证研究表明产业链上下游产品的基本面数据对金融资产价格预测具有重要意义【1</w:t>
      </w:r>
      <w:r w:rsidR="00BC2A3A">
        <w:t>3</w:t>
      </w:r>
      <w:r w:rsidR="00BC2A3A">
        <w:rPr>
          <w:rFonts w:hint="eastAsia"/>
        </w:rPr>
        <w:t>】。</w:t>
      </w:r>
    </w:p>
    <w:p w:rsidR="00CB479F" w:rsidRDefault="00CB479F" w:rsidP="00CB479F">
      <w:r>
        <w:rPr>
          <w:rFonts w:hint="eastAsia"/>
        </w:rPr>
        <w:t>1</w:t>
      </w:r>
      <w:r>
        <w:t>.</w:t>
      </w:r>
      <w:r>
        <w:rPr>
          <w:rFonts w:hint="eastAsia"/>
        </w:rPr>
        <w:t>甲醇产业链结构分析</w:t>
      </w:r>
    </w:p>
    <w:p w:rsidR="00CB479F" w:rsidRDefault="00CB479F" w:rsidP="00CB479F">
      <w:pPr>
        <w:ind w:firstLine="420"/>
      </w:pPr>
      <w:r>
        <w:rPr>
          <w:rFonts w:hint="eastAsia"/>
        </w:rPr>
        <w:lastRenderedPageBreak/>
        <w:t>甲醇是有合成气生产的重要化学品之一，它既是一种燃料，也是一种化工原料，目前市场上交易的甲醇主要以工业甲醇为主，其生产所需的原材料主要为煤、焦油、天然气等，其在生产过程中不会产生任何副产品，并且消耗过程中没有污染物的排放。甲醇自工业化生产以来，生产工艺也随着技术的进步以及能源结构的变化发生了较大变化，由原先的以煤和焦炭为原料进行生产，转变为以天然气为主要原材料进行生产。由于我国独特的能源结构的分布呈现出“富煤贫油少气”的特征，国内甲醇的生产依旧以煤为主。目前国内以煤作为原料甲醇生产产能占总产能的6</w:t>
      </w:r>
      <w:r>
        <w:t>5%</w:t>
      </w:r>
      <w:r>
        <w:rPr>
          <w:rFonts w:hint="eastAsia"/>
        </w:rPr>
        <w:t>，以天然气为原料的产能占总产能的1</w:t>
      </w:r>
      <w:r>
        <w:t>9%</w:t>
      </w:r>
      <w:r>
        <w:rPr>
          <w:rFonts w:hint="eastAsia"/>
        </w:rPr>
        <w:t>，以焦炉气为原料的产能占总产能的1</w:t>
      </w:r>
      <w:r>
        <w:t>6%</w:t>
      </w:r>
      <w:r>
        <w:rPr>
          <w:rFonts w:hint="eastAsia"/>
        </w:rPr>
        <w:t>。</w:t>
      </w:r>
    </w:p>
    <w:p w:rsidR="00CB479F" w:rsidRDefault="00CB479F" w:rsidP="00CB479F">
      <w:pPr>
        <w:ind w:firstLine="420"/>
      </w:pPr>
      <w:r>
        <w:rPr>
          <w:rFonts w:hint="eastAsia"/>
        </w:rPr>
        <w:t>甲醇的下游产业链也十分丰富，涉及到化工、建材、能源、医药、农药等众多行业，在我国经济中扮演着十分重要角色。它不仅是一种重要的化工原料，可以用来生产甲醛、二甲醚、醋酸等，还是一种重要的燃料，用于加入汽油掺烧或者代替汽油作为动力燃料，同时还是农药生产的重要原料等。</w:t>
      </w:r>
    </w:p>
    <w:p w:rsidR="00486C7B" w:rsidRDefault="00486C7B">
      <w:r>
        <w:rPr>
          <w:rFonts w:hint="eastAsia"/>
        </w:rPr>
        <w:t>2</w:t>
      </w:r>
      <w:r>
        <w:t>.</w:t>
      </w:r>
      <w:r w:rsidR="00752B1D">
        <w:rPr>
          <w:rFonts w:hint="eastAsia"/>
        </w:rPr>
        <w:t>备选预测变量选取</w:t>
      </w:r>
      <w:r w:rsidR="00073F4A">
        <w:rPr>
          <w:rFonts w:hint="eastAsia"/>
        </w:rPr>
        <w:t>与预处理</w:t>
      </w:r>
    </w:p>
    <w:p w:rsidR="00DE46E4" w:rsidRDefault="00C70480">
      <w:r>
        <w:tab/>
      </w:r>
      <w:r w:rsidR="008A3A1C">
        <w:rPr>
          <w:rFonts w:hint="eastAsia"/>
        </w:rPr>
        <w:t>经过上述</w:t>
      </w:r>
      <w:r w:rsidR="009367A5">
        <w:rPr>
          <w:rFonts w:hint="eastAsia"/>
        </w:rPr>
        <w:t>甲醇产业链结构</w:t>
      </w:r>
      <w:r w:rsidR="008A3A1C">
        <w:rPr>
          <w:rFonts w:hint="eastAsia"/>
        </w:rPr>
        <w:t>分析</w:t>
      </w:r>
      <w:r w:rsidR="009367A5">
        <w:rPr>
          <w:rFonts w:hint="eastAsia"/>
        </w:rPr>
        <w:t>可知</w:t>
      </w:r>
      <w:r w:rsidR="008A3A1C">
        <w:rPr>
          <w:rFonts w:hint="eastAsia"/>
        </w:rPr>
        <w:t>，甲醇产业链的上游产品主要为煤、天然气、焦炉气，下游产品主要有甲醛、二甲醚、醋酸等。</w:t>
      </w:r>
      <w:r w:rsidR="00135817">
        <w:rPr>
          <w:rFonts w:hint="eastAsia"/>
        </w:rPr>
        <w:t>理想情况下，</w:t>
      </w:r>
      <w:r w:rsidR="000238B0">
        <w:rPr>
          <w:rFonts w:hint="eastAsia"/>
        </w:rPr>
        <w:t>根据生产理论</w:t>
      </w:r>
      <w:r w:rsidR="002D65FE">
        <w:rPr>
          <w:rFonts w:hint="eastAsia"/>
        </w:rPr>
        <w:t>，上游产品作为下游产品的生产原料，其销售价格</w:t>
      </w:r>
      <w:r w:rsidR="00434BDD">
        <w:rPr>
          <w:rFonts w:hint="eastAsia"/>
        </w:rPr>
        <w:t>将作为下游产品生产的直接</w:t>
      </w:r>
      <w:r w:rsidR="005578E8">
        <w:rPr>
          <w:rFonts w:hint="eastAsia"/>
        </w:rPr>
        <w:t>费用</w:t>
      </w:r>
      <w:r w:rsidR="00434BDD">
        <w:rPr>
          <w:rFonts w:hint="eastAsia"/>
        </w:rPr>
        <w:t>，</w:t>
      </w:r>
      <w:r w:rsidR="00822459">
        <w:rPr>
          <w:rFonts w:hint="eastAsia"/>
        </w:rPr>
        <w:t>并直接反映到下游产品的销售价格</w:t>
      </w:r>
      <w:r w:rsidR="006F09FB">
        <w:rPr>
          <w:rFonts w:hint="eastAsia"/>
        </w:rPr>
        <w:t>；</w:t>
      </w:r>
      <w:r w:rsidR="00875D3E">
        <w:rPr>
          <w:rFonts w:hint="eastAsia"/>
        </w:rPr>
        <w:t>从</w:t>
      </w:r>
      <w:r w:rsidR="00B57974">
        <w:rPr>
          <w:rFonts w:hint="eastAsia"/>
        </w:rPr>
        <w:t>采购成本</w:t>
      </w:r>
      <w:r w:rsidR="00875D3E">
        <w:rPr>
          <w:rFonts w:hint="eastAsia"/>
        </w:rPr>
        <w:t>角度出发，</w:t>
      </w:r>
      <w:r w:rsidR="004906A5">
        <w:rPr>
          <w:rFonts w:hint="eastAsia"/>
        </w:rPr>
        <w:t>上游产品的库存量也将直接影响到下游产品的采购成</w:t>
      </w:r>
      <w:r w:rsidR="00B57974">
        <w:rPr>
          <w:rFonts w:hint="eastAsia"/>
        </w:rPr>
        <w:t>本，并呈现出负向相关关系；</w:t>
      </w:r>
      <w:r w:rsidR="00E057E5">
        <w:rPr>
          <w:rFonts w:hint="eastAsia"/>
        </w:rPr>
        <w:t>从供需关系的角度出发，当产品的供给</w:t>
      </w:r>
      <w:r w:rsidR="004B4080">
        <w:rPr>
          <w:rFonts w:hint="eastAsia"/>
        </w:rPr>
        <w:t>充足</w:t>
      </w:r>
      <w:r w:rsidR="00E057E5">
        <w:rPr>
          <w:rFonts w:hint="eastAsia"/>
        </w:rPr>
        <w:t>时，价格会出现下降的趋势，反之则会出现上升的趋势</w:t>
      </w:r>
      <w:r w:rsidR="003D3DDC">
        <w:rPr>
          <w:rFonts w:hint="eastAsia"/>
        </w:rPr>
        <w:t>，从而呈现出负相关关系</w:t>
      </w:r>
      <w:r w:rsidR="00A94C19">
        <w:rPr>
          <w:rFonts w:hint="eastAsia"/>
        </w:rPr>
        <w:t>，而</w:t>
      </w:r>
      <w:r w:rsidR="009509C8">
        <w:rPr>
          <w:rFonts w:hint="eastAsia"/>
        </w:rPr>
        <w:t>产品的</w:t>
      </w:r>
      <w:r w:rsidR="00A94C19">
        <w:rPr>
          <w:rFonts w:hint="eastAsia"/>
        </w:rPr>
        <w:t>产能将直接影响产品的库存</w:t>
      </w:r>
      <w:r w:rsidR="00795681">
        <w:rPr>
          <w:rFonts w:hint="eastAsia"/>
        </w:rPr>
        <w:t>量</w:t>
      </w:r>
      <w:r w:rsidR="00A94C19">
        <w:rPr>
          <w:rFonts w:hint="eastAsia"/>
        </w:rPr>
        <w:t>，并表现出正相关性</w:t>
      </w:r>
      <w:r w:rsidR="00880EA2">
        <w:rPr>
          <w:rFonts w:hint="eastAsia"/>
        </w:rPr>
        <w:t>；</w:t>
      </w:r>
      <w:r w:rsidR="0071712C">
        <w:rPr>
          <w:rFonts w:hint="eastAsia"/>
        </w:rPr>
        <w:t>从</w:t>
      </w:r>
      <w:r w:rsidR="003C0FB7">
        <w:rPr>
          <w:rFonts w:hint="eastAsia"/>
        </w:rPr>
        <w:t>商品期货</w:t>
      </w:r>
      <w:r w:rsidR="0071712C">
        <w:rPr>
          <w:rFonts w:hint="eastAsia"/>
        </w:rPr>
        <w:t>现实交易过程来看，</w:t>
      </w:r>
      <w:r w:rsidR="00655DF6">
        <w:rPr>
          <w:rFonts w:hint="eastAsia"/>
        </w:rPr>
        <w:t>期货交易最终将以现货的方式进行交割，</w:t>
      </w:r>
      <w:r w:rsidR="00F84E94">
        <w:rPr>
          <w:rFonts w:hint="eastAsia"/>
        </w:rPr>
        <w:t>在众多期现货价格研究中</w:t>
      </w:r>
      <w:r w:rsidR="003F1876">
        <w:rPr>
          <w:rFonts w:hint="eastAsia"/>
        </w:rPr>
        <w:t>也已</w:t>
      </w:r>
      <w:r w:rsidR="00F84E94">
        <w:rPr>
          <w:rFonts w:hint="eastAsia"/>
        </w:rPr>
        <w:t>证实两者之间的强相关性</w:t>
      </w:r>
      <w:r w:rsidR="00C65DC8">
        <w:rPr>
          <w:rFonts w:hint="eastAsia"/>
        </w:rPr>
        <w:t>。</w:t>
      </w:r>
    </w:p>
    <w:p w:rsidR="00E51037" w:rsidRDefault="00601D69">
      <w:r>
        <w:tab/>
      </w:r>
      <w:r>
        <w:rPr>
          <w:rFonts w:hint="eastAsia"/>
        </w:rPr>
        <w:t>根据上述分析</w:t>
      </w:r>
      <w:r w:rsidR="00CB011C">
        <w:rPr>
          <w:rFonts w:hint="eastAsia"/>
        </w:rPr>
        <w:t>，</w:t>
      </w:r>
      <w:r w:rsidR="00BD1D3C">
        <w:rPr>
          <w:rFonts w:hint="eastAsia"/>
        </w:rPr>
        <w:t>结合</w:t>
      </w:r>
      <w:r w:rsidR="00A175A8">
        <w:rPr>
          <w:rFonts w:hint="eastAsia"/>
        </w:rPr>
        <w:t>我国甲醇产业链的实际情况，</w:t>
      </w:r>
      <w:r w:rsidR="006E67D4">
        <w:rPr>
          <w:rFonts w:hint="eastAsia"/>
        </w:rPr>
        <w:t>以及数据的可获得性，本文</w:t>
      </w:r>
      <w:r w:rsidR="00500FC2">
        <w:rPr>
          <w:rFonts w:hint="eastAsia"/>
        </w:rPr>
        <w:t>选取的样本时间区间为2</w:t>
      </w:r>
      <w:r w:rsidR="00500FC2">
        <w:t>016</w:t>
      </w:r>
      <w:r w:rsidR="00500FC2">
        <w:rPr>
          <w:rFonts w:hint="eastAsia"/>
        </w:rPr>
        <w:t>年1月2日至2</w:t>
      </w:r>
      <w:r w:rsidR="00500FC2">
        <w:t>021</w:t>
      </w:r>
      <w:r w:rsidR="00500FC2">
        <w:rPr>
          <w:rFonts w:hint="eastAsia"/>
        </w:rPr>
        <w:t>年5月</w:t>
      </w:r>
      <w:r w:rsidR="00500FC2">
        <w:t>31</w:t>
      </w:r>
      <w:r w:rsidR="00500FC2">
        <w:rPr>
          <w:rFonts w:hint="eastAsia"/>
        </w:rPr>
        <w:t>日，</w:t>
      </w:r>
      <w:r w:rsidR="006E67D4">
        <w:rPr>
          <w:rFonts w:hint="eastAsia"/>
        </w:rPr>
        <w:t>选择的上下游产品分别为煤和醋酸，</w:t>
      </w:r>
      <w:r w:rsidR="00AB2F50">
        <w:rPr>
          <w:rFonts w:hint="eastAsia"/>
        </w:rPr>
        <w:t>备选的基本面特征为：</w:t>
      </w:r>
      <w:r w:rsidR="006173B1">
        <w:rPr>
          <w:rFonts w:hint="eastAsia"/>
        </w:rPr>
        <w:t>煤</w:t>
      </w:r>
      <w:r w:rsidR="002A4A36">
        <w:rPr>
          <w:rFonts w:hint="eastAsia"/>
        </w:rPr>
        <w:t>现货价格、产量、进口量、库存量</w:t>
      </w:r>
      <w:r w:rsidR="00E51037">
        <w:rPr>
          <w:rFonts w:hint="eastAsia"/>
        </w:rPr>
        <w:t>；甲醇现货价格、产量、进口量、出口量、库存量、毛利；醋酸现货价格、进口量、出口量、库存量、消费量、毛利，共1</w:t>
      </w:r>
      <w:r w:rsidR="003178B3">
        <w:t>6</w:t>
      </w:r>
      <w:r w:rsidR="00E51037">
        <w:rPr>
          <w:rFonts w:hint="eastAsia"/>
        </w:rPr>
        <w:t>个特征变量。</w:t>
      </w:r>
      <w:r w:rsidR="003178B3">
        <w:rPr>
          <w:rFonts w:hint="eastAsia"/>
        </w:rPr>
        <w:t>其中三种产品的现货价格来自生意社网站，甲醇期货价格取自大智慧甲醇主力合约</w:t>
      </w:r>
      <w:r w:rsidR="0039344D">
        <w:rPr>
          <w:rFonts w:hint="eastAsia"/>
        </w:rPr>
        <w:t>收盘价，</w:t>
      </w:r>
      <w:r w:rsidR="001748CA">
        <w:rPr>
          <w:rFonts w:hint="eastAsia"/>
        </w:rPr>
        <w:t>其余基本面特征变量样本来源于钢联客户端。</w:t>
      </w:r>
    </w:p>
    <w:p w:rsidR="004C2129" w:rsidRDefault="004C2129">
      <w:r>
        <w:t>3.</w:t>
      </w:r>
      <w:r>
        <w:rPr>
          <w:rFonts w:hint="eastAsia"/>
        </w:rPr>
        <w:t>备选预测变量预处理</w:t>
      </w:r>
    </w:p>
    <w:p w:rsidR="00E833E6" w:rsidRDefault="004C2129">
      <w:r>
        <w:tab/>
      </w:r>
      <w:r>
        <w:rPr>
          <w:rFonts w:hint="eastAsia"/>
        </w:rPr>
        <w:t>由于本文所选取的备选特征变量中，有些数据是日频，而有些数据是周频和月频，需要对数据进行预处理。</w:t>
      </w:r>
      <w:r w:rsidR="00B24AC1">
        <w:rPr>
          <w:rFonts w:hint="eastAsia"/>
        </w:rPr>
        <w:t>结合现实交易过程，样本数据基本是在交易日的收盘时刻才能出现，因而为了做出</w:t>
      </w:r>
      <w:r w:rsidR="0071496B">
        <w:rPr>
          <w:rFonts w:hint="eastAsia"/>
        </w:rPr>
        <w:t>具有实用价值的模型，也需要对样本进行预处理</w:t>
      </w:r>
      <w:r w:rsidR="00DA66C3">
        <w:rPr>
          <w:rFonts w:hint="eastAsia"/>
        </w:rPr>
        <w:t>。</w:t>
      </w:r>
      <w:r w:rsidR="00026674">
        <w:rPr>
          <w:rFonts w:hint="eastAsia"/>
        </w:rPr>
        <w:t>本文的处理方式</w:t>
      </w:r>
      <w:r w:rsidR="00953AF9">
        <w:rPr>
          <w:rFonts w:hint="eastAsia"/>
        </w:rPr>
        <w:t>是将备选预测变量数据向后偏移一个交易日，</w:t>
      </w:r>
      <w:r w:rsidR="007A28BA">
        <w:rPr>
          <w:rFonts w:hint="eastAsia"/>
        </w:rPr>
        <w:t>既当</w:t>
      </w:r>
      <w:r w:rsidR="006205B4">
        <w:rPr>
          <w:rFonts w:hint="eastAsia"/>
        </w:rPr>
        <w:t>日</w:t>
      </w:r>
      <w:r w:rsidR="007A28BA">
        <w:rPr>
          <w:rFonts w:hint="eastAsia"/>
        </w:rPr>
        <w:t>的甲醇期货价格与前一交易日的备选特征变量值构成一个样本</w:t>
      </w:r>
      <w:r w:rsidR="00E023EB">
        <w:rPr>
          <w:rFonts w:hint="eastAsia"/>
        </w:rPr>
        <w:t>。对于较大口径特征变量，本文采用的方式是将两条相邻样本日期之间内所有交易日的数据均取值为离交易日较近的样本取值</w:t>
      </w:r>
      <w:r w:rsidR="001C6262">
        <w:rPr>
          <w:rFonts w:hint="eastAsia"/>
        </w:rPr>
        <w:t>。将经过上述处理的各个特征变量与甲醇期货收盘价进行匹配</w:t>
      </w:r>
      <w:r w:rsidR="00B6378E">
        <w:rPr>
          <w:rFonts w:hint="eastAsia"/>
        </w:rPr>
        <w:t>以</w:t>
      </w:r>
      <w:r w:rsidR="001C6262">
        <w:rPr>
          <w:rFonts w:hint="eastAsia"/>
        </w:rPr>
        <w:t>形成最终的样本。</w:t>
      </w:r>
    </w:p>
    <w:p w:rsidR="00752B1D" w:rsidRDefault="00752B1D">
      <w:r>
        <w:rPr>
          <w:rFonts w:hint="eastAsia"/>
        </w:rPr>
        <w:t>3</w:t>
      </w:r>
      <w:r>
        <w:t>.</w:t>
      </w:r>
      <w:r w:rsidR="007F03D9">
        <w:rPr>
          <w:rFonts w:hint="eastAsia"/>
        </w:rPr>
        <w:t>备选预测变量</w:t>
      </w:r>
      <w:r>
        <w:rPr>
          <w:rFonts w:hint="eastAsia"/>
        </w:rPr>
        <w:t>相关性检验</w:t>
      </w:r>
      <w:r w:rsidR="007F03D9">
        <w:rPr>
          <w:rFonts w:hint="eastAsia"/>
        </w:rPr>
        <w:t>及预测变量筛选</w:t>
      </w:r>
    </w:p>
    <w:p w:rsidR="00547C08" w:rsidRDefault="00547C08">
      <w:pPr>
        <w:rPr>
          <w:rFonts w:cs="Times New Roman (正文 CS 字体)"/>
        </w:rPr>
      </w:pPr>
      <w:r>
        <w:tab/>
      </w:r>
      <w:r>
        <w:rPr>
          <w:rFonts w:hint="eastAsia"/>
        </w:rPr>
        <w:t>对上述经过预处理后获得样本数据进行相关性检验。本文选用SPSS统计软件对样本数据进行Pearson、Spearman、Kendall相关性检验</w:t>
      </w:r>
      <w:r w:rsidR="003A4F94">
        <w:rPr>
          <w:rFonts w:hint="eastAsia"/>
        </w:rPr>
        <w:t>，检验结果如下所示</w:t>
      </w:r>
      <w:r w:rsidR="002D4BD3">
        <w:rPr>
          <w:rFonts w:hint="eastAsia"/>
        </w:rPr>
        <w:t>。</w:t>
      </w:r>
    </w:p>
    <w:tbl>
      <w:tblPr>
        <w:tblStyle w:val="a4"/>
        <w:tblW w:w="0" w:type="auto"/>
        <w:tblCellMar>
          <w:left w:w="0" w:type="dxa"/>
          <w:right w:w="0" w:type="dxa"/>
        </w:tblCellMar>
        <w:tblLook w:val="04A0" w:firstRow="1" w:lastRow="0" w:firstColumn="1" w:lastColumn="0" w:noHBand="0" w:noVBand="1"/>
      </w:tblPr>
      <w:tblGrid>
        <w:gridCol w:w="741"/>
        <w:gridCol w:w="772"/>
        <w:gridCol w:w="880"/>
        <w:gridCol w:w="880"/>
        <w:gridCol w:w="880"/>
        <w:gridCol w:w="880"/>
        <w:gridCol w:w="818"/>
        <w:gridCol w:w="880"/>
        <w:gridCol w:w="741"/>
        <w:gridCol w:w="818"/>
      </w:tblGrid>
      <w:tr w:rsidR="002D4BD3" w:rsidRPr="008B0E6F" w:rsidTr="00AA72EF">
        <w:trPr>
          <w:trHeight w:val="20"/>
        </w:trPr>
        <w:tc>
          <w:tcPr>
            <w:tcW w:w="1960" w:type="dxa"/>
            <w:gridSpan w:val="2"/>
            <w:vAlign w:val="center"/>
            <w:hideMark/>
          </w:tcPr>
          <w:p w:rsidR="002D4BD3" w:rsidRPr="008B0E6F" w:rsidRDefault="002D4BD3" w:rsidP="00AA72EF">
            <w:pPr>
              <w:jc w:val="center"/>
              <w:rPr>
                <w:sz w:val="15"/>
              </w:rPr>
            </w:pPr>
          </w:p>
        </w:tc>
        <w:tc>
          <w:tcPr>
            <w:tcW w:w="1140" w:type="dxa"/>
            <w:vAlign w:val="center"/>
            <w:hideMark/>
          </w:tcPr>
          <w:p w:rsidR="002D4BD3" w:rsidRPr="008B0E6F" w:rsidRDefault="002D4BD3" w:rsidP="00AA72EF">
            <w:pPr>
              <w:jc w:val="center"/>
              <w:rPr>
                <w:sz w:val="15"/>
              </w:rPr>
            </w:pPr>
            <w:r w:rsidRPr="00E0277C">
              <w:rPr>
                <w:rFonts w:hint="eastAsia"/>
                <w:sz w:val="15"/>
                <w:highlight w:val="yellow"/>
              </w:rPr>
              <w:t>甲醇产量</w:t>
            </w:r>
          </w:p>
        </w:tc>
        <w:tc>
          <w:tcPr>
            <w:tcW w:w="1140" w:type="dxa"/>
            <w:vAlign w:val="center"/>
            <w:hideMark/>
          </w:tcPr>
          <w:p w:rsidR="002D4BD3" w:rsidRPr="008B0E6F" w:rsidRDefault="002D4BD3" w:rsidP="00AA72EF">
            <w:pPr>
              <w:jc w:val="center"/>
              <w:rPr>
                <w:sz w:val="15"/>
              </w:rPr>
            </w:pPr>
            <w:r w:rsidRPr="008B0E6F">
              <w:rPr>
                <w:rFonts w:hint="eastAsia"/>
                <w:sz w:val="15"/>
              </w:rPr>
              <w:t>甲醇出口量</w:t>
            </w:r>
          </w:p>
        </w:tc>
        <w:tc>
          <w:tcPr>
            <w:tcW w:w="1140" w:type="dxa"/>
            <w:vAlign w:val="center"/>
            <w:hideMark/>
          </w:tcPr>
          <w:p w:rsidR="002D4BD3" w:rsidRPr="008B0E6F" w:rsidRDefault="002D4BD3" w:rsidP="00AA72EF">
            <w:pPr>
              <w:jc w:val="center"/>
              <w:rPr>
                <w:sz w:val="15"/>
              </w:rPr>
            </w:pPr>
            <w:r w:rsidRPr="008B0E6F">
              <w:rPr>
                <w:rFonts w:hint="eastAsia"/>
                <w:sz w:val="15"/>
              </w:rPr>
              <w:t>甲醇进口量</w:t>
            </w:r>
          </w:p>
        </w:tc>
        <w:tc>
          <w:tcPr>
            <w:tcW w:w="1140" w:type="dxa"/>
            <w:vAlign w:val="center"/>
            <w:hideMark/>
          </w:tcPr>
          <w:p w:rsidR="002D4BD3" w:rsidRPr="008B0E6F" w:rsidRDefault="002D4BD3" w:rsidP="00AA72EF">
            <w:pPr>
              <w:jc w:val="center"/>
              <w:rPr>
                <w:sz w:val="15"/>
              </w:rPr>
            </w:pPr>
            <w:r w:rsidRPr="008B0E6F">
              <w:rPr>
                <w:rFonts w:hint="eastAsia"/>
                <w:sz w:val="15"/>
              </w:rPr>
              <w:t>甲醇库存量</w:t>
            </w:r>
          </w:p>
        </w:tc>
        <w:tc>
          <w:tcPr>
            <w:tcW w:w="1060" w:type="dxa"/>
            <w:vAlign w:val="center"/>
            <w:hideMark/>
          </w:tcPr>
          <w:p w:rsidR="002D4BD3" w:rsidRPr="008B0E6F" w:rsidRDefault="002D4BD3" w:rsidP="00AA72EF">
            <w:pPr>
              <w:jc w:val="center"/>
              <w:rPr>
                <w:sz w:val="15"/>
              </w:rPr>
            </w:pPr>
            <w:r w:rsidRPr="008B0E6F">
              <w:rPr>
                <w:rFonts w:hint="eastAsia"/>
                <w:sz w:val="15"/>
              </w:rPr>
              <w:t>甲醇现货价格</w:t>
            </w:r>
          </w:p>
        </w:tc>
        <w:tc>
          <w:tcPr>
            <w:tcW w:w="1140" w:type="dxa"/>
            <w:vAlign w:val="center"/>
            <w:hideMark/>
          </w:tcPr>
          <w:p w:rsidR="002D4BD3" w:rsidRPr="008B0E6F" w:rsidRDefault="002D4BD3" w:rsidP="00AA72EF">
            <w:pPr>
              <w:jc w:val="center"/>
              <w:rPr>
                <w:sz w:val="15"/>
              </w:rPr>
            </w:pPr>
            <w:r w:rsidRPr="008B0E6F">
              <w:rPr>
                <w:rFonts w:hint="eastAsia"/>
                <w:sz w:val="15"/>
              </w:rPr>
              <w:t>甲醇毛利</w:t>
            </w:r>
          </w:p>
        </w:tc>
        <w:tc>
          <w:tcPr>
            <w:tcW w:w="960" w:type="dxa"/>
            <w:vAlign w:val="center"/>
            <w:hideMark/>
          </w:tcPr>
          <w:p w:rsidR="002D4BD3" w:rsidRPr="008B0E6F" w:rsidRDefault="002D4BD3" w:rsidP="00AA72EF">
            <w:pPr>
              <w:jc w:val="center"/>
              <w:rPr>
                <w:sz w:val="15"/>
              </w:rPr>
            </w:pPr>
            <w:r w:rsidRPr="008B0E6F">
              <w:rPr>
                <w:rFonts w:hint="eastAsia"/>
                <w:sz w:val="15"/>
              </w:rPr>
              <w:t>天然气产量</w:t>
            </w:r>
          </w:p>
        </w:tc>
        <w:tc>
          <w:tcPr>
            <w:tcW w:w="1060" w:type="dxa"/>
            <w:vAlign w:val="center"/>
            <w:hideMark/>
          </w:tcPr>
          <w:p w:rsidR="002D4BD3" w:rsidRPr="008B0E6F" w:rsidRDefault="002D4BD3" w:rsidP="00AA72EF">
            <w:pPr>
              <w:jc w:val="center"/>
              <w:rPr>
                <w:sz w:val="15"/>
              </w:rPr>
            </w:pPr>
            <w:r w:rsidRPr="008B0E6F">
              <w:rPr>
                <w:rFonts w:hint="eastAsia"/>
                <w:sz w:val="15"/>
              </w:rPr>
              <w:t>天然气进口量</w:t>
            </w:r>
          </w:p>
        </w:tc>
      </w:tr>
      <w:tr w:rsidR="002D4BD3" w:rsidRPr="008B0E6F" w:rsidTr="00AA72EF">
        <w:trPr>
          <w:trHeight w:val="20"/>
        </w:trPr>
        <w:tc>
          <w:tcPr>
            <w:tcW w:w="960" w:type="dxa"/>
            <w:vMerge w:val="restart"/>
            <w:vAlign w:val="center"/>
            <w:hideMark/>
          </w:tcPr>
          <w:p w:rsidR="002D4BD3" w:rsidRPr="008B0E6F" w:rsidRDefault="002D4BD3" w:rsidP="00AA72EF">
            <w:pPr>
              <w:jc w:val="center"/>
              <w:rPr>
                <w:sz w:val="15"/>
              </w:rPr>
            </w:pPr>
            <w:r w:rsidRPr="008B0E6F">
              <w:rPr>
                <w:rFonts w:hint="eastAsia"/>
                <w:sz w:val="15"/>
              </w:rPr>
              <w:t>期货价格</w:t>
            </w:r>
          </w:p>
        </w:tc>
        <w:tc>
          <w:tcPr>
            <w:tcW w:w="1000" w:type="dxa"/>
            <w:vAlign w:val="center"/>
            <w:hideMark/>
          </w:tcPr>
          <w:p w:rsidR="002D4BD3" w:rsidRPr="008B0E6F" w:rsidRDefault="002D4BD3" w:rsidP="00AA72EF">
            <w:pPr>
              <w:jc w:val="center"/>
              <w:rPr>
                <w:sz w:val="15"/>
              </w:rPr>
            </w:pPr>
            <w:r w:rsidRPr="008B0E6F">
              <w:rPr>
                <w:rFonts w:hint="eastAsia"/>
                <w:sz w:val="15"/>
              </w:rPr>
              <w:t>Pearson 相关性</w:t>
            </w:r>
          </w:p>
        </w:tc>
        <w:tc>
          <w:tcPr>
            <w:tcW w:w="1140" w:type="dxa"/>
            <w:noWrap/>
            <w:vAlign w:val="center"/>
            <w:hideMark/>
          </w:tcPr>
          <w:p w:rsidR="002D4BD3" w:rsidRPr="008B0E6F" w:rsidRDefault="002D4BD3" w:rsidP="00AA72EF">
            <w:pPr>
              <w:jc w:val="center"/>
              <w:rPr>
                <w:sz w:val="15"/>
              </w:rPr>
            </w:pPr>
            <w:r w:rsidRPr="008B0E6F">
              <w:rPr>
                <w:rFonts w:hint="eastAsia"/>
                <w:sz w:val="15"/>
              </w:rPr>
              <w:t>-.</w:t>
            </w:r>
            <w:r w:rsidR="007313A3">
              <w:rPr>
                <w:sz w:val="15"/>
              </w:rPr>
              <w:t>1</w:t>
            </w:r>
            <w:r w:rsidR="00E36A81">
              <w:rPr>
                <w:sz w:val="15"/>
              </w:rPr>
              <w:t>6</w:t>
            </w:r>
            <w:r w:rsidRPr="008B0E6F">
              <w:rPr>
                <w:rFonts w:hint="eastAsia"/>
                <w:sz w:val="15"/>
              </w:rPr>
              <w:t>4</w:t>
            </w:r>
            <w:r w:rsidR="003004F0"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.270</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-.457</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.948</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.959</w:t>
            </w:r>
            <w:r w:rsidRPr="008B0E6F">
              <w:rPr>
                <w:rFonts w:hint="eastAsia"/>
                <w:sz w:val="15"/>
                <w:vertAlign w:val="superscript"/>
              </w:rPr>
              <w:t>**</w:t>
            </w:r>
          </w:p>
        </w:tc>
        <w:tc>
          <w:tcPr>
            <w:tcW w:w="960" w:type="dxa"/>
            <w:noWrap/>
            <w:vAlign w:val="center"/>
            <w:hideMark/>
          </w:tcPr>
          <w:p w:rsidR="002D4BD3" w:rsidRPr="008B0E6F" w:rsidRDefault="002D4BD3" w:rsidP="00AA72EF">
            <w:pPr>
              <w:jc w:val="center"/>
              <w:rPr>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-.009</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显著性（双侧）</w:t>
            </w:r>
          </w:p>
        </w:tc>
        <w:tc>
          <w:tcPr>
            <w:tcW w:w="1140" w:type="dxa"/>
            <w:noWrap/>
            <w:vAlign w:val="center"/>
            <w:hideMark/>
          </w:tcPr>
          <w:p w:rsidR="002D4BD3" w:rsidRPr="008B0E6F" w:rsidRDefault="002D4BD3" w:rsidP="00AA72EF">
            <w:pPr>
              <w:jc w:val="center"/>
              <w:rPr>
                <w:sz w:val="15"/>
              </w:rPr>
            </w:pPr>
            <w:r w:rsidRPr="008B0E6F">
              <w:rPr>
                <w:rFonts w:hint="eastAsia"/>
                <w:sz w:val="15"/>
              </w:rPr>
              <w:t>.0</w:t>
            </w:r>
            <w:r w:rsidR="007313A3">
              <w:rPr>
                <w:sz w:val="15"/>
              </w:rPr>
              <w:t>0</w:t>
            </w:r>
            <w:r w:rsidR="00E0277C">
              <w:rPr>
                <w:sz w:val="15"/>
              </w:rPr>
              <w:t>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.754</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Kendall相关系数</w:t>
            </w:r>
          </w:p>
        </w:tc>
        <w:tc>
          <w:tcPr>
            <w:tcW w:w="1140" w:type="dxa"/>
            <w:noWrap/>
            <w:vAlign w:val="center"/>
            <w:hideMark/>
          </w:tcPr>
          <w:p w:rsidR="002D4BD3" w:rsidRPr="008B0E6F" w:rsidRDefault="00E36A81" w:rsidP="00AA72EF">
            <w:pPr>
              <w:jc w:val="center"/>
              <w:rPr>
                <w:sz w:val="15"/>
              </w:rPr>
            </w:pPr>
            <w:r>
              <w:rPr>
                <w:sz w:val="15"/>
              </w:rPr>
              <w:t>-</w:t>
            </w:r>
            <w:r w:rsidR="002D4BD3" w:rsidRPr="008B0E6F">
              <w:rPr>
                <w:rFonts w:hint="eastAsia"/>
                <w:sz w:val="15"/>
              </w:rPr>
              <w:t>.</w:t>
            </w:r>
            <w:r w:rsidR="007313A3">
              <w:rPr>
                <w:sz w:val="15"/>
              </w:rPr>
              <w:t>136</w:t>
            </w:r>
            <w:r w:rsidR="003004F0"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.143</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-.322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.814</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.849</w:t>
            </w:r>
            <w:r w:rsidRPr="008B0E6F">
              <w:rPr>
                <w:rFonts w:hint="eastAsia"/>
                <w:sz w:val="15"/>
                <w:vertAlign w:val="superscript"/>
              </w:rPr>
              <w:t>**</w:t>
            </w:r>
          </w:p>
        </w:tc>
        <w:tc>
          <w:tcPr>
            <w:tcW w:w="960" w:type="dxa"/>
            <w:noWrap/>
            <w:vAlign w:val="center"/>
            <w:hideMark/>
          </w:tcPr>
          <w:p w:rsidR="002D4BD3" w:rsidRPr="008B0E6F" w:rsidRDefault="002D4BD3" w:rsidP="00AA72EF">
            <w:pPr>
              <w:jc w:val="center"/>
              <w:rPr>
                <w:sz w:val="15"/>
              </w:rPr>
            </w:pPr>
            <w:r w:rsidRPr="008B0E6F">
              <w:rPr>
                <w:rFonts w:hint="eastAsia"/>
                <w:sz w:val="15"/>
              </w:rPr>
              <w:t>-.122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-.010</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w:t>
            </w:r>
            <w:r w:rsidR="00E0277C">
              <w:rPr>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.618</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Spearman相关系数</w:t>
            </w:r>
          </w:p>
        </w:tc>
        <w:tc>
          <w:tcPr>
            <w:tcW w:w="1140" w:type="dxa"/>
            <w:noWrap/>
            <w:vAlign w:val="center"/>
            <w:hideMark/>
          </w:tcPr>
          <w:p w:rsidR="002D4BD3" w:rsidRPr="008B0E6F" w:rsidRDefault="00E36A81" w:rsidP="00AA72EF">
            <w:pPr>
              <w:jc w:val="center"/>
              <w:rPr>
                <w:sz w:val="15"/>
              </w:rPr>
            </w:pPr>
            <w:r>
              <w:rPr>
                <w:sz w:val="15"/>
              </w:rPr>
              <w:t>-</w:t>
            </w:r>
            <w:r w:rsidR="002D4BD3" w:rsidRPr="008B0E6F">
              <w:rPr>
                <w:rFonts w:hint="eastAsia"/>
                <w:sz w:val="15"/>
              </w:rPr>
              <w:t>.</w:t>
            </w:r>
            <w:r>
              <w:rPr>
                <w:sz w:val="15"/>
              </w:rPr>
              <w:t>1</w:t>
            </w:r>
            <w:r w:rsidR="002D4BD3" w:rsidRPr="008B0E6F">
              <w:rPr>
                <w:rFonts w:hint="eastAsia"/>
                <w:sz w:val="15"/>
              </w:rPr>
              <w:t>05</w:t>
            </w:r>
            <w:r w:rsidR="00EE52FA"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.195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-.506</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-.458</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.956</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.968</w:t>
            </w:r>
            <w:r w:rsidRPr="008B0E6F">
              <w:rPr>
                <w:rFonts w:hint="eastAsia"/>
                <w:sz w:val="15"/>
                <w:vertAlign w:val="superscript"/>
              </w:rPr>
              <w:t>**</w:t>
            </w:r>
          </w:p>
        </w:tc>
        <w:tc>
          <w:tcPr>
            <w:tcW w:w="960" w:type="dxa"/>
            <w:noWrap/>
            <w:vAlign w:val="center"/>
            <w:hideMark/>
          </w:tcPr>
          <w:p w:rsidR="002D4BD3" w:rsidRPr="008B0E6F" w:rsidRDefault="002D4BD3" w:rsidP="00AA72EF">
            <w:pPr>
              <w:jc w:val="center"/>
              <w:rPr>
                <w:sz w:val="15"/>
              </w:rPr>
            </w:pPr>
            <w:r w:rsidRPr="008B0E6F">
              <w:rPr>
                <w:rFonts w:hint="eastAsia"/>
                <w:sz w:val="15"/>
              </w:rPr>
              <w:t>-.173</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-.039</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w:t>
            </w:r>
            <w:r w:rsidR="00FB127D">
              <w:rPr>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.170</w:t>
            </w:r>
          </w:p>
        </w:tc>
      </w:tr>
      <w:tr w:rsidR="002D4BD3" w:rsidRPr="008B0E6F" w:rsidTr="00AA72EF">
        <w:trPr>
          <w:trHeight w:val="20"/>
        </w:trPr>
        <w:tc>
          <w:tcPr>
            <w:tcW w:w="1960" w:type="dxa"/>
            <w:gridSpan w:val="2"/>
            <w:vAlign w:val="center"/>
            <w:hideMark/>
          </w:tcPr>
          <w:p w:rsidR="002D4BD3" w:rsidRPr="008B0E6F" w:rsidRDefault="002D4BD3" w:rsidP="00AA72EF">
            <w:pPr>
              <w:jc w:val="center"/>
              <w:rPr>
                <w:sz w:val="15"/>
              </w:rPr>
            </w:pPr>
          </w:p>
        </w:tc>
        <w:tc>
          <w:tcPr>
            <w:tcW w:w="1140" w:type="dxa"/>
            <w:vAlign w:val="center"/>
            <w:hideMark/>
          </w:tcPr>
          <w:p w:rsidR="002D4BD3" w:rsidRPr="008B0E6F" w:rsidRDefault="002D4BD3" w:rsidP="00AA72EF">
            <w:pPr>
              <w:jc w:val="center"/>
              <w:rPr>
                <w:sz w:val="15"/>
              </w:rPr>
            </w:pPr>
            <w:r w:rsidRPr="008B0E6F">
              <w:rPr>
                <w:rFonts w:hint="eastAsia"/>
                <w:sz w:val="15"/>
              </w:rPr>
              <w:t>天然气库存量</w:t>
            </w:r>
          </w:p>
        </w:tc>
        <w:tc>
          <w:tcPr>
            <w:tcW w:w="1140" w:type="dxa"/>
            <w:vAlign w:val="center"/>
            <w:hideMark/>
          </w:tcPr>
          <w:p w:rsidR="002D4BD3" w:rsidRPr="008B0E6F" w:rsidRDefault="002D4BD3" w:rsidP="00AA72EF">
            <w:pPr>
              <w:jc w:val="center"/>
              <w:rPr>
                <w:sz w:val="15"/>
              </w:rPr>
            </w:pPr>
            <w:r w:rsidRPr="008B0E6F">
              <w:rPr>
                <w:rFonts w:hint="eastAsia"/>
                <w:sz w:val="15"/>
              </w:rPr>
              <w:t>天然气现货价格</w:t>
            </w:r>
          </w:p>
        </w:tc>
        <w:tc>
          <w:tcPr>
            <w:tcW w:w="1140" w:type="dxa"/>
            <w:vAlign w:val="center"/>
            <w:hideMark/>
          </w:tcPr>
          <w:p w:rsidR="002D4BD3" w:rsidRPr="008B0E6F" w:rsidRDefault="002D4BD3" w:rsidP="00AA72EF">
            <w:pPr>
              <w:jc w:val="center"/>
              <w:rPr>
                <w:sz w:val="15"/>
              </w:rPr>
            </w:pPr>
            <w:r w:rsidRPr="008B0E6F">
              <w:rPr>
                <w:rFonts w:hint="eastAsia"/>
                <w:sz w:val="15"/>
              </w:rPr>
              <w:t>冰醋酸出口量</w:t>
            </w:r>
          </w:p>
        </w:tc>
        <w:tc>
          <w:tcPr>
            <w:tcW w:w="1140" w:type="dxa"/>
            <w:vAlign w:val="center"/>
            <w:hideMark/>
          </w:tcPr>
          <w:p w:rsidR="002D4BD3" w:rsidRPr="008B0E6F" w:rsidRDefault="002D4BD3" w:rsidP="00AA72EF">
            <w:pPr>
              <w:jc w:val="center"/>
              <w:rPr>
                <w:sz w:val="15"/>
              </w:rPr>
            </w:pPr>
            <w:r w:rsidRPr="008B0E6F">
              <w:rPr>
                <w:rFonts w:hint="eastAsia"/>
                <w:sz w:val="15"/>
              </w:rPr>
              <w:t>冰醋酸进口量</w:t>
            </w:r>
          </w:p>
        </w:tc>
        <w:tc>
          <w:tcPr>
            <w:tcW w:w="1060" w:type="dxa"/>
            <w:vAlign w:val="center"/>
            <w:hideMark/>
          </w:tcPr>
          <w:p w:rsidR="002D4BD3" w:rsidRPr="008B0E6F" w:rsidRDefault="002D4BD3" w:rsidP="00AA72EF">
            <w:pPr>
              <w:jc w:val="center"/>
              <w:rPr>
                <w:sz w:val="15"/>
              </w:rPr>
            </w:pPr>
            <w:r w:rsidRPr="008B0E6F">
              <w:rPr>
                <w:rFonts w:hint="eastAsia"/>
                <w:sz w:val="15"/>
              </w:rPr>
              <w:t>冰醋酸库存量</w:t>
            </w:r>
          </w:p>
        </w:tc>
        <w:tc>
          <w:tcPr>
            <w:tcW w:w="1140" w:type="dxa"/>
            <w:vAlign w:val="center"/>
            <w:hideMark/>
          </w:tcPr>
          <w:p w:rsidR="002D4BD3" w:rsidRPr="008B0E6F" w:rsidRDefault="002D4BD3" w:rsidP="00AA72EF">
            <w:pPr>
              <w:jc w:val="center"/>
              <w:rPr>
                <w:sz w:val="15"/>
              </w:rPr>
            </w:pPr>
            <w:r w:rsidRPr="008B0E6F">
              <w:rPr>
                <w:rFonts w:hint="eastAsia"/>
                <w:sz w:val="15"/>
              </w:rPr>
              <w:t>冰醋酸消费量</w:t>
            </w:r>
          </w:p>
        </w:tc>
        <w:tc>
          <w:tcPr>
            <w:tcW w:w="960" w:type="dxa"/>
            <w:vAlign w:val="center"/>
            <w:hideMark/>
          </w:tcPr>
          <w:p w:rsidR="002D4BD3" w:rsidRPr="008B0E6F" w:rsidRDefault="002D4BD3" w:rsidP="00AA72EF">
            <w:pPr>
              <w:jc w:val="center"/>
              <w:rPr>
                <w:sz w:val="15"/>
              </w:rPr>
            </w:pPr>
            <w:r w:rsidRPr="008B0E6F">
              <w:rPr>
                <w:rFonts w:hint="eastAsia"/>
                <w:sz w:val="15"/>
              </w:rPr>
              <w:t>冰醋酸现货价格</w:t>
            </w:r>
          </w:p>
        </w:tc>
        <w:tc>
          <w:tcPr>
            <w:tcW w:w="1060" w:type="dxa"/>
            <w:vAlign w:val="center"/>
            <w:hideMark/>
          </w:tcPr>
          <w:p w:rsidR="002D4BD3" w:rsidRPr="008B0E6F" w:rsidRDefault="002D4BD3" w:rsidP="00AA72EF">
            <w:pPr>
              <w:jc w:val="center"/>
              <w:rPr>
                <w:sz w:val="15"/>
              </w:rPr>
            </w:pPr>
            <w:r w:rsidRPr="008B0E6F">
              <w:rPr>
                <w:rFonts w:hint="eastAsia"/>
                <w:sz w:val="15"/>
              </w:rPr>
              <w:t>冰醋酸毛利</w:t>
            </w:r>
          </w:p>
        </w:tc>
      </w:tr>
      <w:tr w:rsidR="002D4BD3" w:rsidRPr="008B0E6F" w:rsidTr="00AA72EF">
        <w:trPr>
          <w:trHeight w:val="20"/>
        </w:trPr>
        <w:tc>
          <w:tcPr>
            <w:tcW w:w="960" w:type="dxa"/>
            <w:vMerge w:val="restart"/>
            <w:vAlign w:val="center"/>
            <w:hideMark/>
          </w:tcPr>
          <w:p w:rsidR="002D4BD3" w:rsidRPr="008B0E6F" w:rsidRDefault="002D4BD3" w:rsidP="00AA72EF">
            <w:pPr>
              <w:jc w:val="center"/>
              <w:rPr>
                <w:sz w:val="15"/>
              </w:rPr>
            </w:pPr>
            <w:r w:rsidRPr="008B0E6F">
              <w:rPr>
                <w:rFonts w:hint="eastAsia"/>
                <w:sz w:val="15"/>
              </w:rPr>
              <w:t>期货价格</w:t>
            </w:r>
          </w:p>
        </w:tc>
        <w:tc>
          <w:tcPr>
            <w:tcW w:w="1000" w:type="dxa"/>
            <w:vAlign w:val="center"/>
            <w:hideMark/>
          </w:tcPr>
          <w:p w:rsidR="002D4BD3" w:rsidRPr="008B0E6F" w:rsidRDefault="002D4BD3" w:rsidP="00AA72EF">
            <w:pPr>
              <w:jc w:val="center"/>
              <w:rPr>
                <w:sz w:val="15"/>
              </w:rPr>
            </w:pPr>
            <w:r w:rsidRPr="008B0E6F">
              <w:rPr>
                <w:rFonts w:hint="eastAsia"/>
                <w:sz w:val="15"/>
              </w:rPr>
              <w:t>Pearson 相关性</w:t>
            </w:r>
          </w:p>
        </w:tc>
        <w:tc>
          <w:tcPr>
            <w:tcW w:w="1140" w:type="dxa"/>
            <w:noWrap/>
            <w:vAlign w:val="center"/>
            <w:hideMark/>
          </w:tcPr>
          <w:p w:rsidR="002D4BD3" w:rsidRPr="008B0E6F" w:rsidRDefault="002D4BD3" w:rsidP="00AA72EF">
            <w:pPr>
              <w:jc w:val="center"/>
              <w:rPr>
                <w:sz w:val="15"/>
              </w:rPr>
            </w:pPr>
            <w:r w:rsidRPr="008B0E6F">
              <w:rPr>
                <w:rFonts w:hint="eastAsia"/>
                <w:sz w:val="15"/>
              </w:rPr>
              <w:t>-.091</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.425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.344</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-.483</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-.248</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-.052</w:t>
            </w:r>
          </w:p>
        </w:tc>
        <w:tc>
          <w:tcPr>
            <w:tcW w:w="960" w:type="dxa"/>
            <w:noWrap/>
            <w:vAlign w:val="center"/>
            <w:hideMark/>
          </w:tcPr>
          <w:p w:rsidR="002D4BD3" w:rsidRPr="008B0E6F" w:rsidRDefault="002D4BD3" w:rsidP="00AA72EF">
            <w:pPr>
              <w:jc w:val="center"/>
              <w:rPr>
                <w:sz w:val="15"/>
              </w:rPr>
            </w:pPr>
            <w:r w:rsidRPr="008B0E6F">
              <w:rPr>
                <w:rFonts w:hint="eastAsia"/>
                <w:sz w:val="15"/>
              </w:rPr>
              <w:t>.582</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.379</w:t>
            </w:r>
            <w:r w:rsidRPr="008B0E6F">
              <w:rPr>
                <w:rFonts w:hint="eastAsia"/>
                <w:sz w:val="15"/>
                <w:vertAlign w:val="superscript"/>
              </w:rPr>
              <w:t>**</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显著性（双侧）</w:t>
            </w:r>
          </w:p>
        </w:tc>
        <w:tc>
          <w:tcPr>
            <w:tcW w:w="1140" w:type="dxa"/>
            <w:noWrap/>
            <w:vAlign w:val="center"/>
            <w:hideMark/>
          </w:tcPr>
          <w:p w:rsidR="002D4BD3" w:rsidRPr="008B0E6F" w:rsidRDefault="002D4BD3" w:rsidP="00AA72EF">
            <w:pPr>
              <w:jc w:val="center"/>
              <w:rPr>
                <w:sz w:val="15"/>
              </w:rPr>
            </w:pPr>
            <w:r w:rsidRPr="008B0E6F">
              <w:rPr>
                <w:rFonts w:hint="eastAsia"/>
                <w:sz w:val="15"/>
              </w:rPr>
              <w:t>.002</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.070</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Kendall相关系数</w:t>
            </w:r>
          </w:p>
        </w:tc>
        <w:tc>
          <w:tcPr>
            <w:tcW w:w="1140" w:type="dxa"/>
            <w:noWrap/>
            <w:vAlign w:val="center"/>
            <w:hideMark/>
          </w:tcPr>
          <w:p w:rsidR="002D4BD3" w:rsidRPr="008B0E6F" w:rsidRDefault="002D4BD3" w:rsidP="00AA72EF">
            <w:pPr>
              <w:jc w:val="center"/>
              <w:rPr>
                <w:sz w:val="15"/>
              </w:rPr>
            </w:pPr>
            <w:r w:rsidRPr="008B0E6F">
              <w:rPr>
                <w:rFonts w:hint="eastAsia"/>
                <w:sz w:val="15"/>
              </w:rPr>
              <w:t>-.090</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.307</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.250</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-.301</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-.175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.002</w:t>
            </w:r>
          </w:p>
        </w:tc>
        <w:tc>
          <w:tcPr>
            <w:tcW w:w="960" w:type="dxa"/>
            <w:noWrap/>
            <w:vAlign w:val="center"/>
            <w:hideMark/>
          </w:tcPr>
          <w:p w:rsidR="002D4BD3" w:rsidRPr="008B0E6F" w:rsidRDefault="002D4BD3" w:rsidP="00AA72EF">
            <w:pPr>
              <w:jc w:val="center"/>
              <w:rPr>
                <w:sz w:val="15"/>
              </w:rPr>
            </w:pPr>
            <w:r w:rsidRPr="008B0E6F">
              <w:rPr>
                <w:rFonts w:hint="eastAsia"/>
                <w:sz w:val="15"/>
              </w:rPr>
              <w:t>.536</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.324</w:t>
            </w:r>
            <w:r w:rsidRPr="008B0E6F">
              <w:rPr>
                <w:rFonts w:hint="eastAsia"/>
                <w:sz w:val="15"/>
                <w:vertAlign w:val="superscript"/>
              </w:rPr>
              <w:t>**</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.915</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Spearman相关系数</w:t>
            </w:r>
          </w:p>
        </w:tc>
        <w:tc>
          <w:tcPr>
            <w:tcW w:w="1140" w:type="dxa"/>
            <w:noWrap/>
            <w:vAlign w:val="center"/>
            <w:hideMark/>
          </w:tcPr>
          <w:p w:rsidR="002D4BD3" w:rsidRPr="008B0E6F" w:rsidRDefault="002D4BD3" w:rsidP="00AA72EF">
            <w:pPr>
              <w:jc w:val="center"/>
              <w:rPr>
                <w:sz w:val="15"/>
              </w:rPr>
            </w:pPr>
            <w:r w:rsidRPr="008B0E6F">
              <w:rPr>
                <w:rFonts w:hint="eastAsia"/>
                <w:sz w:val="15"/>
              </w:rPr>
              <w:t>-.123</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.455</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.347</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-.430</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-.252</w:t>
            </w:r>
            <w:r w:rsidRPr="008B0E6F">
              <w:rPr>
                <w:rFonts w:hint="eastAsia"/>
                <w:sz w:val="15"/>
                <w:vertAlign w:val="superscript"/>
              </w:rPr>
              <w:t>**</w:t>
            </w:r>
          </w:p>
        </w:tc>
        <w:tc>
          <w:tcPr>
            <w:tcW w:w="1140" w:type="dxa"/>
            <w:noWrap/>
            <w:vAlign w:val="center"/>
            <w:hideMark/>
          </w:tcPr>
          <w:p w:rsidR="002D4BD3" w:rsidRPr="008B0E6F" w:rsidRDefault="002D4BD3" w:rsidP="00AA72EF">
            <w:pPr>
              <w:jc w:val="center"/>
              <w:rPr>
                <w:sz w:val="15"/>
              </w:rPr>
            </w:pPr>
            <w:r w:rsidRPr="008B0E6F">
              <w:rPr>
                <w:rFonts w:hint="eastAsia"/>
                <w:sz w:val="15"/>
              </w:rPr>
              <w:t>.009</w:t>
            </w:r>
          </w:p>
        </w:tc>
        <w:tc>
          <w:tcPr>
            <w:tcW w:w="960" w:type="dxa"/>
            <w:noWrap/>
            <w:vAlign w:val="center"/>
            <w:hideMark/>
          </w:tcPr>
          <w:p w:rsidR="002D4BD3" w:rsidRPr="008B0E6F" w:rsidRDefault="002D4BD3" w:rsidP="00AA72EF">
            <w:pPr>
              <w:jc w:val="center"/>
              <w:rPr>
                <w:sz w:val="15"/>
              </w:rPr>
            </w:pPr>
            <w:r w:rsidRPr="008B0E6F">
              <w:rPr>
                <w:rFonts w:hint="eastAsia"/>
                <w:sz w:val="15"/>
              </w:rPr>
              <w:t>.751</w:t>
            </w:r>
            <w:r w:rsidRPr="008B0E6F">
              <w:rPr>
                <w:rFonts w:hint="eastAsia"/>
                <w:sz w:val="15"/>
                <w:vertAlign w:val="superscript"/>
              </w:rPr>
              <w:t>**</w:t>
            </w:r>
          </w:p>
        </w:tc>
        <w:tc>
          <w:tcPr>
            <w:tcW w:w="1060" w:type="dxa"/>
            <w:noWrap/>
            <w:vAlign w:val="center"/>
            <w:hideMark/>
          </w:tcPr>
          <w:p w:rsidR="002D4BD3" w:rsidRPr="008B0E6F" w:rsidRDefault="002D4BD3" w:rsidP="00AA72EF">
            <w:pPr>
              <w:jc w:val="center"/>
              <w:rPr>
                <w:sz w:val="15"/>
              </w:rPr>
            </w:pPr>
            <w:r w:rsidRPr="008B0E6F">
              <w:rPr>
                <w:rFonts w:hint="eastAsia"/>
                <w:sz w:val="15"/>
              </w:rPr>
              <w:t>.480</w:t>
            </w:r>
            <w:r w:rsidRPr="008B0E6F">
              <w:rPr>
                <w:rFonts w:hint="eastAsia"/>
                <w:sz w:val="15"/>
                <w:vertAlign w:val="superscript"/>
              </w:rPr>
              <w:t>**</w:t>
            </w:r>
          </w:p>
        </w:tc>
      </w:tr>
      <w:tr w:rsidR="002D4BD3" w:rsidRPr="008B0E6F" w:rsidTr="00AA72EF">
        <w:trPr>
          <w:trHeight w:val="20"/>
        </w:trPr>
        <w:tc>
          <w:tcPr>
            <w:tcW w:w="960" w:type="dxa"/>
            <w:vMerge/>
            <w:vAlign w:val="center"/>
            <w:hideMark/>
          </w:tcPr>
          <w:p w:rsidR="002D4BD3" w:rsidRPr="008B0E6F" w:rsidRDefault="002D4BD3" w:rsidP="00AA72EF">
            <w:pPr>
              <w:jc w:val="center"/>
              <w:rPr>
                <w:sz w:val="15"/>
              </w:rPr>
            </w:pPr>
          </w:p>
        </w:tc>
        <w:tc>
          <w:tcPr>
            <w:tcW w:w="1000" w:type="dxa"/>
            <w:vAlign w:val="center"/>
            <w:hideMark/>
          </w:tcPr>
          <w:p w:rsidR="002D4BD3" w:rsidRPr="008B0E6F" w:rsidRDefault="002D4BD3" w:rsidP="00AA72EF">
            <w:pPr>
              <w:jc w:val="center"/>
              <w:rPr>
                <w:sz w:val="15"/>
              </w:rPr>
            </w:pPr>
            <w:r w:rsidRPr="008B0E6F">
              <w:rPr>
                <w:rFonts w:hint="eastAsia"/>
                <w:sz w:val="15"/>
              </w:rPr>
              <w:t>Sig.（双侧）</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c>
          <w:tcPr>
            <w:tcW w:w="1140" w:type="dxa"/>
            <w:noWrap/>
            <w:vAlign w:val="center"/>
            <w:hideMark/>
          </w:tcPr>
          <w:p w:rsidR="002D4BD3" w:rsidRPr="008B0E6F" w:rsidRDefault="002D4BD3" w:rsidP="00AA72EF">
            <w:pPr>
              <w:jc w:val="center"/>
              <w:rPr>
                <w:sz w:val="15"/>
              </w:rPr>
            </w:pPr>
            <w:r w:rsidRPr="008B0E6F">
              <w:rPr>
                <w:rFonts w:hint="eastAsia"/>
                <w:sz w:val="15"/>
              </w:rPr>
              <w:t>.745</w:t>
            </w:r>
          </w:p>
        </w:tc>
        <w:tc>
          <w:tcPr>
            <w:tcW w:w="960" w:type="dxa"/>
            <w:noWrap/>
            <w:vAlign w:val="center"/>
            <w:hideMark/>
          </w:tcPr>
          <w:p w:rsidR="002D4BD3" w:rsidRPr="008B0E6F" w:rsidRDefault="002D4BD3" w:rsidP="00AA72EF">
            <w:pPr>
              <w:jc w:val="center"/>
              <w:rPr>
                <w:sz w:val="15"/>
              </w:rPr>
            </w:pPr>
            <w:r w:rsidRPr="008B0E6F">
              <w:rPr>
                <w:rFonts w:hint="eastAsia"/>
                <w:sz w:val="15"/>
              </w:rPr>
              <w:t>.000</w:t>
            </w:r>
          </w:p>
        </w:tc>
        <w:tc>
          <w:tcPr>
            <w:tcW w:w="1060" w:type="dxa"/>
            <w:noWrap/>
            <w:vAlign w:val="center"/>
            <w:hideMark/>
          </w:tcPr>
          <w:p w:rsidR="002D4BD3" w:rsidRPr="008B0E6F" w:rsidRDefault="002D4BD3" w:rsidP="00AA72EF">
            <w:pPr>
              <w:jc w:val="center"/>
              <w:rPr>
                <w:sz w:val="15"/>
              </w:rPr>
            </w:pPr>
            <w:r w:rsidRPr="008B0E6F">
              <w:rPr>
                <w:rFonts w:hint="eastAsia"/>
                <w:sz w:val="15"/>
              </w:rPr>
              <w:t>.000</w:t>
            </w:r>
          </w:p>
        </w:tc>
      </w:tr>
      <w:tr w:rsidR="002D4BD3" w:rsidRPr="008B0E6F" w:rsidTr="00AA72EF">
        <w:trPr>
          <w:trHeight w:val="20"/>
        </w:trPr>
        <w:tc>
          <w:tcPr>
            <w:tcW w:w="5380" w:type="dxa"/>
            <w:gridSpan w:val="5"/>
            <w:noWrap/>
            <w:vAlign w:val="center"/>
            <w:hideMark/>
          </w:tcPr>
          <w:p w:rsidR="002D4BD3" w:rsidRPr="008B0E6F" w:rsidRDefault="002D4BD3" w:rsidP="00AA72EF">
            <w:pPr>
              <w:jc w:val="center"/>
              <w:rPr>
                <w:sz w:val="15"/>
              </w:rPr>
            </w:pPr>
            <w:r w:rsidRPr="008B0E6F">
              <w:rPr>
                <w:sz w:val="15"/>
              </w:rPr>
              <w:t xml:space="preserve">**. </w:t>
            </w:r>
            <w:r w:rsidRPr="008B0E6F">
              <w:rPr>
                <w:rFonts w:hint="eastAsia"/>
                <w:sz w:val="15"/>
              </w:rPr>
              <w:t>在置信度（双测）为</w:t>
            </w:r>
            <w:r w:rsidRPr="008B0E6F">
              <w:rPr>
                <w:sz w:val="15"/>
              </w:rPr>
              <w:t xml:space="preserve"> 0.01 </w:t>
            </w:r>
            <w:r w:rsidRPr="008B0E6F">
              <w:rPr>
                <w:rFonts w:hint="eastAsia"/>
                <w:sz w:val="15"/>
              </w:rPr>
              <w:t>时，相关性是显著的。</w:t>
            </w:r>
          </w:p>
        </w:tc>
        <w:tc>
          <w:tcPr>
            <w:tcW w:w="1140" w:type="dxa"/>
            <w:noWrap/>
            <w:vAlign w:val="center"/>
            <w:hideMark/>
          </w:tcPr>
          <w:p w:rsidR="002D4BD3" w:rsidRPr="008B0E6F" w:rsidRDefault="002D4BD3" w:rsidP="00AA72EF">
            <w:pPr>
              <w:jc w:val="center"/>
              <w:rPr>
                <w:sz w:val="15"/>
              </w:rPr>
            </w:pPr>
          </w:p>
        </w:tc>
        <w:tc>
          <w:tcPr>
            <w:tcW w:w="1060" w:type="dxa"/>
            <w:noWrap/>
            <w:vAlign w:val="center"/>
            <w:hideMark/>
          </w:tcPr>
          <w:p w:rsidR="002D4BD3" w:rsidRPr="008B0E6F" w:rsidRDefault="002D4BD3" w:rsidP="00AA72EF">
            <w:pPr>
              <w:jc w:val="center"/>
              <w:rPr>
                <w:sz w:val="15"/>
              </w:rPr>
            </w:pPr>
          </w:p>
        </w:tc>
        <w:tc>
          <w:tcPr>
            <w:tcW w:w="1140" w:type="dxa"/>
            <w:noWrap/>
            <w:vAlign w:val="center"/>
            <w:hideMark/>
          </w:tcPr>
          <w:p w:rsidR="002D4BD3" w:rsidRPr="008B0E6F" w:rsidRDefault="002D4BD3" w:rsidP="00AA72EF">
            <w:pPr>
              <w:jc w:val="center"/>
              <w:rPr>
                <w:sz w:val="15"/>
              </w:rPr>
            </w:pPr>
          </w:p>
        </w:tc>
        <w:tc>
          <w:tcPr>
            <w:tcW w:w="960" w:type="dxa"/>
            <w:noWrap/>
            <w:vAlign w:val="center"/>
            <w:hideMark/>
          </w:tcPr>
          <w:p w:rsidR="002D4BD3" w:rsidRPr="008B0E6F" w:rsidRDefault="002D4BD3" w:rsidP="00AA72EF">
            <w:pPr>
              <w:jc w:val="center"/>
              <w:rPr>
                <w:sz w:val="15"/>
              </w:rPr>
            </w:pPr>
          </w:p>
        </w:tc>
        <w:tc>
          <w:tcPr>
            <w:tcW w:w="1060" w:type="dxa"/>
            <w:noWrap/>
            <w:vAlign w:val="center"/>
            <w:hideMark/>
          </w:tcPr>
          <w:p w:rsidR="002D4BD3" w:rsidRPr="008B0E6F" w:rsidRDefault="002D4BD3" w:rsidP="00AA72EF">
            <w:pPr>
              <w:jc w:val="center"/>
              <w:rPr>
                <w:sz w:val="15"/>
              </w:rPr>
            </w:pPr>
          </w:p>
        </w:tc>
      </w:tr>
    </w:tbl>
    <w:p w:rsidR="00124649" w:rsidRDefault="00A50C7A" w:rsidP="00124649">
      <w:pPr>
        <w:ind w:firstLine="420"/>
        <w:rPr>
          <w:rFonts w:cs="Times New Roman (正文 CS 字体)"/>
        </w:rPr>
      </w:pPr>
      <w:r>
        <w:rPr>
          <w:rFonts w:cs="Times New Roman (正文 CS 字体)" w:hint="eastAsia"/>
        </w:rPr>
        <w:t>根据上表可以看出，</w:t>
      </w:r>
      <w:r w:rsidR="004D1809">
        <w:rPr>
          <w:rFonts w:cs="Times New Roman (正文 CS 字体)" w:hint="eastAsia"/>
        </w:rPr>
        <w:t>在0</w:t>
      </w:r>
      <w:r w:rsidR="004D1809">
        <w:rPr>
          <w:rFonts w:cs="Times New Roman (正文 CS 字体)"/>
        </w:rPr>
        <w:t>.01</w:t>
      </w:r>
      <w:r w:rsidR="004D1809">
        <w:rPr>
          <w:rFonts w:cs="Times New Roman (正文 CS 字体)" w:hint="eastAsia"/>
        </w:rPr>
        <w:t>显著水平（双侧检验）下，</w:t>
      </w:r>
      <w:r w:rsidR="00735E5D">
        <w:rPr>
          <w:rFonts w:cs="Times New Roman (正文 CS 字体)" w:hint="eastAsia"/>
        </w:rPr>
        <w:t>除了煤进口量、醋酸消费量之外</w:t>
      </w:r>
      <w:r w:rsidR="0011647B">
        <w:rPr>
          <w:rFonts w:cs="Times New Roman (正文 CS 字体)" w:hint="eastAsia"/>
        </w:rPr>
        <w:t>的</w:t>
      </w:r>
      <w:r w:rsidR="00735E5D">
        <w:rPr>
          <w:rFonts w:cs="Times New Roman (正文 CS 字体)" w:hint="eastAsia"/>
        </w:rPr>
        <w:t>所有特征变量均与甲醇期货价格</w:t>
      </w:r>
      <w:r w:rsidR="003A3367">
        <w:rPr>
          <w:rFonts w:cs="Times New Roman (正文 CS 字体)" w:hint="eastAsia"/>
        </w:rPr>
        <w:t>显著相关</w:t>
      </w:r>
      <w:r w:rsidR="007F03D9">
        <w:rPr>
          <w:rFonts w:cs="Times New Roman (正文 CS 字体)" w:hint="eastAsia"/>
        </w:rPr>
        <w:t>。</w:t>
      </w:r>
      <w:r w:rsidR="008F778E">
        <w:rPr>
          <w:rFonts w:cs="Times New Roman (正文 CS 字体)" w:hint="eastAsia"/>
        </w:rPr>
        <w:t>根据相关性检验结果，本文将</w:t>
      </w:r>
      <w:r w:rsidR="002D6FA8">
        <w:rPr>
          <w:rFonts w:cs="Times New Roman (正文 CS 字体)" w:hint="eastAsia"/>
        </w:rPr>
        <w:t>煤进口量和醋酸消费量之外的</w:t>
      </w:r>
      <w:r w:rsidR="004635D1">
        <w:rPr>
          <w:rFonts w:cs="Times New Roman (正文 CS 字体)" w:hint="eastAsia"/>
        </w:rPr>
        <w:t>共1</w:t>
      </w:r>
      <w:r w:rsidR="004635D1">
        <w:rPr>
          <w:rFonts w:cs="Times New Roman (正文 CS 字体)"/>
        </w:rPr>
        <w:t>4</w:t>
      </w:r>
      <w:r w:rsidR="004635D1">
        <w:rPr>
          <w:rFonts w:cs="Times New Roman (正文 CS 字体)" w:hint="eastAsia"/>
        </w:rPr>
        <w:t>个</w:t>
      </w:r>
      <w:r w:rsidR="002D6FA8">
        <w:rPr>
          <w:rFonts w:cs="Times New Roman (正文 CS 字体)" w:hint="eastAsia"/>
        </w:rPr>
        <w:t>备选特征变量选为预测变量。</w:t>
      </w:r>
    </w:p>
    <w:p w:rsidR="003A3367" w:rsidRDefault="006C0F54" w:rsidP="00124649">
      <w:pPr>
        <w:ind w:firstLine="420"/>
        <w:rPr>
          <w:rFonts w:cs="Times New Roman (正文 CS 字体)"/>
        </w:rPr>
      </w:pPr>
      <w:r>
        <w:rPr>
          <w:rFonts w:cs="Times New Roman (正文 CS 字体)" w:hint="eastAsia"/>
        </w:rPr>
        <w:t>本文仅将被预测变量与各备选预测变量之间的相关性检验结果呈现于上</w:t>
      </w:r>
      <w:r w:rsidR="00FB7552">
        <w:rPr>
          <w:rFonts w:cs="Times New Roman (正文 CS 字体)" w:hint="eastAsia"/>
        </w:rPr>
        <w:t>，</w:t>
      </w:r>
      <w:r w:rsidR="0086466B">
        <w:rPr>
          <w:rFonts w:cs="Times New Roman (正文 CS 字体)" w:hint="eastAsia"/>
        </w:rPr>
        <w:t>根据</w:t>
      </w:r>
      <w:r w:rsidR="0034181F" w:rsidRPr="004A5E9B">
        <w:rPr>
          <w:rFonts w:cs="Times New Roman (正文 CS 字体)" w:hint="eastAsia"/>
          <w:highlight w:val="yellow"/>
        </w:rPr>
        <w:t>Pearson</w:t>
      </w:r>
      <w:r w:rsidR="0086466B">
        <w:rPr>
          <w:rFonts w:cs="Times New Roman (正文 CS 字体)" w:hint="eastAsia"/>
        </w:rPr>
        <w:t>相关性检验结果</w:t>
      </w:r>
      <w:r w:rsidR="00972D54">
        <w:rPr>
          <w:rFonts w:cs="Times New Roman (正文 CS 字体)" w:hint="eastAsia"/>
        </w:rPr>
        <w:t>，各</w:t>
      </w:r>
      <w:r w:rsidR="00FB7552">
        <w:rPr>
          <w:rFonts w:cs="Times New Roman (正文 CS 字体)" w:hint="eastAsia"/>
        </w:rPr>
        <w:t>备选预测变量两两之间，共4</w:t>
      </w:r>
      <w:r w:rsidR="00FB7552">
        <w:rPr>
          <w:rFonts w:cs="Times New Roman (正文 CS 字体)"/>
        </w:rPr>
        <w:t>4</w:t>
      </w:r>
      <w:r w:rsidR="00FB7552">
        <w:rPr>
          <w:rFonts w:cs="Times New Roman (正文 CS 字体)" w:hint="eastAsia"/>
        </w:rPr>
        <w:t>对</w:t>
      </w:r>
      <w:r w:rsidR="00332A42">
        <w:rPr>
          <w:rFonts w:cs="Times New Roman (正文 CS 字体)" w:hint="eastAsia"/>
        </w:rPr>
        <w:t>的</w:t>
      </w:r>
      <w:r w:rsidR="00FB7552">
        <w:rPr>
          <w:rFonts w:cs="Times New Roman (正文 CS 字体)" w:hint="eastAsia"/>
        </w:rPr>
        <w:t>相关性检验</w:t>
      </w:r>
      <w:r w:rsidR="002E08CF">
        <w:rPr>
          <w:rFonts w:cs="Times New Roman (正文 CS 字体)" w:hint="eastAsia"/>
        </w:rPr>
        <w:t>结果</w:t>
      </w:r>
      <w:r w:rsidR="00FB7552">
        <w:rPr>
          <w:rFonts w:cs="Times New Roman (正文 CS 字体)" w:hint="eastAsia"/>
        </w:rPr>
        <w:t>中，有</w:t>
      </w:r>
      <w:r w:rsidR="00BB6CDB">
        <w:rPr>
          <w:rFonts w:cs="Times New Roman (正文 CS 字体)" w:hint="eastAsia"/>
        </w:rPr>
        <w:t>3</w:t>
      </w:r>
      <w:r w:rsidR="00BB6CDB">
        <w:rPr>
          <w:rFonts w:cs="Times New Roman (正文 CS 字体)"/>
        </w:rPr>
        <w:t>3</w:t>
      </w:r>
      <w:r w:rsidR="00BB6CDB">
        <w:rPr>
          <w:rFonts w:cs="Times New Roman (正文 CS 字体)" w:hint="eastAsia"/>
        </w:rPr>
        <w:t>对相关性</w:t>
      </w:r>
      <w:r w:rsidR="00FB7552">
        <w:rPr>
          <w:rFonts w:cs="Times New Roman (正文 CS 字体)" w:hint="eastAsia"/>
        </w:rPr>
        <w:t>检验</w:t>
      </w:r>
      <w:r w:rsidR="00BB6CDB">
        <w:rPr>
          <w:rFonts w:cs="Times New Roman (正文 CS 字体)" w:hint="eastAsia"/>
        </w:rPr>
        <w:t>结果</w:t>
      </w:r>
      <w:r w:rsidR="00FB7552">
        <w:rPr>
          <w:rFonts w:cs="Times New Roman (正文 CS 字体)" w:hint="eastAsia"/>
        </w:rPr>
        <w:t>是显著</w:t>
      </w:r>
      <w:r w:rsidR="008764FE">
        <w:rPr>
          <w:rFonts w:cs="Times New Roman (正文 CS 字体)" w:hint="eastAsia"/>
        </w:rPr>
        <w:t>的</w:t>
      </w:r>
      <w:r w:rsidR="00FB7552">
        <w:rPr>
          <w:rFonts w:cs="Times New Roman (正文 CS 字体)" w:hint="eastAsia"/>
        </w:rPr>
        <w:t>，</w:t>
      </w:r>
      <w:r w:rsidR="001E62B6">
        <w:rPr>
          <w:rFonts w:cs="Times New Roman (正文 CS 字体)" w:hint="eastAsia"/>
        </w:rPr>
        <w:t>表明</w:t>
      </w:r>
      <w:r w:rsidR="00FB7552">
        <w:rPr>
          <w:rFonts w:cs="Times New Roman (正文 CS 字体)" w:hint="eastAsia"/>
        </w:rPr>
        <w:t>预测变量之间是</w:t>
      </w:r>
      <w:r w:rsidR="00B00345">
        <w:rPr>
          <w:rFonts w:cs="Times New Roman (正文 CS 字体)" w:hint="eastAsia"/>
        </w:rPr>
        <w:t>存在共线性的</w:t>
      </w:r>
      <w:r w:rsidR="00FB7552">
        <w:rPr>
          <w:rFonts w:cs="Times New Roman (正文 CS 字体)" w:hint="eastAsia"/>
        </w:rPr>
        <w:t>。</w:t>
      </w:r>
      <w:r w:rsidR="00007C32">
        <w:rPr>
          <w:rFonts w:cs="Times New Roman (正文 CS 字体)" w:hint="eastAsia"/>
        </w:rPr>
        <w:t>（是不是放在这里不是很合适）</w:t>
      </w:r>
    </w:p>
    <w:p w:rsidR="00007C32" w:rsidRDefault="00754E2C" w:rsidP="00007C32">
      <w:pPr>
        <w:rPr>
          <w:rFonts w:cs="Times New Roman (正文 CS 字体)"/>
        </w:rPr>
      </w:pPr>
      <w:r>
        <w:rPr>
          <w:rFonts w:cs="Times New Roman (正文 CS 字体)" w:hint="eastAsia"/>
        </w:rPr>
        <w:t>（以上变量的筛选是没有问题的，接下来就是处理实验的部分）</w:t>
      </w:r>
    </w:p>
    <w:p w:rsidR="00D737C1" w:rsidRDefault="00863CCF" w:rsidP="00007C32">
      <w:pPr>
        <w:rPr>
          <w:rFonts w:cs="Times New Roman (正文 CS 字体)"/>
        </w:rPr>
      </w:pPr>
      <w:r>
        <w:rPr>
          <w:rFonts w:cs="Times New Roman (正文 CS 字体)" w:hint="eastAsia"/>
        </w:rPr>
        <w:t>研究方法</w:t>
      </w:r>
    </w:p>
    <w:p w:rsidR="005F4C47" w:rsidRDefault="00655547" w:rsidP="00007C32">
      <w:pPr>
        <w:rPr>
          <w:rFonts w:cs="Times New Roman (正文 CS 字体)"/>
        </w:rPr>
      </w:pPr>
      <w:r>
        <w:rPr>
          <w:rFonts w:cs="Times New Roman (正文 CS 字体)"/>
        </w:rPr>
        <w:tab/>
      </w:r>
      <w:r>
        <w:rPr>
          <w:rFonts w:cs="Times New Roman (正文 CS 字体)" w:hint="eastAsia"/>
        </w:rPr>
        <w:t>根据被预测变量和预测变量之间的相关性检验结果，与被预测变量呈现出强相关性的预测变量仅为甲醇现货价格和甲醇毛利，其余变量呈现出中、弱相关性。</w:t>
      </w:r>
      <w:r w:rsidR="002667CB">
        <w:rPr>
          <w:rFonts w:cs="Times New Roman (正文 CS 字体)" w:hint="eastAsia"/>
        </w:rPr>
        <w:t>根据各预测变量相互之间的相关性检验结果</w:t>
      </w:r>
      <w:r w:rsidR="0065005C">
        <w:rPr>
          <w:rFonts w:cs="Times New Roman (正文 CS 字体)" w:hint="eastAsia"/>
        </w:rPr>
        <w:t>，</w:t>
      </w:r>
      <w:r w:rsidR="00471DE8">
        <w:rPr>
          <w:rFonts w:cs="Times New Roman (正文 CS 字体)" w:hint="eastAsia"/>
        </w:rPr>
        <w:t>在4</w:t>
      </w:r>
      <w:r w:rsidR="00471DE8">
        <w:rPr>
          <w:rFonts w:cs="Times New Roman (正文 CS 字体)"/>
        </w:rPr>
        <w:t>4</w:t>
      </w:r>
      <w:r w:rsidR="00471DE8">
        <w:rPr>
          <w:rFonts w:cs="Times New Roman (正文 CS 字体)" w:hint="eastAsia"/>
        </w:rPr>
        <w:t>对预测变量之间相关性检验结果中，有3</w:t>
      </w:r>
      <w:r w:rsidR="00471DE8">
        <w:rPr>
          <w:rFonts w:cs="Times New Roman (正文 CS 字体)"/>
        </w:rPr>
        <w:t>3</w:t>
      </w:r>
      <w:r w:rsidR="00471DE8">
        <w:rPr>
          <w:rFonts w:cs="Times New Roman (正文 CS 字体)" w:hint="eastAsia"/>
        </w:rPr>
        <w:t>对检验结果是显著</w:t>
      </w:r>
      <w:r w:rsidR="0014380A">
        <w:rPr>
          <w:rFonts w:cs="Times New Roman (正文 CS 字体)" w:hint="eastAsia"/>
        </w:rPr>
        <w:t>的</w:t>
      </w:r>
      <w:r w:rsidR="00471DE8">
        <w:rPr>
          <w:rFonts w:cs="Times New Roman (正文 CS 字体)" w:hint="eastAsia"/>
        </w:rPr>
        <w:t>，表明预测变量之间是存在多重共线性。</w:t>
      </w:r>
      <w:r w:rsidR="006955BE">
        <w:rPr>
          <w:rFonts w:cs="Times New Roman (正文 CS 字体)" w:hint="eastAsia"/>
        </w:rPr>
        <w:t>方匡南等（2</w:t>
      </w:r>
      <w:r w:rsidR="006955BE">
        <w:rPr>
          <w:rFonts w:cs="Times New Roman (正文 CS 字体)"/>
        </w:rPr>
        <w:t>011</w:t>
      </w:r>
      <w:r w:rsidR="006955BE">
        <w:rPr>
          <w:rFonts w:cs="Times New Roman (正文 CS 字体)" w:hint="eastAsia"/>
        </w:rPr>
        <w:t>）指出</w:t>
      </w:r>
      <w:r w:rsidR="006955BE">
        <w:rPr>
          <w:rFonts w:hint="eastAsia"/>
        </w:rPr>
        <w:t>随机森林不需要考虑共线性问题，对异常值和噪声有很好的容忍度，</w:t>
      </w:r>
      <w:r w:rsidR="00B70F9A">
        <w:rPr>
          <w:rFonts w:hint="eastAsia"/>
        </w:rPr>
        <w:t>且</w:t>
      </w:r>
      <w:r w:rsidR="006955BE">
        <w:rPr>
          <w:rFonts w:hint="eastAsia"/>
        </w:rPr>
        <w:t>不易出现过拟合，</w:t>
      </w:r>
      <w:r w:rsidR="00BB2B6A">
        <w:rPr>
          <w:rFonts w:hint="eastAsia"/>
        </w:rPr>
        <w:t>能够很好地处理高维度数据，</w:t>
      </w:r>
      <w:r w:rsidR="006955BE">
        <w:rPr>
          <w:rFonts w:hint="eastAsia"/>
        </w:rPr>
        <w:t>且预测准确率高[</w:t>
      </w:r>
      <w:r w:rsidR="006955BE">
        <w:t>14]</w:t>
      </w:r>
      <w:r w:rsidR="006955BE">
        <w:rPr>
          <w:rFonts w:hint="eastAsia"/>
        </w:rPr>
        <w:t>。</w:t>
      </w:r>
      <w:r w:rsidR="004B72D6">
        <w:rPr>
          <w:rFonts w:hint="eastAsia"/>
          <w:highlight w:val="yellow"/>
        </w:rPr>
        <w:t>结合</w:t>
      </w:r>
      <w:r w:rsidR="00FA2D10" w:rsidRPr="00A55A1F">
        <w:rPr>
          <w:rFonts w:hint="eastAsia"/>
          <w:highlight w:val="yellow"/>
        </w:rPr>
        <w:t>甲醇期货价格所呈现出的特点</w:t>
      </w:r>
      <w:r w:rsidR="00BD3246">
        <w:rPr>
          <w:rFonts w:hint="eastAsia"/>
          <w:highlight w:val="yellow"/>
        </w:rPr>
        <w:t>（是否要考虑一下和比特币所呈现出的动态性进行比较）</w:t>
      </w:r>
      <w:r w:rsidR="008F0D76">
        <w:rPr>
          <w:rFonts w:hint="eastAsia"/>
          <w:highlight w:val="yellow"/>
        </w:rPr>
        <w:t>（这里可能需要画一张图）</w:t>
      </w:r>
      <w:r w:rsidR="00FA2D10">
        <w:rPr>
          <w:rFonts w:hint="eastAsia"/>
        </w:rPr>
        <w:t>，</w:t>
      </w:r>
      <w:r w:rsidR="00D40190">
        <w:rPr>
          <w:rFonts w:cs="Times New Roman (正文 CS 字体)" w:hint="eastAsia"/>
        </w:rPr>
        <w:t>本文选用适应能力较强的随机森林回归模型</w:t>
      </w:r>
      <w:r w:rsidR="004049B1">
        <w:rPr>
          <w:rFonts w:cs="Times New Roman (正文 CS 字体)" w:hint="eastAsia"/>
        </w:rPr>
        <w:t>对甲醇期货价格进行预测</w:t>
      </w:r>
      <w:r w:rsidR="005F4C47">
        <w:rPr>
          <w:rFonts w:cs="Times New Roman (正文 CS 字体)" w:hint="eastAsia"/>
        </w:rPr>
        <w:t>，</w:t>
      </w:r>
      <w:r w:rsidR="008E6B3D">
        <w:rPr>
          <w:rFonts w:cs="Times New Roman (正文 CS 字体)" w:hint="eastAsia"/>
        </w:rPr>
        <w:t>考虑到选取的预测变量量纲不一致可能对模型精度产生影响，因此</w:t>
      </w:r>
      <w:r w:rsidR="005F4C47">
        <w:rPr>
          <w:rFonts w:cs="Times New Roman (正文 CS 字体)" w:hint="eastAsia"/>
        </w:rPr>
        <w:t>对预测变量进行归一化处理构建对照模型</w:t>
      </w:r>
      <w:r w:rsidR="00D10B6D">
        <w:rPr>
          <w:rFonts w:cs="Times New Roman (正文 CS 字体)" w:hint="eastAsia"/>
        </w:rPr>
        <w:t>，</w:t>
      </w:r>
      <w:r w:rsidR="00766437">
        <w:rPr>
          <w:rFonts w:cs="Times New Roman (正文 CS 字体)" w:hint="eastAsia"/>
        </w:rPr>
        <w:t>排除量纲对模型造成负面影响，并</w:t>
      </w:r>
      <w:r w:rsidR="00D10B6D">
        <w:rPr>
          <w:rFonts w:cs="Times New Roman (正文 CS 字体)" w:hint="eastAsia"/>
        </w:rPr>
        <w:t>采用MAPE和R</w:t>
      </w:r>
      <w:r w:rsidR="00D10B6D">
        <w:rPr>
          <w:rFonts w:cs="Times New Roman (正文 CS 字体)"/>
        </w:rPr>
        <w:t>2</w:t>
      </w:r>
      <w:r w:rsidR="00D10B6D">
        <w:rPr>
          <w:rFonts w:cs="Times New Roman (正文 CS 字体)" w:hint="eastAsia"/>
        </w:rPr>
        <w:t>作为模型的评价指标。</w:t>
      </w:r>
      <w:r w:rsidR="00524B3F">
        <w:rPr>
          <w:rFonts w:cs="Times New Roman (正文 CS 字体)" w:hint="eastAsia"/>
        </w:rPr>
        <w:t>（思考一下回测检验的描述放在哪里是比较合适的）</w:t>
      </w:r>
      <w:r w:rsidR="00697396">
        <w:rPr>
          <w:rFonts w:cs="Times New Roman (正文 CS 字体)" w:hint="eastAsia"/>
        </w:rPr>
        <w:t>为了检验模型的实用性，本文</w:t>
      </w:r>
      <w:r w:rsidR="005778A7">
        <w:rPr>
          <w:rFonts w:cs="Times New Roman (正文 CS 字体)" w:hint="eastAsia"/>
        </w:rPr>
        <w:t>将设计</w:t>
      </w:r>
      <w:r w:rsidR="00697396">
        <w:rPr>
          <w:rFonts w:cs="Times New Roman (正文 CS 字体)" w:hint="eastAsia"/>
        </w:rPr>
        <w:t>回测</w:t>
      </w:r>
      <w:r w:rsidR="005778A7">
        <w:rPr>
          <w:rFonts w:cs="Times New Roman (正文 CS 字体)" w:hint="eastAsia"/>
        </w:rPr>
        <w:t>检验</w:t>
      </w:r>
      <w:r w:rsidR="00697396">
        <w:rPr>
          <w:rFonts w:cs="Times New Roman (正文 CS 字体)" w:hint="eastAsia"/>
        </w:rPr>
        <w:t>方法来检验模型的实际价值。</w:t>
      </w:r>
    </w:p>
    <w:p w:rsidR="006B131B" w:rsidRDefault="006B131B" w:rsidP="00007C32">
      <w:pPr>
        <w:rPr>
          <w:rFonts w:cs="Times New Roman (正文 CS 字体)"/>
        </w:rPr>
      </w:pPr>
    </w:p>
    <w:p w:rsidR="00EF7C03" w:rsidRDefault="00A70EF5" w:rsidP="00007C32">
      <w:pPr>
        <w:rPr>
          <w:rFonts w:cs="Times New Roman (正文 CS 字体)"/>
        </w:rPr>
      </w:pPr>
      <w:r>
        <w:rPr>
          <w:rFonts w:cs="Times New Roman (正文 CS 字体)" w:hint="eastAsia"/>
        </w:rPr>
        <w:t>甲</w:t>
      </w:r>
      <w:r w:rsidRPr="00971865">
        <w:rPr>
          <w:rFonts w:cs="Times New Roman (正文 CS 字体)" w:hint="eastAsia"/>
          <w:highlight w:val="yellow"/>
        </w:rPr>
        <w:t>醇期货价格预测模型构</w:t>
      </w:r>
      <w:r>
        <w:rPr>
          <w:rFonts w:cs="Times New Roman (正文 CS 字体)" w:hint="eastAsia"/>
        </w:rPr>
        <w:t>建</w:t>
      </w:r>
    </w:p>
    <w:p w:rsidR="005A2544" w:rsidRPr="00A70EF5" w:rsidRDefault="00C32A7A" w:rsidP="00007C32">
      <w:pPr>
        <w:rPr>
          <w:rFonts w:cs="Times New Roman (正文 CS 字体)"/>
        </w:rPr>
      </w:pPr>
      <w:r>
        <w:rPr>
          <w:rFonts w:cs="Times New Roman (正文 CS 字体)"/>
        </w:rPr>
        <w:lastRenderedPageBreak/>
        <w:tab/>
      </w:r>
      <w:r w:rsidR="00A70EF5">
        <w:rPr>
          <w:rFonts w:cs="Times New Roman (正文 CS 字体)" w:hint="eastAsia"/>
        </w:rPr>
        <w:t>随机森林是决策树模型的集成算法，它的强实用性以及高预测精度已在大量实证分析中得到论证。它将n棵决策树的预测结果结合起来以做出比单棵决策树更为精确的预测，（这里要说一下什么是随机森林，可以参考一下其他的论文是如何进行论述的），随机森林在构造单棵决策树时除了在选择样本是使用随机抽样，在构建单棵决策树的输入特征时也采用随机抽样的方式从原有特征空间中选择子特征空间，此做法有效提高了模型的稳定性。随机森林回归模型的预测结果是由众多弱评估器的预测结果进行平均而得，即众多决策树预测结果的平均值作为整体模型的回归值。（这里可能还是要扩展一下，可以借助原始的paper来找公式）</w:t>
      </w:r>
    </w:p>
    <w:p w:rsidR="00A70EF5" w:rsidRDefault="00A70EF5" w:rsidP="00007C32">
      <w:pPr>
        <w:rPr>
          <w:rFonts w:cs="Times New Roman (正文 CS 字体)"/>
        </w:rPr>
      </w:pPr>
    </w:p>
    <w:p w:rsidR="00A70EF5" w:rsidRDefault="00A70EF5" w:rsidP="00A70EF5">
      <w:r w:rsidRPr="00971865">
        <w:rPr>
          <w:rFonts w:hint="eastAsia"/>
          <w:highlight w:val="yellow"/>
        </w:rPr>
        <w:t>随机森林回归模型的构</w:t>
      </w:r>
      <w:r>
        <w:rPr>
          <w:rFonts w:hint="eastAsia"/>
        </w:rPr>
        <w:t>建</w:t>
      </w:r>
    </w:p>
    <w:p w:rsidR="00A70EF5" w:rsidRDefault="00A70EF5" w:rsidP="00A70EF5">
      <w:r>
        <w:tab/>
      </w:r>
      <w:r>
        <w:rPr>
          <w:rFonts w:hint="eastAsia"/>
        </w:rPr>
        <w:t>随机森林回归模型的构建方法是：首先，从N个交易日时间序列样本集中，按</w:t>
      </w:r>
      <w:r>
        <w:t>7:3</w:t>
      </w:r>
      <w:r>
        <w:rPr>
          <w:rFonts w:hint="eastAsia"/>
        </w:rPr>
        <w:t>比例有序导出7</w:t>
      </w:r>
      <w:r>
        <w:t>0%</w:t>
      </w:r>
      <w:r>
        <w:rPr>
          <w:rFonts w:hint="eastAsia"/>
        </w:rPr>
        <w:t>的样本量作为模型的训练集D，3</w:t>
      </w:r>
      <w:r>
        <w:t>0%</w:t>
      </w:r>
      <w:r>
        <w:rPr>
          <w:rFonts w:hint="eastAsia"/>
        </w:rPr>
        <w:t>样本量作为模型的测试集；其次，使用bootstrap重抽样方法从训练集D中抽取同样数量的子样本集，重复此步骤n次生成子样本集Di（</w:t>
      </w:r>
      <w:proofErr w:type="spellStart"/>
      <w:r>
        <w:rPr>
          <w:rFonts w:hint="eastAsia"/>
        </w:rPr>
        <w:t>i</w:t>
      </w:r>
      <w:proofErr w:type="spellEnd"/>
      <w:r>
        <w:t>=1</w:t>
      </w:r>
      <w:r>
        <w:rPr>
          <w:rFonts w:hint="eastAsia"/>
        </w:rPr>
        <w:t>，2，</w:t>
      </w:r>
      <w:r>
        <w:t>3</w:t>
      </w:r>
      <w:r>
        <w:rPr>
          <w:rFonts w:hint="eastAsia"/>
        </w:rPr>
        <w:t>，。。。n）；接着，以随机抽样的方式对上述生成的各个子样本集进行特征抽样，抽样的特征数量以随机方式获取并保持在7</w:t>
      </w:r>
      <w:r>
        <w:t>0%</w:t>
      </w:r>
      <w:r>
        <w:rPr>
          <w:rFonts w:hint="eastAsia"/>
        </w:rPr>
        <w:t>以上，各个样本集根据特征抽样的结果进行训练子集数据的重新生成；再次，根据抽样的各子样本集构建决策树，并对n棵决策树的结果取算术平均值作为模型的模型的预测结果；最后，对上述模型进行调优，选出预测效果较高精度的回归模型。</w:t>
      </w:r>
    </w:p>
    <w:p w:rsidR="00A70EF5" w:rsidRDefault="00A70EF5" w:rsidP="00A70EF5">
      <w:r>
        <w:tab/>
      </w:r>
      <w:r w:rsidR="000F7AE3">
        <w:rPr>
          <w:rFonts w:hint="eastAsia"/>
        </w:rPr>
        <w:t>考虑到本文所选取的预测变量的量纲不同，可能会对模型的预测结果产生影响。为了避免预测变量的不同量纲对预测模型造成负面影响，本文</w:t>
      </w:r>
      <w:r w:rsidR="00647812">
        <w:rPr>
          <w:rFonts w:hint="eastAsia"/>
        </w:rPr>
        <w:t>采取对</w:t>
      </w:r>
      <w:r>
        <w:rPr>
          <w:rFonts w:hint="eastAsia"/>
        </w:rPr>
        <w:t>被预测变量和筛选出的预测变量进行标准化处理，使用上述相同的方式构建随机森林回归模型，</w:t>
      </w:r>
      <w:r w:rsidR="00125DB1">
        <w:rPr>
          <w:rFonts w:hint="eastAsia"/>
        </w:rPr>
        <w:t>形成</w:t>
      </w:r>
      <w:r>
        <w:rPr>
          <w:rFonts w:hint="eastAsia"/>
        </w:rPr>
        <w:t>对照模型，对比模型回归结果选取</w:t>
      </w:r>
      <w:r w:rsidR="00BA5C67">
        <w:rPr>
          <w:rFonts w:hint="eastAsia"/>
        </w:rPr>
        <w:t>甲醇期货价格</w:t>
      </w:r>
      <w:r>
        <w:rPr>
          <w:rFonts w:hint="eastAsia"/>
        </w:rPr>
        <w:t>的预测模型。</w:t>
      </w:r>
      <w:r w:rsidR="00D87FA3">
        <w:rPr>
          <w:rFonts w:hint="eastAsia"/>
        </w:rPr>
        <w:t>标准化</w:t>
      </w:r>
      <w:r>
        <w:rPr>
          <w:rFonts w:hint="eastAsia"/>
        </w:rPr>
        <w:t>处理的</w:t>
      </w:r>
      <w:r w:rsidR="009D2893">
        <w:rPr>
          <w:rFonts w:hint="eastAsia"/>
        </w:rPr>
        <w:t>方法</w:t>
      </w:r>
      <w:r>
        <w:rPr>
          <w:rFonts w:hint="eastAsia"/>
        </w:rPr>
        <w:t>为：</w:t>
      </w:r>
    </w:p>
    <w:p w:rsidR="00A70EF5" w:rsidRPr="00D72408" w:rsidRDefault="00013FB2" w:rsidP="00A70EF5">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i=1,2,3,…14, j=1,2,3…</m:t>
          </m:r>
        </m:oMath>
      </m:oMathPara>
    </w:p>
    <w:p w:rsidR="00A70EF5" w:rsidRPr="00D72408" w:rsidRDefault="00013FB2" w:rsidP="00A70EF5">
      <m:oMathPara>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-E(Y)</m:t>
              </m:r>
            </m:num>
            <m:den>
              <m:r>
                <w:rPr>
                  <w:rFonts w:ascii="Cambria Math" w:hAnsi="Cambria Math"/>
                </w:rPr>
                <m:t>σ(Y)</m:t>
              </m:r>
            </m:den>
          </m:f>
          <m:r>
            <w:rPr>
              <w:rFonts w:ascii="Cambria Math" w:hAnsi="Cambria Math"/>
            </w:rPr>
            <m:t>, j=1,2,3…</m:t>
          </m:r>
        </m:oMath>
      </m:oMathPara>
    </w:p>
    <w:p w:rsidR="00A70EF5" w:rsidRDefault="00A70EF5" w:rsidP="00A70EF5">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为第</w:t>
      </w:r>
      <w:proofErr w:type="spellStart"/>
      <w:r>
        <w:rPr>
          <w:rFonts w:hint="eastAsia"/>
        </w:rPr>
        <w:t>i</w:t>
      </w:r>
      <w:proofErr w:type="spellEnd"/>
      <w:r>
        <w:rPr>
          <w:rFonts w:hint="eastAsia"/>
        </w:rPr>
        <w:t>个特征变量的第j个样本值，</w:t>
      </w: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为第</w:t>
      </w:r>
      <w:proofErr w:type="spellStart"/>
      <w:r>
        <w:rPr>
          <w:rFonts w:hint="eastAsia"/>
        </w:rPr>
        <w:t>i</w:t>
      </w:r>
      <w:proofErr w:type="spellEnd"/>
      <w:r>
        <w:rPr>
          <w:rFonts w:hint="eastAsia"/>
        </w:rPr>
        <w:t>个特征变量的样本均值，</w:t>
      </w:r>
      <m:oMath>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为第</w:t>
      </w:r>
      <w:proofErr w:type="spellStart"/>
      <w:r>
        <w:rPr>
          <w:rFonts w:hint="eastAsia"/>
        </w:rPr>
        <w:t>i</w:t>
      </w:r>
      <w:proofErr w:type="spellEnd"/>
      <w:r>
        <w:rPr>
          <w:rFonts w:hint="eastAsia"/>
        </w:rPr>
        <w:t>个特征变量的样本标准差，</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oMath>
      <w:r>
        <w:rPr>
          <w:rFonts w:hint="eastAsia"/>
        </w:rPr>
        <w:t>为第</w:t>
      </w:r>
      <w:proofErr w:type="spellStart"/>
      <w:r>
        <w:rPr>
          <w:rFonts w:hint="eastAsia"/>
        </w:rPr>
        <w:t>i</w:t>
      </w:r>
      <w:proofErr w:type="spellEnd"/>
      <w:r>
        <w:rPr>
          <w:rFonts w:hint="eastAsia"/>
        </w:rPr>
        <w:t>个特征变量的第j个经过标准化后的样本值；</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eastAsia"/>
        </w:rPr>
        <w:t>为被预测变量的第j个样本值，</w:t>
      </w:r>
      <m:oMath>
        <m:r>
          <w:rPr>
            <w:rFonts w:ascii="Cambria Math" w:hAnsi="Cambria Math"/>
          </w:rPr>
          <m:t>E(Y)</m:t>
        </m:r>
      </m:oMath>
      <w:r>
        <w:rPr>
          <w:rFonts w:hint="eastAsia"/>
        </w:rPr>
        <w:t>为被预测变量的样本均值，</w:t>
      </w:r>
      <m:oMath>
        <m:r>
          <w:rPr>
            <w:rFonts w:ascii="Cambria Math" w:hAnsi="Cambria Math"/>
          </w:rPr>
          <m:t>σ(Y)</m:t>
        </m:r>
      </m:oMath>
      <w:r>
        <w:rPr>
          <w:rFonts w:hint="eastAsia"/>
        </w:rPr>
        <w:t>为被预测变量的样本标准差，</w:t>
      </w: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oMath>
      <w:r>
        <w:rPr>
          <w:rFonts w:hint="eastAsia"/>
        </w:rPr>
        <w:t>为被预测变量的第j个经过标准化后的样本值。</w:t>
      </w:r>
    </w:p>
    <w:p w:rsidR="00A70EF5" w:rsidRDefault="00A70EF5" w:rsidP="00A70EF5">
      <w:r>
        <w:rPr>
          <w:rFonts w:hint="eastAsia"/>
        </w:rPr>
        <w:t>模型评估指标</w:t>
      </w:r>
    </w:p>
    <w:p w:rsidR="00A70EF5" w:rsidRDefault="00A70EF5" w:rsidP="00A70EF5">
      <w:r>
        <w:rPr>
          <w:rFonts w:hint="eastAsia"/>
        </w:rPr>
        <w:t>本文采用的模型评估指标为</w:t>
      </w:r>
      <w:r w:rsidRPr="00C665C9">
        <w:t>平均绝对百分比误差</w:t>
      </w:r>
      <w:r>
        <w:rPr>
          <w:rFonts w:hint="eastAsia"/>
        </w:rPr>
        <w:t>（MAPE）和R</w:t>
      </w:r>
      <w:r>
        <w:t>2</w:t>
      </w:r>
      <w:r>
        <w:rPr>
          <w:rFonts w:hint="eastAsia"/>
        </w:rPr>
        <w:t>。设n为样本数，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和</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hint="eastAsia"/>
        </w:rPr>
        <w:t>分别表示为被预测变量的样本值和预测值，其计算方式为：</w:t>
      </w:r>
    </w:p>
    <w:p w:rsidR="00A70EF5" w:rsidRPr="00277627" w:rsidRDefault="00A70EF5" w:rsidP="00A70EF5">
      <m:oMathPara>
        <m:oMath>
          <m:r>
            <w:rPr>
              <w:rFonts w:ascii="Cambria Math" w:hAnsi="Cambria Math"/>
            </w:rPr>
            <m:t xml:space="preserve">MAPE= </m:t>
          </m:r>
          <m:f>
            <m:fPr>
              <m:ctrlPr>
                <w:rPr>
                  <w:rFonts w:ascii="Cambria Math" w:hAnsi="Cambria Math"/>
                  <w:i/>
                </w:rPr>
              </m:ctrlPr>
            </m:fPr>
            <m:num>
              <m:r>
                <w:rPr>
                  <w:rFonts w:ascii="Cambria Math" w:hAnsi="Cambria Math"/>
                </w:rPr>
                <m:t>100%</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e>
          </m:nary>
        </m:oMath>
      </m:oMathPara>
    </w:p>
    <w:p w:rsidR="00A70EF5" w:rsidRPr="009C5863" w:rsidRDefault="00013FB2" w:rsidP="00A70EF5">
      <m:oMathPara>
        <m:oMath>
          <m:sSup>
            <m:sSupPr>
              <m:ctrlPr>
                <w:rPr>
                  <w:rFonts w:ascii="Cambria Math" w:hAnsi="Cambria Math"/>
                </w:rPr>
              </m:ctrlPr>
            </m:sSupPr>
            <m:e>
              <m:r>
                <w:rPr>
                  <w:rFonts w:ascii="Cambria Math" w:hAnsi="Cambria Math" w:hint="eastAsia"/>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 xml:space="preserve">, SSR=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r>
            <w:rPr>
              <w:rFonts w:ascii="Cambria Math" w:hAnsi="Cambria Math"/>
            </w:rPr>
            <m:t>, SST=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rsidR="00A70EF5" w:rsidRDefault="00A70EF5" w:rsidP="00A70EF5">
      <w:r>
        <w:rPr>
          <w:rFonts w:hint="eastAsia"/>
        </w:rPr>
        <w:t>其中，</w:t>
      </w:r>
      <m:oMath>
        <m:acc>
          <m:accPr>
            <m:chr m:val="̅"/>
            <m:ctrlPr>
              <w:rPr>
                <w:rFonts w:ascii="Cambria Math" w:hAnsi="Cambria Math"/>
                <w:i/>
              </w:rPr>
            </m:ctrlPr>
          </m:accPr>
          <m:e>
            <m:r>
              <w:rPr>
                <w:rFonts w:ascii="Cambria Math" w:hAnsi="Cambria Math"/>
              </w:rPr>
              <m:t>y</m:t>
            </m:r>
          </m:e>
        </m:acc>
      </m:oMath>
      <w:r>
        <w:rPr>
          <w:rFonts w:hint="eastAsia"/>
        </w:rPr>
        <w:t>为被预测变量的样本均值。</w:t>
      </w:r>
    </w:p>
    <w:p w:rsidR="00A70EF5" w:rsidRDefault="00A70EF5" w:rsidP="00A70EF5">
      <w:r>
        <w:rPr>
          <w:rFonts w:hint="eastAsia"/>
        </w:rPr>
        <w:t>模型回测检验方法</w:t>
      </w:r>
    </w:p>
    <w:p w:rsidR="00A70EF5" w:rsidRDefault="00A70EF5" w:rsidP="00A70EF5">
      <w:r>
        <w:tab/>
      </w:r>
      <w:r>
        <w:rPr>
          <w:rFonts w:hint="eastAsia"/>
        </w:rPr>
        <w:t>依据上述对照模型预测结果，选定甲醇期货价格预测模型。根据甲醇期货价格回归模型预测结果构建回测交易规则，根据回测交易结果检验预测模型的有效性。本文选用的回归交易策略为经过修改的Aberration策略，并使用夏普比率来确定确定交易策略的相关参数。</w:t>
      </w:r>
    </w:p>
    <w:p w:rsidR="00A70EF5" w:rsidRDefault="00A70EF5" w:rsidP="00A70EF5">
      <w:r>
        <w:lastRenderedPageBreak/>
        <w:tab/>
      </w:r>
      <w:r>
        <w:rPr>
          <w:rFonts w:hint="eastAsia"/>
        </w:rPr>
        <w:t>Aberration交易策略分为两个部分，该策略的第一部分是相关参数的计算：</w:t>
      </w:r>
    </w:p>
    <w:p w:rsidR="00A70EF5" w:rsidRPr="008B08CC" w:rsidRDefault="00013FB2" w:rsidP="00A70EF5">
      <w:pPr>
        <w:rPr>
          <w:i/>
        </w:rPr>
      </w:pPr>
      <m:oMathPara>
        <m:oMath>
          <m:sSub>
            <m:sSubPr>
              <m:ctrlPr>
                <w:rPr>
                  <w:rFonts w:ascii="Cambria Math" w:hAnsi="Cambria Math"/>
                  <w:i/>
                </w:rPr>
              </m:ctrlPr>
            </m:sSubPr>
            <m:e>
              <m:r>
                <w:rPr>
                  <w:rFonts w:ascii="Cambria Math" w:hAnsi="Cambria Math"/>
                </w:rPr>
                <m:t>UpperBand</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hint="eastAsia"/>
                </w:rPr>
                <m:t>MAV</m:t>
              </m:r>
            </m:e>
            <m:sub>
              <m:r>
                <w:rPr>
                  <w:rFonts w:ascii="Cambria Math" w:hAnsi="Cambria Math"/>
                </w:rPr>
                <m:t xml:space="preserve">t </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,t=1,2,3…;</m:t>
          </m:r>
        </m:oMath>
      </m:oMathPara>
    </w:p>
    <w:p w:rsidR="00A70EF5" w:rsidRPr="00154B9A" w:rsidRDefault="00013FB2" w:rsidP="00A70EF5">
      <m:oMathPara>
        <m:oMath>
          <m:sSub>
            <m:sSubPr>
              <m:ctrlPr>
                <w:rPr>
                  <w:rFonts w:ascii="Cambria Math" w:hAnsi="Cambria Math"/>
                  <w:i/>
                </w:rPr>
              </m:ctrlPr>
            </m:sSubPr>
            <m:e>
              <m:r>
                <w:rPr>
                  <w:rFonts w:ascii="Cambria Math" w:hAnsi="Cambria Math"/>
                </w:rPr>
                <m:t>LowerBand</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hint="eastAsia"/>
                </w:rPr>
                <m:t>MAV</m:t>
              </m:r>
            </m:e>
            <m:sub>
              <m:r>
                <w:rPr>
                  <w:rFonts w:ascii="Cambria Math" w:hAnsi="Cambria Math"/>
                </w:rPr>
                <m:t xml:space="preserve">t </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,t=1,2,3…;</m:t>
          </m:r>
        </m:oMath>
      </m:oMathPara>
    </w:p>
    <w:p w:rsidR="00A70EF5" w:rsidRPr="00154B9A" w:rsidRDefault="00013FB2" w:rsidP="00A70EF5">
      <w:pPr>
        <w:rPr>
          <w:i/>
        </w:rPr>
      </w:pPr>
      <m:oMathPara>
        <m:oMath>
          <m:sSub>
            <m:sSubPr>
              <m:ctrlPr>
                <w:rPr>
                  <w:rFonts w:ascii="Cambria Math" w:hAnsi="Cambria Math"/>
                </w:rPr>
              </m:ctrlPr>
            </m:sSubPr>
            <m:e>
              <m:r>
                <m:rPr>
                  <m:sty m:val="p"/>
                </m:rPr>
                <w:rPr>
                  <w:rFonts w:ascii="Cambria Math" w:hAnsi="Cambria Math" w:hint="eastAsia"/>
                </w:rPr>
                <m:t>MAV</m:t>
              </m:r>
            </m:e>
            <m:sub>
              <m:r>
                <w:rPr>
                  <w:rFonts w:ascii="Cambria Math" w:hAnsi="Cambria Math"/>
                </w:rPr>
                <m:t xml:space="preserve">t </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Close</m:t>
                      </m:r>
                    </m:e>
                    <m:sub>
                      <m:r>
                        <w:rPr>
                          <w:rFonts w:ascii="Cambria Math" w:hAnsi="Cambria Math"/>
                        </w:rPr>
                        <m:t>ti</m:t>
                      </m:r>
                    </m:sub>
                  </m:sSub>
                </m:e>
              </m:nary>
            </m:num>
            <m:den>
              <m:r>
                <w:rPr>
                  <w:rFonts w:ascii="Cambria Math" w:hAnsi="Cambria Math"/>
                </w:rPr>
                <m:t>N</m:t>
              </m:r>
            </m:den>
          </m:f>
          <m:r>
            <w:rPr>
              <w:rFonts w:ascii="Cambria Math" w:hAnsi="Cambria Math"/>
            </w:rPr>
            <m:t>, t=1,2,3…;</m:t>
          </m:r>
        </m:oMath>
      </m:oMathPara>
    </w:p>
    <w:p w:rsidR="00A70EF5" w:rsidRPr="00154B9A" w:rsidRDefault="00013FB2" w:rsidP="00A70EF5">
      <m:oMathPara>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 xml:space="preserve">= </m:t>
          </m:r>
          <m:rad>
            <m:radPr>
              <m:ctrlPr>
                <w:rPr>
                  <w:rFonts w:ascii="Cambria Math" w:hAnsi="Cambria Math"/>
                  <w:i/>
                </w:rPr>
              </m:ctrlPr>
            </m:radPr>
            <m:deg>
              <m:r>
                <w:rPr>
                  <w:rFonts w:ascii="Cambria Math" w:hAnsi="Cambria Math"/>
                </w:rPr>
                <m:t>2</m:t>
              </m: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Close</m:t>
                          </m:r>
                        </m:e>
                        <m:sub>
                          <m:r>
                            <w:rPr>
                              <w:rFonts w:ascii="Cambria Math" w:hAnsi="Cambria Math"/>
                            </w:rPr>
                            <m:t>ti</m:t>
                          </m:r>
                        </m:sub>
                      </m:sSub>
                      <m:r>
                        <w:rPr>
                          <w:rFonts w:ascii="Cambria Math" w:hAnsi="Cambria Math"/>
                        </w:rPr>
                        <m:t>-</m:t>
                      </m:r>
                      <m:acc>
                        <m:accPr>
                          <m:chr m:val="̅"/>
                          <m:ctrlPr>
                            <w:rPr>
                              <w:rFonts w:ascii="Cambria Math" w:hAnsi="Cambria Math"/>
                              <w:i/>
                            </w:rPr>
                          </m:ctrlPr>
                        </m:accPr>
                        <m:e>
                          <m:r>
                            <w:rPr>
                              <w:rFonts w:ascii="Cambria Math" w:hAnsi="Cambria Math"/>
                            </w:rPr>
                            <m:t>Close</m:t>
                          </m:r>
                        </m:e>
                      </m:acc>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,t=1,2,3,…;</m:t>
          </m:r>
        </m:oMath>
      </m:oMathPara>
    </w:p>
    <w:p w:rsidR="00A70EF5" w:rsidRDefault="00A70EF5" w:rsidP="00A70EF5">
      <w:r>
        <w:rPr>
          <w:rFonts w:hint="eastAsia"/>
        </w:rPr>
        <w:t>其中</w:t>
      </w:r>
      <m:oMath>
        <m:sSub>
          <m:sSubPr>
            <m:ctrlPr>
              <w:rPr>
                <w:rFonts w:ascii="Cambria Math" w:hAnsi="Cambria Math"/>
                <w:i/>
              </w:rPr>
            </m:ctrlPr>
          </m:sSubPr>
          <m:e>
            <m:r>
              <w:rPr>
                <w:rFonts w:ascii="Cambria Math" w:hAnsi="Cambria Math"/>
              </w:rPr>
              <m:t>UpperBand</m:t>
            </m:r>
          </m:e>
          <m:sub>
            <m:r>
              <w:rPr>
                <w:rFonts w:ascii="Cambria Math" w:hAnsi="Cambria Math"/>
              </w:rPr>
              <m:t>t</m:t>
            </m:r>
          </m:sub>
        </m:sSub>
        <m:r>
          <w:rPr>
            <w:rFonts w:ascii="Cambria Math" w:hAnsi="Cambria Math"/>
          </w:rPr>
          <m:t>(t=1,2,3…</m:t>
        </m:r>
      </m:oMath>
      <w:proofErr w:type="gramStart"/>
      <w:r>
        <w:rPr>
          <w:rFonts w:hint="eastAsia"/>
        </w:rPr>
        <w:t>)为上轨线在</w:t>
      </w:r>
      <w:proofErr w:type="gramEnd"/>
      <w:r>
        <w:rPr>
          <w:rFonts w:hint="eastAsia"/>
        </w:rPr>
        <w:t>t时刻的向上突破值，</w:t>
      </w:r>
      <m:oMath>
        <m:sSub>
          <m:sSubPr>
            <m:ctrlPr>
              <w:rPr>
                <w:rFonts w:ascii="Cambria Math" w:hAnsi="Cambria Math"/>
                <w:i/>
              </w:rPr>
            </m:ctrlPr>
          </m:sSubPr>
          <m:e>
            <m:r>
              <w:rPr>
                <w:rFonts w:ascii="Cambria Math" w:hAnsi="Cambria Math"/>
              </w:rPr>
              <m:t>LowerBand</m:t>
            </m:r>
          </m:e>
          <m:sub>
            <m:r>
              <w:rPr>
                <w:rFonts w:ascii="Cambria Math" w:hAnsi="Cambria Math"/>
              </w:rPr>
              <m:t>t</m:t>
            </m:r>
          </m:sub>
        </m:sSub>
        <m:r>
          <w:rPr>
            <w:rFonts w:ascii="Cambria Math" w:hAnsi="Cambria Math"/>
          </w:rPr>
          <m:t>(t=1,2,3…</m:t>
        </m:r>
      </m:oMath>
      <w:r>
        <w:rPr>
          <w:rFonts w:hint="eastAsia"/>
        </w:rPr>
        <w:t>)为下轨线在t时刻的向下突破值，</w:t>
      </w:r>
      <m:oMath>
        <m:sSub>
          <m:sSubPr>
            <m:ctrlPr>
              <w:rPr>
                <w:rFonts w:ascii="Cambria Math" w:hAnsi="Cambria Math"/>
              </w:rPr>
            </m:ctrlPr>
          </m:sSubPr>
          <m:e>
            <m:r>
              <m:rPr>
                <m:sty m:val="p"/>
              </m:rPr>
              <w:rPr>
                <w:rFonts w:ascii="Cambria Math" w:hAnsi="Cambria Math" w:hint="eastAsia"/>
              </w:rPr>
              <m:t>MAV</m:t>
            </m:r>
          </m:e>
          <m:sub>
            <m:r>
              <w:rPr>
                <w:rFonts w:ascii="Cambria Math" w:hAnsi="Cambria Math"/>
              </w:rPr>
              <m:t>t</m:t>
            </m:r>
          </m:sub>
        </m:sSub>
        <m:r>
          <w:rPr>
            <w:rFonts w:ascii="Cambria Math" w:hAnsi="Cambria Math"/>
          </w:rPr>
          <m:t>(t=1,2,3…</m:t>
        </m:r>
      </m:oMath>
      <w:r>
        <w:rPr>
          <w:rFonts w:hint="eastAsia"/>
        </w:rPr>
        <w:t>)为甲醇期货收盘价在t时刻的移动时长为N的移动平均值，</w:t>
      </w:r>
      <m:oMath>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(t=1,2,3…</m:t>
        </m:r>
      </m:oMath>
      <w:r>
        <w:rPr>
          <w:rFonts w:hint="eastAsia"/>
        </w:rPr>
        <w:t>)为甲醇期货收盘价在t时刻移动时长为N的移动标准差，</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为阈值。</w:t>
      </w:r>
    </w:p>
    <w:p w:rsidR="00A70EF5" w:rsidRDefault="00A70EF5" w:rsidP="00B63257">
      <w:pPr>
        <w:ind w:firstLine="420"/>
      </w:pPr>
      <w:r>
        <w:rPr>
          <w:rFonts w:hint="eastAsia"/>
        </w:rPr>
        <w:t>第二部分是交易规则，Aberration交易策略是建立在</w:t>
      </w:r>
      <w:r w:rsidRPr="00B93F49">
        <w:t>布林格通道</w:t>
      </w:r>
      <w:r>
        <w:rPr>
          <w:rFonts w:hint="eastAsia"/>
        </w:rPr>
        <w:t>Bollinger</w:t>
      </w:r>
      <w:r>
        <w:t xml:space="preserve"> </w:t>
      </w:r>
      <w:r>
        <w:rPr>
          <w:rFonts w:hint="eastAsia"/>
        </w:rPr>
        <w:t>Bands理论的基础之上，Bollinger</w:t>
      </w:r>
      <w:r>
        <w:t xml:space="preserve"> </w:t>
      </w:r>
      <w:r>
        <w:rPr>
          <w:rFonts w:hint="eastAsia"/>
        </w:rPr>
        <w:t>Bands理论是由John</w:t>
      </w:r>
      <w:r>
        <w:t xml:space="preserve"> </w:t>
      </w:r>
      <w:r>
        <w:rPr>
          <w:rFonts w:hint="eastAsia"/>
        </w:rPr>
        <w:t>Bollinger在2</w:t>
      </w:r>
      <w:r>
        <w:t>0</w:t>
      </w:r>
      <w:r>
        <w:rPr>
          <w:rFonts w:hint="eastAsia"/>
        </w:rPr>
        <w:t>世纪6</w:t>
      </w:r>
      <w:r>
        <w:t>0</w:t>
      </w:r>
      <w:r>
        <w:rPr>
          <w:rFonts w:hint="eastAsia"/>
        </w:rPr>
        <w:t>年代提出，该理论指出金融市场产品价格将主要在由移动平均线以及在移动平均值基础上增加和减少一个单位的移动标准差形成的上轨和下轨线之间进行波动，当产品价格触及上轨或者下轨线时，价格将有很大可能性重新回到移动平均线附近。Keith</w:t>
      </w:r>
      <w:r>
        <w:t xml:space="preserve"> </w:t>
      </w:r>
      <w:proofErr w:type="spellStart"/>
      <w:r>
        <w:rPr>
          <w:rFonts w:hint="eastAsia"/>
        </w:rPr>
        <w:t>Fitschen</w:t>
      </w:r>
      <w:proofErr w:type="spellEnd"/>
      <w:r>
        <w:rPr>
          <w:rFonts w:hint="eastAsia"/>
        </w:rPr>
        <w:t>根据此理论进行了大量实验后发现布林格通道的上轨和下轨线其实是价格突破信号，即价格靠近上轨或下轨线附近的时候将有很大可能性超过上轨值或者跌破下轨值。本</w:t>
      </w:r>
      <w:r w:rsidR="00E7630A">
        <w:rPr>
          <w:rFonts w:hint="eastAsia"/>
        </w:rPr>
        <w:t>文</w:t>
      </w:r>
      <w:r>
        <w:rPr>
          <w:rFonts w:hint="eastAsia"/>
        </w:rPr>
        <w:t>采用的交易策略为</w:t>
      </w:r>
      <w:r w:rsidR="00503847">
        <w:rPr>
          <w:rFonts w:hint="eastAsia"/>
        </w:rPr>
        <w:t>对Aberration交易策略结合甲醇期货价格预测模型进行改进，具体方法为，使用甲醇期货价格预测模型预测后一交易日价格上涨超过</w:t>
      </w:r>
      <w:r>
        <w:rPr>
          <w:rFonts w:hint="eastAsia"/>
        </w:rPr>
        <w:t>上轨线</w:t>
      </w:r>
      <w:r w:rsidR="00503847">
        <w:rPr>
          <w:rFonts w:hint="eastAsia"/>
        </w:rPr>
        <w:t>时</w:t>
      </w:r>
      <w:r>
        <w:rPr>
          <w:rFonts w:hint="eastAsia"/>
        </w:rPr>
        <w:t>进行买多操作，并在价格回</w:t>
      </w:r>
      <w:r w:rsidR="00503847">
        <w:rPr>
          <w:rFonts w:hint="eastAsia"/>
        </w:rPr>
        <w:t>落</w:t>
      </w:r>
      <w:r>
        <w:rPr>
          <w:rFonts w:hint="eastAsia"/>
        </w:rPr>
        <w:t>到移动平均线下方</w:t>
      </w:r>
      <w:r w:rsidR="00503847">
        <w:rPr>
          <w:rFonts w:hint="eastAsia"/>
        </w:rPr>
        <w:t>时</w:t>
      </w:r>
      <w:r>
        <w:rPr>
          <w:rFonts w:hint="eastAsia"/>
        </w:rPr>
        <w:t>进行平仓操作；</w:t>
      </w:r>
      <w:r w:rsidR="00503847">
        <w:rPr>
          <w:rFonts w:hint="eastAsia"/>
        </w:rPr>
        <w:t>点那个第二交易日的预测</w:t>
      </w:r>
      <w:r>
        <w:rPr>
          <w:rFonts w:hint="eastAsia"/>
        </w:rPr>
        <w:t>价格跌破下轨线时进行买空操作，并在价格</w:t>
      </w:r>
      <w:r w:rsidR="00503847">
        <w:rPr>
          <w:rFonts w:hint="eastAsia"/>
        </w:rPr>
        <w:t>上升到</w:t>
      </w:r>
      <w:r>
        <w:rPr>
          <w:rFonts w:hint="eastAsia"/>
        </w:rPr>
        <w:t>移动平均线上方时进行平仓操作。</w:t>
      </w:r>
    </w:p>
    <w:p w:rsidR="00EC310A" w:rsidRDefault="000773E0" w:rsidP="00B63257">
      <w:pPr>
        <w:ind w:firstLine="420"/>
      </w:pPr>
      <w:r>
        <w:rPr>
          <w:rFonts w:hint="eastAsia"/>
        </w:rPr>
        <w:t>由于</w:t>
      </w:r>
      <w:r w:rsidR="00A70EF5">
        <w:rPr>
          <w:rFonts w:hint="eastAsia"/>
        </w:rPr>
        <w:t>夏普比率是能够同时对收益和风险进行考虑，能够很好地评估回测交易效果</w:t>
      </w:r>
      <w:r w:rsidR="00F103BD">
        <w:rPr>
          <w:rFonts w:hint="eastAsia"/>
        </w:rPr>
        <w:t>，所以</w:t>
      </w:r>
      <w:r w:rsidR="005179F3">
        <w:rPr>
          <w:rFonts w:hint="eastAsia"/>
        </w:rPr>
        <w:t>本文</w:t>
      </w:r>
      <w:r w:rsidR="008F75D2">
        <w:rPr>
          <w:rFonts w:hint="eastAsia"/>
        </w:rPr>
        <w:t>将根据夏普比率来</w:t>
      </w:r>
      <w:r w:rsidR="008116A8">
        <w:rPr>
          <w:rFonts w:hint="eastAsia"/>
        </w:rPr>
        <w:t>进行交易策略的筛选，</w:t>
      </w:r>
      <w:r w:rsidR="00B26695">
        <w:rPr>
          <w:rFonts w:hint="eastAsia"/>
        </w:rPr>
        <w:t>确定</w:t>
      </w:r>
      <w:r w:rsidR="00503847">
        <w:rPr>
          <w:rFonts w:hint="eastAsia"/>
        </w:rPr>
        <w:t>改进的</w:t>
      </w:r>
      <w:r w:rsidR="008F75D2">
        <w:rPr>
          <w:rFonts w:hint="eastAsia"/>
        </w:rPr>
        <w:t>Aberration交易策略参数</w:t>
      </w:r>
      <m:oMath>
        <m:r>
          <w:rPr>
            <w:rFonts w:ascii="Cambria Math" w:hAnsi="Cambria Math"/>
          </w:rPr>
          <m:t>N</m:t>
        </m:r>
      </m:oMath>
      <w:r w:rsidR="008F75D2">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F75D2">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F75D2">
        <w:rPr>
          <w:rFonts w:hint="eastAsia"/>
        </w:rPr>
        <w:t>，再根据确定后的Aberration交易策略来评估基于</w:t>
      </w:r>
      <w:r w:rsidR="00FD6D29">
        <w:rPr>
          <w:rFonts w:hint="eastAsia"/>
        </w:rPr>
        <w:t>基本面</w:t>
      </w:r>
      <w:r w:rsidR="008F75D2">
        <w:rPr>
          <w:rFonts w:hint="eastAsia"/>
        </w:rPr>
        <w:t>特征的甲醇期货价格预测模型的有效性。</w:t>
      </w:r>
      <w:r w:rsidR="00AF04BC">
        <w:rPr>
          <w:rFonts w:hint="eastAsia"/>
        </w:rPr>
        <w:t>具体步骤为首先根据两组对照模型的预测精度进行预测模型的选择，其次根据选定的预测模型进行甲醇期货价格的预测得出期货价格预测序列；再次，根据不同</w:t>
      </w:r>
      <m:oMath>
        <m:r>
          <w:rPr>
            <w:rFonts w:ascii="Cambria Math" w:hAnsi="Cambria Math"/>
          </w:rPr>
          <m:t>N</m:t>
        </m:r>
      </m:oMath>
      <w:r w:rsidR="00AF04BC">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F04BC">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F04BC">
        <w:rPr>
          <w:rFonts w:hint="eastAsia"/>
        </w:rPr>
        <w:t>参数进行Aberration策略回测交易，本文中</w:t>
      </w:r>
      <m:oMath>
        <m:r>
          <w:rPr>
            <w:rFonts w:ascii="Cambria Math" w:hAnsi="Cambria Math"/>
          </w:rPr>
          <m:t>N</m:t>
        </m:r>
      </m:oMath>
      <w:r w:rsidR="00AF04BC">
        <w:rPr>
          <w:rFonts w:hint="eastAsia"/>
        </w:rPr>
        <w:t>的取值为</w:t>
      </w:r>
      <w:r w:rsidR="001943CF">
        <w:t>[20</w:t>
      </w:r>
      <w:r w:rsidR="001943CF">
        <w:rPr>
          <w:rFonts w:hint="eastAsia"/>
        </w:rPr>
        <w:t>，6</w:t>
      </w:r>
      <w:r w:rsidR="001943CF">
        <w:t>0)</w:t>
      </w:r>
      <w:r w:rsidR="001421BC">
        <w:rPr>
          <w:rFonts w:hint="eastAsia"/>
        </w:rPr>
        <w:t>，步长为1</w:t>
      </w:r>
      <w:r w:rsidR="00AF04BC">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F04BC">
        <w:rPr>
          <w:rFonts w:hint="eastAsia"/>
        </w:rPr>
        <w:t>的取值为</w:t>
      </w:r>
      <w:r w:rsidR="001943CF">
        <w:t>[</w:t>
      </w:r>
      <w:r w:rsidR="001421BC">
        <w:t>0.6, 2</w:t>
      </w:r>
      <w:r w:rsidR="001943CF">
        <w:t>)</w:t>
      </w:r>
      <w:r w:rsidR="001421BC">
        <w:rPr>
          <w:rFonts w:hint="eastAsia"/>
        </w:rPr>
        <w:t>，步长为0</w:t>
      </w:r>
      <w:r w:rsidR="001421BC">
        <w:t>.1</w:t>
      </w:r>
      <w:r w:rsidR="00AF04BC">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AF04BC">
        <w:rPr>
          <w:rFonts w:hint="eastAsia"/>
        </w:rPr>
        <w:t>的取值为</w:t>
      </w:r>
      <w:r w:rsidR="001421BC">
        <w:t>[0.6, 2)</w:t>
      </w:r>
      <w:r w:rsidR="001421BC">
        <w:rPr>
          <w:rFonts w:hint="eastAsia"/>
        </w:rPr>
        <w:t>，步长为0</w:t>
      </w:r>
      <w:r w:rsidR="001421BC">
        <w:t>.1</w:t>
      </w:r>
      <w:r w:rsidR="009314A6">
        <w:rPr>
          <w:rFonts w:hint="eastAsia"/>
        </w:rPr>
        <w:t>，并</w:t>
      </w:r>
      <w:r w:rsidR="00ED655A">
        <w:rPr>
          <w:rFonts w:hint="eastAsia"/>
        </w:rPr>
        <w:t>计算各交易策略的夏普比率；最后根据策略交易</w:t>
      </w:r>
      <w:r w:rsidR="009314A6">
        <w:rPr>
          <w:rFonts w:hint="eastAsia"/>
        </w:rPr>
        <w:t>回测</w:t>
      </w:r>
      <w:r w:rsidR="00ED655A">
        <w:rPr>
          <w:rFonts w:hint="eastAsia"/>
        </w:rPr>
        <w:t>收益以及夏普比率选定交易策略作为甲醇期货价格预测模型的所能带来的收益，进而</w:t>
      </w:r>
      <w:r w:rsidR="00A97870">
        <w:rPr>
          <w:rFonts w:hint="eastAsia"/>
        </w:rPr>
        <w:t>评估甲醇期货价格预测模型的有效性</w:t>
      </w:r>
      <w:r w:rsidR="00327C38">
        <w:rPr>
          <w:rFonts w:hint="eastAsia"/>
        </w:rPr>
        <w:t>。</w:t>
      </w:r>
      <w:r w:rsidR="00324F0C">
        <w:rPr>
          <w:rFonts w:hint="eastAsia"/>
        </w:rPr>
        <w:t>为了</w:t>
      </w:r>
      <w:r w:rsidR="00883A73">
        <w:rPr>
          <w:rFonts w:hint="eastAsia"/>
        </w:rPr>
        <w:t>提高</w:t>
      </w:r>
      <w:r w:rsidR="00324F0C">
        <w:rPr>
          <w:rFonts w:hint="eastAsia"/>
        </w:rPr>
        <w:t>交易策略的</w:t>
      </w:r>
      <w:r w:rsidR="00883A73">
        <w:rPr>
          <w:rFonts w:hint="eastAsia"/>
        </w:rPr>
        <w:t>有效性</w:t>
      </w:r>
      <w:r w:rsidR="00324F0C">
        <w:rPr>
          <w:rFonts w:hint="eastAsia"/>
        </w:rPr>
        <w:t>，本文将使用选取的甲醇期货价格预测模型预测2</w:t>
      </w:r>
      <w:r w:rsidR="00324F0C">
        <w:t>016</w:t>
      </w:r>
      <w:r w:rsidR="00324F0C">
        <w:rPr>
          <w:rFonts w:hint="eastAsia"/>
        </w:rPr>
        <w:t>年</w:t>
      </w:r>
      <w:r w:rsidR="00324F0C">
        <w:t>5</w:t>
      </w:r>
      <w:r w:rsidR="00324F0C">
        <w:rPr>
          <w:rFonts w:hint="eastAsia"/>
        </w:rPr>
        <w:t>月1日至2</w:t>
      </w:r>
      <w:r w:rsidR="00324F0C">
        <w:t>020</w:t>
      </w:r>
      <w:r w:rsidR="00324F0C">
        <w:rPr>
          <w:rFonts w:hint="eastAsia"/>
        </w:rPr>
        <w:t>年5月1日时间区间内的甲醇期货</w:t>
      </w:r>
      <w:r w:rsidR="00437DA7">
        <w:rPr>
          <w:rFonts w:hint="eastAsia"/>
        </w:rPr>
        <w:t>价格，并使用此时间区间内的样本做为策略模型的筛选，然后使用2</w:t>
      </w:r>
      <w:r w:rsidR="00437DA7">
        <w:t>020</w:t>
      </w:r>
      <w:r w:rsidR="00437DA7">
        <w:rPr>
          <w:rFonts w:hint="eastAsia"/>
        </w:rPr>
        <w:t>年5月1日至2</w:t>
      </w:r>
      <w:r w:rsidR="00437DA7">
        <w:t>021</w:t>
      </w:r>
      <w:r w:rsidR="00437DA7">
        <w:rPr>
          <w:rFonts w:hint="eastAsia"/>
        </w:rPr>
        <w:t>年5月1日时间区间的样本进行</w:t>
      </w:r>
      <w:r w:rsidR="0074768F">
        <w:rPr>
          <w:rFonts w:hint="eastAsia"/>
        </w:rPr>
        <w:t>选定的</w:t>
      </w:r>
      <w:r w:rsidR="00437DA7">
        <w:rPr>
          <w:rFonts w:hint="eastAsia"/>
        </w:rPr>
        <w:t>交易策略的测试，以检验交易策略的泛化能力。</w:t>
      </w:r>
    </w:p>
    <w:p w:rsidR="00532428" w:rsidRDefault="00532428" w:rsidP="00532428">
      <w:r>
        <w:rPr>
          <w:rFonts w:hint="eastAsia"/>
        </w:rPr>
        <w:t>甲醇期货价格预测与回测交易实证分析</w:t>
      </w:r>
    </w:p>
    <w:p w:rsidR="00532428" w:rsidRDefault="00532428" w:rsidP="00532428">
      <w:pPr>
        <w:pStyle w:val="a3"/>
        <w:numPr>
          <w:ilvl w:val="0"/>
          <w:numId w:val="1"/>
        </w:numPr>
        <w:ind w:firstLineChars="0"/>
      </w:pPr>
      <w:r>
        <w:rPr>
          <w:rFonts w:hint="eastAsia"/>
        </w:rPr>
        <w:t>样本数据说明</w:t>
      </w:r>
    </w:p>
    <w:p w:rsidR="00532428" w:rsidRDefault="00532428" w:rsidP="00532428">
      <w:pPr>
        <w:ind w:firstLine="420"/>
      </w:pPr>
      <w:r>
        <w:rPr>
          <w:rFonts w:hint="eastAsia"/>
        </w:rPr>
        <w:t>本文选取2</w:t>
      </w:r>
      <w:r>
        <w:t>016</w:t>
      </w:r>
      <w:r>
        <w:rPr>
          <w:rFonts w:hint="eastAsia"/>
        </w:rPr>
        <w:t>年</w:t>
      </w:r>
      <w:r>
        <w:t>5</w:t>
      </w:r>
      <w:r>
        <w:rPr>
          <w:rFonts w:hint="eastAsia"/>
        </w:rPr>
        <w:t>月</w:t>
      </w:r>
      <w:r>
        <w:t>1</w:t>
      </w:r>
      <w:r>
        <w:rPr>
          <w:rFonts w:hint="eastAsia"/>
        </w:rPr>
        <w:t>日至2</w:t>
      </w:r>
      <w:r>
        <w:t>021</w:t>
      </w:r>
      <w:r>
        <w:rPr>
          <w:rFonts w:hint="eastAsia"/>
        </w:rPr>
        <w:t>年5月3</w:t>
      </w:r>
      <w:r>
        <w:t>0</w:t>
      </w:r>
      <w:r>
        <w:rPr>
          <w:rFonts w:hint="eastAsia"/>
        </w:rPr>
        <w:t>日时间区间内甲醇期货主力合约收盘价作为被预测变量。备选预测变量为焦煤现货价格、产量、进口量、库存量；甲醇现货价格、产量、进口量、出口量、库存量、毛利；醋酸现货价格、进口量、出口量、库存量、消费量、毛利，共1</w:t>
      </w:r>
      <w:r>
        <w:t>6</w:t>
      </w:r>
      <w:r>
        <w:rPr>
          <w:rFonts w:hint="eastAsia"/>
        </w:rPr>
        <w:t>个特征变量。其中现货价格数据来源于生意社网站，期货价格数据来源于大智慧行情系统，其他特征变量来源于钢联客户端。备选预测变量中包含日序列、周序列、月序列数据，本文采取的处理方式是交易日若无前一交易日对应的特征变量样本值则选用已有的离本交易日最近的样本值与之匹配，形成日序列预测向量。使用前移一个交易日的预测向</w:t>
      </w:r>
      <w:r>
        <w:rPr>
          <w:rFonts w:hint="eastAsia"/>
        </w:rPr>
        <w:lastRenderedPageBreak/>
        <w:t>量与交易日被预测变量进行匹配构成一个样本。</w:t>
      </w:r>
    </w:p>
    <w:p w:rsidR="00532428" w:rsidRDefault="00532428" w:rsidP="00532428">
      <w:r>
        <w:rPr>
          <w:rFonts w:hint="eastAsia"/>
        </w:rPr>
        <w:t>（二）预测变量的筛选结果</w:t>
      </w:r>
    </w:p>
    <w:p w:rsidR="00532428" w:rsidRDefault="00532428" w:rsidP="00532428">
      <w:pPr>
        <w:ind w:firstLine="420"/>
      </w:pPr>
      <w:r>
        <w:rPr>
          <w:rFonts w:hint="eastAsia"/>
        </w:rPr>
        <w:t>使用SPSS统计软件进行备选预测变量与被预测变量之间的相关性检验，检验结果如表1所示。在显著性水平0</w:t>
      </w:r>
      <w:r>
        <w:t>.01</w:t>
      </w:r>
      <w:r>
        <w:rPr>
          <w:rFonts w:hint="eastAsia"/>
        </w:rPr>
        <w:t>情况下，除了天然气进口量和</w:t>
      </w:r>
      <w:r w:rsidRPr="00D00627">
        <w:t>冰醋酸消费量</w:t>
      </w:r>
      <w:r>
        <w:rPr>
          <w:rFonts w:hint="eastAsia"/>
        </w:rPr>
        <w:t>以外的备选预测变量均与甲醇期货价格显著相关，因而将天然气进口量和冰醋酸消费量以外的备选预测变量选为预测变量。</w:t>
      </w:r>
    </w:p>
    <w:p w:rsidR="00532428" w:rsidRDefault="00532428" w:rsidP="00532428">
      <w:r>
        <w:rPr>
          <w:rFonts w:hint="eastAsia"/>
        </w:rPr>
        <w:t>（三）两种预测模型的预测结果比较及选择预测模型</w:t>
      </w:r>
    </w:p>
    <w:p w:rsidR="00532428" w:rsidRDefault="00532428" w:rsidP="00532428">
      <w:r>
        <w:rPr>
          <w:rFonts w:hint="eastAsia"/>
        </w:rPr>
        <w:t>将经过预处理、筛选的样本数据输入到随机森林模型，并对样本数据进行标准化处理输入到随机森林模型构造对照模型。根据本文选定的模型评估指标对两个模型的参数进行调优，寻找相对最优模型。两个模型的实验结果为：</w:t>
      </w:r>
    </w:p>
    <w:tbl>
      <w:tblPr>
        <w:tblStyle w:val="a4"/>
        <w:tblW w:w="0" w:type="auto"/>
        <w:jc w:val="center"/>
        <w:tblLook w:val="04A0" w:firstRow="1" w:lastRow="0" w:firstColumn="1" w:lastColumn="0" w:noHBand="0" w:noVBand="1"/>
      </w:tblPr>
      <w:tblGrid>
        <w:gridCol w:w="1040"/>
        <w:gridCol w:w="945"/>
        <w:gridCol w:w="993"/>
      </w:tblGrid>
      <w:tr w:rsidR="00532428" w:rsidTr="008D0090">
        <w:trPr>
          <w:jc w:val="center"/>
        </w:trPr>
        <w:tc>
          <w:tcPr>
            <w:tcW w:w="1040" w:type="dxa"/>
            <w:vAlign w:val="center"/>
          </w:tcPr>
          <w:p w:rsidR="00532428" w:rsidRDefault="00532428" w:rsidP="008D0090">
            <w:pPr>
              <w:jc w:val="center"/>
            </w:pPr>
            <w:r>
              <w:rPr>
                <w:rFonts w:hint="eastAsia"/>
              </w:rPr>
              <w:t>误差</w:t>
            </w:r>
          </w:p>
        </w:tc>
        <w:tc>
          <w:tcPr>
            <w:tcW w:w="945" w:type="dxa"/>
            <w:vAlign w:val="center"/>
          </w:tcPr>
          <w:p w:rsidR="00532428" w:rsidRDefault="00532428" w:rsidP="008D0090">
            <w:pPr>
              <w:jc w:val="center"/>
            </w:pPr>
            <w:r>
              <w:rPr>
                <w:rFonts w:hint="eastAsia"/>
              </w:rPr>
              <w:t>R</w:t>
            </w:r>
            <w:r>
              <w:t>2</w:t>
            </w:r>
          </w:p>
        </w:tc>
        <w:tc>
          <w:tcPr>
            <w:tcW w:w="993" w:type="dxa"/>
            <w:vAlign w:val="center"/>
          </w:tcPr>
          <w:p w:rsidR="00532428" w:rsidRDefault="00532428" w:rsidP="008D0090">
            <w:pPr>
              <w:jc w:val="center"/>
            </w:pPr>
            <w:r>
              <w:rPr>
                <w:rFonts w:hint="eastAsia"/>
              </w:rPr>
              <w:t>MAPE</w:t>
            </w:r>
          </w:p>
        </w:tc>
      </w:tr>
      <w:tr w:rsidR="00532428" w:rsidTr="008D0090">
        <w:trPr>
          <w:jc w:val="center"/>
        </w:trPr>
        <w:tc>
          <w:tcPr>
            <w:tcW w:w="1040" w:type="dxa"/>
            <w:vAlign w:val="center"/>
          </w:tcPr>
          <w:p w:rsidR="00532428" w:rsidRDefault="00532428" w:rsidP="008D0090">
            <w:pPr>
              <w:jc w:val="center"/>
            </w:pPr>
            <w:r>
              <w:rPr>
                <w:rFonts w:hint="eastAsia"/>
              </w:rPr>
              <w:t>模型1</w:t>
            </w:r>
          </w:p>
        </w:tc>
        <w:tc>
          <w:tcPr>
            <w:tcW w:w="945" w:type="dxa"/>
            <w:vAlign w:val="center"/>
          </w:tcPr>
          <w:p w:rsidR="00532428" w:rsidRDefault="00532428" w:rsidP="008D0090">
            <w:pPr>
              <w:jc w:val="center"/>
            </w:pPr>
            <w:r>
              <w:rPr>
                <w:rFonts w:hint="eastAsia"/>
              </w:rPr>
              <w:t>0</w:t>
            </w:r>
            <w:r>
              <w:t>.990</w:t>
            </w:r>
          </w:p>
        </w:tc>
        <w:tc>
          <w:tcPr>
            <w:tcW w:w="993" w:type="dxa"/>
            <w:vAlign w:val="center"/>
          </w:tcPr>
          <w:p w:rsidR="00532428" w:rsidRDefault="00532428" w:rsidP="008D0090">
            <w:pPr>
              <w:jc w:val="center"/>
            </w:pPr>
            <w:r>
              <w:rPr>
                <w:rFonts w:hint="eastAsia"/>
              </w:rPr>
              <w:t>0</w:t>
            </w:r>
            <w:r>
              <w:t>.012</w:t>
            </w:r>
          </w:p>
        </w:tc>
      </w:tr>
      <w:tr w:rsidR="00532428" w:rsidTr="008D0090">
        <w:trPr>
          <w:jc w:val="center"/>
        </w:trPr>
        <w:tc>
          <w:tcPr>
            <w:tcW w:w="1040" w:type="dxa"/>
            <w:vAlign w:val="center"/>
          </w:tcPr>
          <w:p w:rsidR="00532428" w:rsidRDefault="00532428" w:rsidP="008D0090">
            <w:pPr>
              <w:jc w:val="center"/>
            </w:pPr>
            <w:r>
              <w:rPr>
                <w:rFonts w:hint="eastAsia"/>
              </w:rPr>
              <w:t>模型2</w:t>
            </w:r>
          </w:p>
        </w:tc>
        <w:tc>
          <w:tcPr>
            <w:tcW w:w="945" w:type="dxa"/>
            <w:vAlign w:val="center"/>
          </w:tcPr>
          <w:p w:rsidR="00532428" w:rsidRDefault="00532428" w:rsidP="008D0090">
            <w:pPr>
              <w:jc w:val="center"/>
            </w:pPr>
            <w:r>
              <w:rPr>
                <w:rFonts w:hint="eastAsia"/>
              </w:rPr>
              <w:t>0</w:t>
            </w:r>
            <w:r>
              <w:t>.991</w:t>
            </w:r>
          </w:p>
        </w:tc>
        <w:tc>
          <w:tcPr>
            <w:tcW w:w="993" w:type="dxa"/>
            <w:vAlign w:val="center"/>
          </w:tcPr>
          <w:p w:rsidR="00532428" w:rsidRDefault="00532428" w:rsidP="008D0090">
            <w:pPr>
              <w:jc w:val="center"/>
            </w:pPr>
            <w:r>
              <w:rPr>
                <w:rFonts w:hint="eastAsia"/>
              </w:rPr>
              <w:t>0</w:t>
            </w:r>
            <w:r>
              <w:t>.103</w:t>
            </w:r>
          </w:p>
        </w:tc>
      </w:tr>
    </w:tbl>
    <w:p w:rsidR="00532428" w:rsidRDefault="00532428" w:rsidP="00532428">
      <w:r>
        <w:rPr>
          <w:rFonts w:hint="eastAsia"/>
        </w:rPr>
        <w:t>比较上述模型的结果可以看出，在经过标准化处理后的样本数据在MAPE评估指标上要和模型1的结果相差</w:t>
      </w:r>
      <w:r>
        <w:t>7.5</w:t>
      </w:r>
      <w:r>
        <w:rPr>
          <w:rFonts w:hint="eastAsia"/>
        </w:rPr>
        <w:t>倍，而在R2这一评估指标上也并未能表现的更好，而仅仅只提高了0</w:t>
      </w:r>
      <w:r>
        <w:t>.1%</w:t>
      </w:r>
      <w:r>
        <w:rPr>
          <w:rFonts w:hint="eastAsia"/>
        </w:rPr>
        <w:t>左右，表明对样本数据进行标准化处理无法很好地提高模型的预测精度。因而本文选择未经标准化处理预测模型1作为甲醇期货价格预测模型。</w:t>
      </w:r>
    </w:p>
    <w:p w:rsidR="00532428" w:rsidRDefault="00532428" w:rsidP="00532428">
      <w:r>
        <w:rPr>
          <w:rFonts w:hint="eastAsia"/>
        </w:rPr>
        <w:t>（四）甲醇期货价格预测模型回测交易统计结果</w:t>
      </w:r>
    </w:p>
    <w:p w:rsidR="00532428" w:rsidRDefault="00532428" w:rsidP="0090221D">
      <w:pPr>
        <w:ind w:firstLine="420"/>
      </w:pPr>
      <w:r>
        <w:rPr>
          <w:rFonts w:hint="eastAsia"/>
        </w:rPr>
        <w:t>使用模型1对所选样本时间区间的甲醇期货价格进行预测得出甲醇期货价格预测值，在</w:t>
      </w:r>
      <w:r w:rsidR="0020602B">
        <w:rPr>
          <w:rFonts w:hint="eastAsia"/>
        </w:rPr>
        <w:t>2</w:t>
      </w:r>
      <w:r w:rsidR="0020602B">
        <w:t>016</w:t>
      </w:r>
      <w:r w:rsidR="0020602B">
        <w:rPr>
          <w:rFonts w:hint="eastAsia"/>
        </w:rPr>
        <w:t>年5月1日至2</w:t>
      </w:r>
      <w:r w:rsidR="0020602B">
        <w:t>020</w:t>
      </w:r>
      <w:r w:rsidR="0020602B">
        <w:rPr>
          <w:rFonts w:hint="eastAsia"/>
        </w:rPr>
        <w:t>年5月</w:t>
      </w:r>
      <w:r w:rsidR="0020602B">
        <w:t>1</w:t>
      </w:r>
      <w:r w:rsidR="0020602B">
        <w:rPr>
          <w:rFonts w:hint="eastAsia"/>
        </w:rPr>
        <w:t>日时间区间的甲醇期货价格</w:t>
      </w:r>
      <w:r w:rsidR="00774CA7">
        <w:rPr>
          <w:rFonts w:hint="eastAsia"/>
        </w:rPr>
        <w:t>模型</w:t>
      </w:r>
      <w:r>
        <w:rPr>
          <w:rFonts w:hint="eastAsia"/>
        </w:rPr>
        <w:t>预测值上使用前述</w:t>
      </w:r>
      <w:r w:rsidR="00A96809">
        <w:rPr>
          <w:rFonts w:hint="eastAsia"/>
        </w:rPr>
        <w:t>改进的</w:t>
      </w:r>
      <w:r>
        <w:rPr>
          <w:rFonts w:hint="eastAsia"/>
        </w:rPr>
        <w:t>Aberration交易策略进行回测交易。由于不同的交易参数组合将产生不同的交易策略，进而可进行交易的次数也随之不同，本文</w:t>
      </w:r>
      <w:r w:rsidR="0010596E">
        <w:rPr>
          <w:rFonts w:hint="eastAsia"/>
        </w:rPr>
        <w:t>除却</w:t>
      </w:r>
      <w:r>
        <w:rPr>
          <w:rFonts w:hint="eastAsia"/>
        </w:rPr>
        <w:t>那些在5年内交易次数小于1</w:t>
      </w:r>
      <w:r>
        <w:t>5</w:t>
      </w:r>
      <w:r>
        <w:rPr>
          <w:rFonts w:hint="eastAsia"/>
        </w:rPr>
        <w:t>次以及交易次数大于2</w:t>
      </w:r>
      <w:r>
        <w:t>5</w:t>
      </w:r>
      <w:r>
        <w:rPr>
          <w:rFonts w:hint="eastAsia"/>
        </w:rPr>
        <w:t>次并且买多或者买空次数低于5次的的交易策略。交易策略的统计结果为：符合要求的交易策略共2</w:t>
      </w:r>
      <w:r>
        <w:t>74</w:t>
      </w:r>
      <w:r>
        <w:rPr>
          <w:rFonts w:hint="eastAsia"/>
        </w:rPr>
        <w:t>个，其中能够带来正收益的策略共1</w:t>
      </w:r>
      <w:r>
        <w:t>39</w:t>
      </w:r>
      <w:r>
        <w:rPr>
          <w:rFonts w:hint="eastAsia"/>
        </w:rPr>
        <w:t>个；在能够带来正收益的策略中，仅有4个策略的K</w:t>
      </w:r>
      <w:r>
        <w:t>2</w:t>
      </w:r>
      <w:r>
        <w:rPr>
          <w:rFonts w:hint="eastAsia"/>
        </w:rPr>
        <w:t>值为</w:t>
      </w:r>
      <w:r>
        <w:t>0.7</w:t>
      </w:r>
      <w:r>
        <w:rPr>
          <w:rFonts w:hint="eastAsia"/>
        </w:rPr>
        <w:t>，其余均为0</w:t>
      </w:r>
      <w:r>
        <w:t>.6</w:t>
      </w:r>
      <w:r>
        <w:rPr>
          <w:rFonts w:hint="eastAsia"/>
        </w:rPr>
        <w:t>，并且这</w:t>
      </w:r>
      <w:r>
        <w:t>4</w:t>
      </w:r>
      <w:r>
        <w:rPr>
          <w:rFonts w:hint="eastAsia"/>
        </w:rPr>
        <w:t>个交易策略的收益分别为4</w:t>
      </w:r>
      <w:r>
        <w:t>55</w:t>
      </w:r>
      <w:r>
        <w:rPr>
          <w:rFonts w:hint="eastAsia"/>
        </w:rPr>
        <w:t>、4</w:t>
      </w:r>
      <w:r>
        <w:t>32</w:t>
      </w:r>
      <w:r>
        <w:rPr>
          <w:rFonts w:hint="eastAsia"/>
        </w:rPr>
        <w:t>、3</w:t>
      </w:r>
      <w:r>
        <w:t>64</w:t>
      </w:r>
      <w:r>
        <w:rPr>
          <w:rFonts w:hint="eastAsia"/>
        </w:rPr>
        <w:t>、2</w:t>
      </w:r>
      <w:r>
        <w:t>98</w:t>
      </w:r>
      <w:r>
        <w:rPr>
          <w:rFonts w:hint="eastAsia"/>
        </w:rPr>
        <w:t>，属于收益较小的策略，并且夏普比率均小于</w:t>
      </w:r>
      <w:r>
        <w:t>0.7</w:t>
      </w:r>
      <w:r>
        <w:rPr>
          <w:rFonts w:hint="eastAsia"/>
        </w:rPr>
        <w:t>，因而，将这</w:t>
      </w:r>
      <w:r>
        <w:t>4</w:t>
      </w:r>
      <w:r>
        <w:rPr>
          <w:rFonts w:hint="eastAsia"/>
        </w:rPr>
        <w:t>个策略排除作为最终策略模型的候选项，并将k</w:t>
      </w:r>
      <w:r>
        <w:t>2</w:t>
      </w:r>
      <w:r>
        <w:rPr>
          <w:rFonts w:hint="eastAsia"/>
        </w:rPr>
        <w:t>的值设定为0</w:t>
      </w:r>
      <w:r>
        <w:t>.6</w:t>
      </w:r>
      <w:r>
        <w:rPr>
          <w:rFonts w:hint="eastAsia"/>
        </w:rPr>
        <w:t>；将K</w:t>
      </w:r>
      <w:r>
        <w:t>2</w:t>
      </w:r>
      <w:r>
        <w:rPr>
          <w:rFonts w:hint="eastAsia"/>
        </w:rPr>
        <w:t>其他取值的策略舍弃后仅剩下1</w:t>
      </w:r>
      <w:r>
        <w:t>35</w:t>
      </w:r>
      <w:r>
        <w:rPr>
          <w:rFonts w:hint="eastAsia"/>
        </w:rPr>
        <w:t>条策略，在所剩的1</w:t>
      </w:r>
      <w:r>
        <w:t>35</w:t>
      </w:r>
      <w:r>
        <w:rPr>
          <w:rFonts w:hint="eastAsia"/>
        </w:rPr>
        <w:t>个策略中， K</w:t>
      </w:r>
      <w:r>
        <w:t>1</w:t>
      </w:r>
      <w:r>
        <w:rPr>
          <w:rFonts w:hint="eastAsia"/>
        </w:rPr>
        <w:t>取值为0</w:t>
      </w:r>
      <w:r>
        <w:t>.9</w:t>
      </w:r>
      <w:r>
        <w:rPr>
          <w:rFonts w:hint="eastAsia"/>
        </w:rPr>
        <w:t>时策略的收益和夏普比率均处于前列，并且两者的最大值均在其中。因而将K</w:t>
      </w:r>
      <w:r>
        <w:t>1</w:t>
      </w:r>
      <w:r>
        <w:rPr>
          <w:rFonts w:hint="eastAsia"/>
        </w:rPr>
        <w:t>的值设定为0</w:t>
      </w:r>
      <w:r>
        <w:t>.9</w:t>
      </w:r>
      <w:r>
        <w:rPr>
          <w:rFonts w:hint="eastAsia"/>
        </w:rPr>
        <w:t>；将K</w:t>
      </w:r>
      <w:r>
        <w:t>1</w:t>
      </w:r>
      <w:r>
        <w:rPr>
          <w:rFonts w:hint="eastAsia"/>
        </w:rPr>
        <w:t>其他取值的策略舍弃后仅剩3</w:t>
      </w:r>
      <w:r>
        <w:t>0</w:t>
      </w:r>
      <w:r>
        <w:rPr>
          <w:rFonts w:hint="eastAsia"/>
        </w:rPr>
        <w:t>条策略；再去除夏普比率小于</w:t>
      </w:r>
      <w:r>
        <w:t>2</w:t>
      </w:r>
      <w:r>
        <w:rPr>
          <w:rFonts w:hint="eastAsia"/>
        </w:rPr>
        <w:t>的策略后仅剩下</w:t>
      </w:r>
      <w:r>
        <w:t>4</w:t>
      </w:r>
      <w:r>
        <w:rPr>
          <w:rFonts w:hint="eastAsia"/>
        </w:rPr>
        <w:t>条策略，分别为：</w:t>
      </w:r>
    </w:p>
    <w:tbl>
      <w:tblPr>
        <w:tblStyle w:val="a4"/>
        <w:tblW w:w="0" w:type="auto"/>
        <w:jc w:val="center"/>
        <w:tblLook w:val="04A0" w:firstRow="1" w:lastRow="0" w:firstColumn="1" w:lastColumn="0" w:noHBand="0" w:noVBand="1"/>
      </w:tblPr>
      <w:tblGrid>
        <w:gridCol w:w="678"/>
        <w:gridCol w:w="724"/>
        <w:gridCol w:w="724"/>
        <w:gridCol w:w="876"/>
        <w:gridCol w:w="1296"/>
      </w:tblGrid>
      <w:tr w:rsidR="003E6E15" w:rsidRPr="00B8691B" w:rsidTr="0047204E">
        <w:trPr>
          <w:trHeight w:val="320"/>
          <w:jc w:val="center"/>
        </w:trPr>
        <w:tc>
          <w:tcPr>
            <w:tcW w:w="678" w:type="dxa"/>
            <w:noWrap/>
            <w:vAlign w:val="center"/>
            <w:hideMark/>
          </w:tcPr>
          <w:p w:rsidR="003E6E15" w:rsidRPr="00B8691B" w:rsidRDefault="003E6E15" w:rsidP="0047204E">
            <w:pPr>
              <w:jc w:val="center"/>
            </w:pPr>
            <w:r w:rsidRPr="00B8691B">
              <w:rPr>
                <w:rFonts w:hint="eastAsia"/>
              </w:rPr>
              <w:t>N</w:t>
            </w:r>
          </w:p>
        </w:tc>
        <w:tc>
          <w:tcPr>
            <w:tcW w:w="724" w:type="dxa"/>
            <w:vAlign w:val="center"/>
          </w:tcPr>
          <w:p w:rsidR="003E6E15" w:rsidRPr="00B8691B" w:rsidRDefault="003E6E15" w:rsidP="0047204E">
            <w:pPr>
              <w:jc w:val="center"/>
            </w:pPr>
            <w:r>
              <w:rPr>
                <w:rFonts w:hint="eastAsia"/>
              </w:rPr>
              <w:t>K</w:t>
            </w:r>
            <w:r>
              <w:t>1</w:t>
            </w:r>
          </w:p>
        </w:tc>
        <w:tc>
          <w:tcPr>
            <w:tcW w:w="724" w:type="dxa"/>
            <w:vAlign w:val="center"/>
          </w:tcPr>
          <w:p w:rsidR="003E6E15" w:rsidRPr="00B8691B" w:rsidRDefault="003E6E15" w:rsidP="0047204E">
            <w:pPr>
              <w:jc w:val="center"/>
            </w:pPr>
            <w:r>
              <w:rPr>
                <w:rFonts w:hint="eastAsia"/>
              </w:rPr>
              <w:t>K</w:t>
            </w:r>
            <w:r>
              <w:t>2</w:t>
            </w:r>
          </w:p>
        </w:tc>
        <w:tc>
          <w:tcPr>
            <w:tcW w:w="876" w:type="dxa"/>
            <w:noWrap/>
            <w:vAlign w:val="center"/>
            <w:hideMark/>
          </w:tcPr>
          <w:p w:rsidR="003E6E15" w:rsidRPr="00B8691B" w:rsidRDefault="003E6E15" w:rsidP="0047204E">
            <w:pPr>
              <w:jc w:val="center"/>
            </w:pPr>
            <w:r w:rsidRPr="00B8691B">
              <w:rPr>
                <w:rFonts w:hint="eastAsia"/>
              </w:rPr>
              <w:t>收益</w:t>
            </w:r>
          </w:p>
        </w:tc>
        <w:tc>
          <w:tcPr>
            <w:tcW w:w="1296" w:type="dxa"/>
            <w:noWrap/>
            <w:vAlign w:val="center"/>
            <w:hideMark/>
          </w:tcPr>
          <w:p w:rsidR="003E6E15" w:rsidRPr="00B8691B" w:rsidRDefault="003E6E15" w:rsidP="0047204E">
            <w:pPr>
              <w:jc w:val="center"/>
            </w:pPr>
            <w:r w:rsidRPr="00B8691B">
              <w:rPr>
                <w:rFonts w:hint="eastAsia"/>
              </w:rPr>
              <w:t>夏普</w:t>
            </w:r>
            <w:r>
              <w:rPr>
                <w:rFonts w:hint="eastAsia"/>
              </w:rPr>
              <w:t>比</w:t>
            </w:r>
            <w:r w:rsidRPr="00B8691B">
              <w:rPr>
                <w:rFonts w:hint="eastAsia"/>
              </w:rPr>
              <w:t>率</w:t>
            </w:r>
          </w:p>
        </w:tc>
      </w:tr>
      <w:tr w:rsidR="003E6E15" w:rsidRPr="00B8691B" w:rsidTr="0047204E">
        <w:trPr>
          <w:trHeight w:val="320"/>
          <w:jc w:val="center"/>
        </w:trPr>
        <w:tc>
          <w:tcPr>
            <w:tcW w:w="678" w:type="dxa"/>
            <w:noWrap/>
            <w:vAlign w:val="center"/>
            <w:hideMark/>
          </w:tcPr>
          <w:p w:rsidR="003E6E15" w:rsidRPr="00B8691B" w:rsidRDefault="003E6E15" w:rsidP="0047204E">
            <w:pPr>
              <w:jc w:val="center"/>
            </w:pPr>
            <w:r w:rsidRPr="00B8691B">
              <w:rPr>
                <w:rFonts w:hint="eastAsia"/>
              </w:rPr>
              <w:t>44</w:t>
            </w:r>
          </w:p>
        </w:tc>
        <w:tc>
          <w:tcPr>
            <w:tcW w:w="724" w:type="dxa"/>
            <w:vAlign w:val="center"/>
          </w:tcPr>
          <w:p w:rsidR="003E6E15" w:rsidRPr="00B8691B" w:rsidRDefault="003E6E15" w:rsidP="0047204E">
            <w:pPr>
              <w:jc w:val="center"/>
            </w:pPr>
            <w:r>
              <w:rPr>
                <w:rFonts w:hint="eastAsia"/>
              </w:rPr>
              <w:t>0</w:t>
            </w:r>
            <w:r>
              <w:t>.9</w:t>
            </w:r>
          </w:p>
        </w:tc>
        <w:tc>
          <w:tcPr>
            <w:tcW w:w="724" w:type="dxa"/>
            <w:vAlign w:val="center"/>
          </w:tcPr>
          <w:p w:rsidR="003E6E15" w:rsidRPr="00B8691B" w:rsidRDefault="003E6E15" w:rsidP="0047204E">
            <w:pPr>
              <w:jc w:val="center"/>
            </w:pPr>
            <w:r>
              <w:rPr>
                <w:rFonts w:hint="eastAsia"/>
              </w:rPr>
              <w:t>0</w:t>
            </w:r>
            <w:r>
              <w:t>.6</w:t>
            </w:r>
          </w:p>
        </w:tc>
        <w:tc>
          <w:tcPr>
            <w:tcW w:w="876" w:type="dxa"/>
            <w:noWrap/>
            <w:vAlign w:val="center"/>
            <w:hideMark/>
          </w:tcPr>
          <w:p w:rsidR="003E6E15" w:rsidRPr="00B8691B" w:rsidRDefault="003E6E15" w:rsidP="0047204E">
            <w:pPr>
              <w:jc w:val="center"/>
            </w:pPr>
            <w:r w:rsidRPr="00B8691B">
              <w:rPr>
                <w:rFonts w:hint="eastAsia"/>
              </w:rPr>
              <w:t>792</w:t>
            </w:r>
          </w:p>
        </w:tc>
        <w:tc>
          <w:tcPr>
            <w:tcW w:w="1296" w:type="dxa"/>
            <w:noWrap/>
            <w:vAlign w:val="center"/>
            <w:hideMark/>
          </w:tcPr>
          <w:p w:rsidR="003E6E15" w:rsidRPr="00B8691B" w:rsidRDefault="003E6E15" w:rsidP="0047204E">
            <w:pPr>
              <w:jc w:val="center"/>
            </w:pPr>
            <w:r w:rsidRPr="00B8691B">
              <w:rPr>
                <w:rFonts w:hint="eastAsia"/>
              </w:rPr>
              <w:t>2.1884</w:t>
            </w:r>
          </w:p>
        </w:tc>
      </w:tr>
      <w:tr w:rsidR="003E6E15" w:rsidRPr="00B8691B" w:rsidTr="0047204E">
        <w:trPr>
          <w:trHeight w:val="320"/>
          <w:jc w:val="center"/>
        </w:trPr>
        <w:tc>
          <w:tcPr>
            <w:tcW w:w="678" w:type="dxa"/>
            <w:noWrap/>
            <w:vAlign w:val="center"/>
            <w:hideMark/>
          </w:tcPr>
          <w:p w:rsidR="003E6E15" w:rsidRPr="00B8691B" w:rsidRDefault="003E6E15" w:rsidP="0047204E">
            <w:pPr>
              <w:jc w:val="center"/>
            </w:pPr>
            <w:r w:rsidRPr="00B8691B">
              <w:rPr>
                <w:rFonts w:hint="eastAsia"/>
              </w:rPr>
              <w:t>43</w:t>
            </w:r>
          </w:p>
        </w:tc>
        <w:tc>
          <w:tcPr>
            <w:tcW w:w="724" w:type="dxa"/>
            <w:vAlign w:val="center"/>
          </w:tcPr>
          <w:p w:rsidR="003E6E15" w:rsidRPr="00B8691B" w:rsidRDefault="003E6E15" w:rsidP="0047204E">
            <w:pPr>
              <w:jc w:val="center"/>
            </w:pPr>
            <w:r>
              <w:rPr>
                <w:rFonts w:hint="eastAsia"/>
              </w:rPr>
              <w:t>0</w:t>
            </w:r>
            <w:r>
              <w:t>.9</w:t>
            </w:r>
          </w:p>
        </w:tc>
        <w:tc>
          <w:tcPr>
            <w:tcW w:w="724" w:type="dxa"/>
            <w:vAlign w:val="center"/>
          </w:tcPr>
          <w:p w:rsidR="003E6E15" w:rsidRPr="00B8691B" w:rsidRDefault="003E6E15" w:rsidP="0047204E">
            <w:pPr>
              <w:jc w:val="center"/>
            </w:pPr>
            <w:r>
              <w:rPr>
                <w:rFonts w:hint="eastAsia"/>
              </w:rPr>
              <w:t>0</w:t>
            </w:r>
            <w:r>
              <w:t>.6</w:t>
            </w:r>
          </w:p>
        </w:tc>
        <w:tc>
          <w:tcPr>
            <w:tcW w:w="876" w:type="dxa"/>
            <w:noWrap/>
            <w:vAlign w:val="center"/>
            <w:hideMark/>
          </w:tcPr>
          <w:p w:rsidR="003E6E15" w:rsidRPr="00B8691B" w:rsidRDefault="003E6E15" w:rsidP="0047204E">
            <w:pPr>
              <w:jc w:val="center"/>
            </w:pPr>
            <w:r w:rsidRPr="00B8691B">
              <w:rPr>
                <w:rFonts w:hint="eastAsia"/>
              </w:rPr>
              <w:t>766</w:t>
            </w:r>
          </w:p>
        </w:tc>
        <w:tc>
          <w:tcPr>
            <w:tcW w:w="1296" w:type="dxa"/>
            <w:noWrap/>
            <w:vAlign w:val="center"/>
            <w:hideMark/>
          </w:tcPr>
          <w:p w:rsidR="003E6E15" w:rsidRPr="00B8691B" w:rsidRDefault="003E6E15" w:rsidP="0047204E">
            <w:pPr>
              <w:jc w:val="center"/>
            </w:pPr>
            <w:r w:rsidRPr="00B8691B">
              <w:rPr>
                <w:rFonts w:hint="eastAsia"/>
              </w:rPr>
              <w:t>2.0575</w:t>
            </w:r>
          </w:p>
        </w:tc>
      </w:tr>
      <w:tr w:rsidR="003E6E15" w:rsidRPr="00B8691B" w:rsidTr="0047204E">
        <w:trPr>
          <w:trHeight w:val="320"/>
          <w:jc w:val="center"/>
        </w:trPr>
        <w:tc>
          <w:tcPr>
            <w:tcW w:w="678" w:type="dxa"/>
            <w:noWrap/>
            <w:vAlign w:val="center"/>
            <w:hideMark/>
          </w:tcPr>
          <w:p w:rsidR="003E6E15" w:rsidRPr="00B8691B" w:rsidRDefault="003E6E15" w:rsidP="0047204E">
            <w:pPr>
              <w:jc w:val="center"/>
            </w:pPr>
            <w:r w:rsidRPr="00B8691B">
              <w:rPr>
                <w:rFonts w:hint="eastAsia"/>
              </w:rPr>
              <w:t>47</w:t>
            </w:r>
          </w:p>
        </w:tc>
        <w:tc>
          <w:tcPr>
            <w:tcW w:w="724" w:type="dxa"/>
            <w:vAlign w:val="center"/>
          </w:tcPr>
          <w:p w:rsidR="003E6E15" w:rsidRPr="00B8691B" w:rsidRDefault="003E6E15" w:rsidP="0047204E">
            <w:pPr>
              <w:jc w:val="center"/>
            </w:pPr>
            <w:r>
              <w:rPr>
                <w:rFonts w:hint="eastAsia"/>
              </w:rPr>
              <w:t>0</w:t>
            </w:r>
            <w:r>
              <w:t>.9</w:t>
            </w:r>
          </w:p>
        </w:tc>
        <w:tc>
          <w:tcPr>
            <w:tcW w:w="724" w:type="dxa"/>
            <w:vAlign w:val="center"/>
          </w:tcPr>
          <w:p w:rsidR="003E6E15" w:rsidRPr="00B8691B" w:rsidRDefault="003E6E15" w:rsidP="0047204E">
            <w:pPr>
              <w:jc w:val="center"/>
            </w:pPr>
            <w:r>
              <w:rPr>
                <w:rFonts w:hint="eastAsia"/>
              </w:rPr>
              <w:t>0</w:t>
            </w:r>
            <w:r>
              <w:t>.6</w:t>
            </w:r>
          </w:p>
        </w:tc>
        <w:tc>
          <w:tcPr>
            <w:tcW w:w="876" w:type="dxa"/>
            <w:noWrap/>
            <w:vAlign w:val="center"/>
            <w:hideMark/>
          </w:tcPr>
          <w:p w:rsidR="003E6E15" w:rsidRPr="00B8691B" w:rsidRDefault="003E6E15" w:rsidP="0047204E">
            <w:pPr>
              <w:jc w:val="center"/>
            </w:pPr>
            <w:r w:rsidRPr="00B8691B">
              <w:rPr>
                <w:rFonts w:hint="eastAsia"/>
              </w:rPr>
              <w:t>753</w:t>
            </w:r>
          </w:p>
        </w:tc>
        <w:tc>
          <w:tcPr>
            <w:tcW w:w="1296" w:type="dxa"/>
            <w:noWrap/>
            <w:vAlign w:val="center"/>
            <w:hideMark/>
          </w:tcPr>
          <w:p w:rsidR="003E6E15" w:rsidRPr="00B8691B" w:rsidRDefault="003E6E15" w:rsidP="0047204E">
            <w:pPr>
              <w:jc w:val="center"/>
            </w:pPr>
            <w:r w:rsidRPr="00B8691B">
              <w:rPr>
                <w:rFonts w:hint="eastAsia"/>
              </w:rPr>
              <w:t>2.2465</w:t>
            </w:r>
          </w:p>
        </w:tc>
      </w:tr>
      <w:tr w:rsidR="003E6E15" w:rsidRPr="00B8691B" w:rsidTr="0047204E">
        <w:trPr>
          <w:trHeight w:val="320"/>
          <w:jc w:val="center"/>
        </w:trPr>
        <w:tc>
          <w:tcPr>
            <w:tcW w:w="678" w:type="dxa"/>
            <w:noWrap/>
            <w:vAlign w:val="center"/>
            <w:hideMark/>
          </w:tcPr>
          <w:p w:rsidR="003E6E15" w:rsidRPr="00B8691B" w:rsidRDefault="003E6E15" w:rsidP="0047204E">
            <w:pPr>
              <w:jc w:val="center"/>
            </w:pPr>
            <w:r w:rsidRPr="00B8691B">
              <w:rPr>
                <w:rFonts w:hint="eastAsia"/>
              </w:rPr>
              <w:t>48</w:t>
            </w:r>
          </w:p>
        </w:tc>
        <w:tc>
          <w:tcPr>
            <w:tcW w:w="724" w:type="dxa"/>
            <w:vAlign w:val="center"/>
          </w:tcPr>
          <w:p w:rsidR="003E6E15" w:rsidRPr="00B8691B" w:rsidRDefault="003E6E15" w:rsidP="0047204E">
            <w:pPr>
              <w:jc w:val="center"/>
            </w:pPr>
            <w:r>
              <w:rPr>
                <w:rFonts w:hint="eastAsia"/>
              </w:rPr>
              <w:t>0</w:t>
            </w:r>
            <w:r>
              <w:t>.9</w:t>
            </w:r>
          </w:p>
        </w:tc>
        <w:tc>
          <w:tcPr>
            <w:tcW w:w="724" w:type="dxa"/>
            <w:vAlign w:val="center"/>
          </w:tcPr>
          <w:p w:rsidR="003E6E15" w:rsidRPr="00B8691B" w:rsidRDefault="003E6E15" w:rsidP="0047204E">
            <w:pPr>
              <w:jc w:val="center"/>
            </w:pPr>
            <w:r>
              <w:rPr>
                <w:rFonts w:hint="eastAsia"/>
              </w:rPr>
              <w:t>0</w:t>
            </w:r>
            <w:r>
              <w:t>.6</w:t>
            </w:r>
          </w:p>
        </w:tc>
        <w:tc>
          <w:tcPr>
            <w:tcW w:w="876" w:type="dxa"/>
            <w:noWrap/>
            <w:vAlign w:val="center"/>
            <w:hideMark/>
          </w:tcPr>
          <w:p w:rsidR="003E6E15" w:rsidRPr="00B8691B" w:rsidRDefault="003E6E15" w:rsidP="0047204E">
            <w:pPr>
              <w:jc w:val="center"/>
            </w:pPr>
            <w:r w:rsidRPr="00B8691B">
              <w:rPr>
                <w:rFonts w:hint="eastAsia"/>
              </w:rPr>
              <w:t>731</w:t>
            </w:r>
          </w:p>
        </w:tc>
        <w:tc>
          <w:tcPr>
            <w:tcW w:w="1296" w:type="dxa"/>
            <w:noWrap/>
            <w:vAlign w:val="center"/>
            <w:hideMark/>
          </w:tcPr>
          <w:p w:rsidR="003E6E15" w:rsidRPr="00B8691B" w:rsidRDefault="003E6E15" w:rsidP="0047204E">
            <w:pPr>
              <w:jc w:val="center"/>
            </w:pPr>
            <w:r w:rsidRPr="00B8691B">
              <w:rPr>
                <w:rFonts w:hint="eastAsia"/>
              </w:rPr>
              <w:t>2.1282</w:t>
            </w:r>
          </w:p>
        </w:tc>
      </w:tr>
    </w:tbl>
    <w:p w:rsidR="00564EAA" w:rsidRDefault="00532428" w:rsidP="00E856B3">
      <w:pPr>
        <w:ind w:firstLine="420"/>
      </w:pPr>
      <w:r>
        <w:rPr>
          <w:rFonts w:hint="eastAsia"/>
        </w:rPr>
        <w:t>根据上表所示，</w:t>
      </w:r>
      <w:r w:rsidR="00B926D4">
        <w:rPr>
          <w:rFonts w:hint="eastAsia"/>
        </w:rPr>
        <w:t>当N的取值为4</w:t>
      </w:r>
      <w:r w:rsidR="00B926D4">
        <w:t>4</w:t>
      </w:r>
      <w:r w:rsidR="00B926D4">
        <w:rPr>
          <w:rFonts w:hint="eastAsia"/>
        </w:rPr>
        <w:t>时，策略的夏普比率达到了2</w:t>
      </w:r>
      <w:r w:rsidR="00B926D4">
        <w:t>.1884</w:t>
      </w:r>
      <w:r w:rsidR="00B926D4">
        <w:rPr>
          <w:rFonts w:hint="eastAsia"/>
        </w:rPr>
        <w:t>，为</w:t>
      </w:r>
      <w:r w:rsidR="008D6C61">
        <w:rPr>
          <w:rFonts w:hint="eastAsia"/>
        </w:rPr>
        <w:t>所选策略中的第二大取值，但是此时的收益为所有策略中的最大值，因而N的取值可</w:t>
      </w:r>
      <w:r w:rsidR="00482B5D">
        <w:rPr>
          <w:rFonts w:hint="eastAsia"/>
        </w:rPr>
        <w:t>设定</w:t>
      </w:r>
      <w:r w:rsidR="008D6C61">
        <w:rPr>
          <w:rFonts w:hint="eastAsia"/>
        </w:rPr>
        <w:t>为4</w:t>
      </w:r>
      <w:r w:rsidR="008D6C61">
        <w:t>4</w:t>
      </w:r>
      <w:r w:rsidR="008D6C61">
        <w:rPr>
          <w:rFonts w:hint="eastAsia"/>
        </w:rPr>
        <w:t>，即改进的</w:t>
      </w:r>
      <w:r>
        <w:rPr>
          <w:rFonts w:hint="eastAsia"/>
        </w:rPr>
        <w:t>Aberration交易策略中参数N、K</w:t>
      </w:r>
      <w:r>
        <w:t>1</w:t>
      </w:r>
      <w:r>
        <w:rPr>
          <w:rFonts w:hint="eastAsia"/>
        </w:rPr>
        <w:t>、K</w:t>
      </w:r>
      <w:r>
        <w:t>2</w:t>
      </w:r>
      <w:r>
        <w:rPr>
          <w:rFonts w:hint="eastAsia"/>
        </w:rPr>
        <w:t>取值分别为4</w:t>
      </w:r>
      <w:r>
        <w:t>4</w:t>
      </w:r>
      <w:r>
        <w:rPr>
          <w:rFonts w:hint="eastAsia"/>
        </w:rPr>
        <w:t>、0</w:t>
      </w:r>
      <w:r>
        <w:t>.9</w:t>
      </w:r>
      <w:r>
        <w:rPr>
          <w:rFonts w:hint="eastAsia"/>
        </w:rPr>
        <w:t>、0</w:t>
      </w:r>
      <w:r>
        <w:t>.6</w:t>
      </w:r>
      <w:r w:rsidR="00964CCC">
        <w:rPr>
          <w:rFonts w:hint="eastAsia"/>
        </w:rPr>
        <w:t>时，模型的收益达到最</w:t>
      </w:r>
      <w:r w:rsidR="00BC2C65">
        <w:rPr>
          <w:rFonts w:hint="eastAsia"/>
        </w:rPr>
        <w:t>优，策略的收益为7</w:t>
      </w:r>
      <w:r w:rsidR="00BC2C65">
        <w:t>92</w:t>
      </w:r>
      <w:r w:rsidR="00BC2C65">
        <w:rPr>
          <w:rFonts w:hint="eastAsia"/>
        </w:rPr>
        <w:t>，</w:t>
      </w:r>
      <w:r>
        <w:rPr>
          <w:rFonts w:hint="eastAsia"/>
        </w:rPr>
        <w:t>将此策略的收益作为甲醇期货价格预测模型的收益。以在交易过程中需要的最大本金作为本次交易的本金，为2</w:t>
      </w:r>
      <w:r>
        <w:t>306</w:t>
      </w:r>
      <w:r>
        <w:rPr>
          <w:rFonts w:hint="eastAsia"/>
        </w:rPr>
        <w:t>，因而此次长期交易的收益率为3</w:t>
      </w:r>
      <w:r>
        <w:t>4.35%</w:t>
      </w:r>
      <w:r>
        <w:rPr>
          <w:rFonts w:hint="eastAsia"/>
        </w:rPr>
        <w:t>，平均年收益率为6</w:t>
      </w:r>
      <w:r>
        <w:t>.87%</w:t>
      </w:r>
      <w:r>
        <w:rPr>
          <w:rFonts w:hint="eastAsia"/>
        </w:rPr>
        <w:t>，高于同期的1</w:t>
      </w:r>
      <w:r>
        <w:t>0</w:t>
      </w:r>
      <w:r>
        <w:rPr>
          <w:rFonts w:hint="eastAsia"/>
        </w:rPr>
        <w:t>年期固定国债的利率3</w:t>
      </w:r>
      <w:r>
        <w:t>.1%</w:t>
      </w:r>
      <w:r>
        <w:rPr>
          <w:rFonts w:hint="eastAsia"/>
        </w:rPr>
        <w:t>一倍多。</w:t>
      </w:r>
    </w:p>
    <w:p w:rsidR="00564EAA" w:rsidRDefault="00564EAA" w:rsidP="00532428">
      <w:r>
        <w:rPr>
          <w:rFonts w:hint="eastAsia"/>
        </w:rPr>
        <w:t>为了检验上述回测交易策略的泛化能力，在2</w:t>
      </w:r>
      <w:r>
        <w:t>020</w:t>
      </w:r>
      <w:r>
        <w:rPr>
          <w:rFonts w:hint="eastAsia"/>
        </w:rPr>
        <w:t>年5月1日至2</w:t>
      </w:r>
      <w:r>
        <w:t>021</w:t>
      </w:r>
      <w:r>
        <w:rPr>
          <w:rFonts w:hint="eastAsia"/>
        </w:rPr>
        <w:t>年5月1日时间区间上</w:t>
      </w:r>
      <w:r w:rsidR="003F1587">
        <w:rPr>
          <w:rFonts w:hint="eastAsia"/>
        </w:rPr>
        <w:t>应用该交易策略进行回测交易。</w:t>
      </w:r>
      <w:r w:rsidR="00F312F7">
        <w:rPr>
          <w:rFonts w:hint="eastAsia"/>
        </w:rPr>
        <w:t>回测交易的</w:t>
      </w:r>
      <w:r w:rsidR="00323F63">
        <w:rPr>
          <w:rFonts w:hint="eastAsia"/>
        </w:rPr>
        <w:t>结果显示，依据此策略进行投资，投资收益可达4</w:t>
      </w:r>
      <w:r w:rsidR="00323F63">
        <w:t>14</w:t>
      </w:r>
      <w:r w:rsidR="00323F63">
        <w:rPr>
          <w:rFonts w:hint="eastAsia"/>
        </w:rPr>
        <w:t>，</w:t>
      </w:r>
      <w:r w:rsidR="00E856B3">
        <w:rPr>
          <w:rFonts w:hint="eastAsia"/>
        </w:rPr>
        <w:t>年化</w:t>
      </w:r>
      <w:r w:rsidR="00323F63">
        <w:rPr>
          <w:rFonts w:hint="eastAsia"/>
        </w:rPr>
        <w:t>收益率为</w:t>
      </w:r>
      <w:r w:rsidR="00323F63">
        <w:t>21.25%</w:t>
      </w:r>
      <w:r w:rsidR="00323F63">
        <w:rPr>
          <w:rFonts w:hint="eastAsia"/>
        </w:rPr>
        <w:t>。</w:t>
      </w:r>
    </w:p>
    <w:p w:rsidR="00532428" w:rsidRDefault="00532428" w:rsidP="00E856B3">
      <w:pPr>
        <w:ind w:firstLine="420"/>
      </w:pPr>
      <w:r>
        <w:rPr>
          <w:rFonts w:hint="eastAsia"/>
        </w:rPr>
        <w:lastRenderedPageBreak/>
        <w:t>可以看出，在结合本文提出的与之相应的Aberration交易策略后，基于基本面的期货价格预测模型具有很好的实用价值。</w:t>
      </w:r>
    </w:p>
    <w:p w:rsidR="00A57E83" w:rsidRPr="00532428" w:rsidRDefault="00A57E83"/>
    <w:p w:rsidR="00532428" w:rsidRDefault="00532428" w:rsidP="00532428">
      <w:r>
        <w:rPr>
          <w:rFonts w:hint="eastAsia"/>
        </w:rPr>
        <w:t>结论与启示</w:t>
      </w:r>
    </w:p>
    <w:p w:rsidR="00A57E83" w:rsidRDefault="00DF5331">
      <w:r>
        <w:tab/>
      </w:r>
      <w:r>
        <w:rPr>
          <w:rFonts w:hint="eastAsia"/>
        </w:rPr>
        <w:t>首先，本文借助经济学原理中的生产成本理论以及供需关系准则角度初步选取了模型的备选预测变量，从提高模型实用性角度出发</w:t>
      </w:r>
      <w:r w:rsidR="00CF1282">
        <w:rPr>
          <w:rFonts w:hint="eastAsia"/>
        </w:rPr>
        <w:t>将周序列、月序列数据细化为日序列数据，将被预测变量与向前偏移一个交易日的预测变量数据进行匹配形成样本向量</w:t>
      </w:r>
      <w:r>
        <w:rPr>
          <w:rFonts w:hint="eastAsia"/>
        </w:rPr>
        <w:t>，通过相关性检验后筛选出模型的预测变量。</w:t>
      </w:r>
    </w:p>
    <w:p w:rsidR="00A57E83" w:rsidRDefault="00EB4A5E">
      <w:r>
        <w:tab/>
      </w:r>
      <w:r>
        <w:rPr>
          <w:rFonts w:hint="eastAsia"/>
        </w:rPr>
        <w:t>其次，考虑到变量的不同量纲可能会对模型造成负面影响，本文采用了标准化的方式对边量进行处理，构造对照模型。根据两组对照模型的R2和MAPE模型评估指标结果选择甲醇期货价格预测模型。</w:t>
      </w:r>
      <w:r w:rsidR="004F5FAB">
        <w:rPr>
          <w:rFonts w:hint="eastAsia"/>
        </w:rPr>
        <w:t>结果发现，经过使用经过标准化处理后的变量作为预测变量的预测模型并没有提高模型的精确度，反而大大增大了模型的误差。</w:t>
      </w:r>
    </w:p>
    <w:p w:rsidR="00B07921" w:rsidRDefault="00B07921">
      <w:r>
        <w:tab/>
      </w:r>
      <w:r>
        <w:rPr>
          <w:rFonts w:hint="eastAsia"/>
        </w:rPr>
        <w:t>最后，基于Aberration交易策略思想，使用</w:t>
      </w:r>
      <w:r w:rsidR="00B5599C">
        <w:rPr>
          <w:rFonts w:hint="eastAsia"/>
        </w:rPr>
        <w:t>2</w:t>
      </w:r>
      <w:r w:rsidR="00B5599C">
        <w:t>016</w:t>
      </w:r>
      <w:r w:rsidR="00B5599C">
        <w:rPr>
          <w:rFonts w:hint="eastAsia"/>
        </w:rPr>
        <w:t>年5月1日至2</w:t>
      </w:r>
      <w:r w:rsidR="00B5599C">
        <w:t>020</w:t>
      </w:r>
      <w:r w:rsidR="00B5599C">
        <w:rPr>
          <w:rFonts w:hint="eastAsia"/>
        </w:rPr>
        <w:t>年5月1日时间区间内的</w:t>
      </w:r>
      <w:r>
        <w:rPr>
          <w:rFonts w:hint="eastAsia"/>
        </w:rPr>
        <w:t>甲醇期货价格模型预测的结果进行</w:t>
      </w:r>
      <w:r w:rsidR="005400C5">
        <w:rPr>
          <w:rFonts w:hint="eastAsia"/>
        </w:rPr>
        <w:t>回测交易</w:t>
      </w:r>
      <w:r>
        <w:rPr>
          <w:rFonts w:hint="eastAsia"/>
        </w:rPr>
        <w:t>，并使用夏普比率</w:t>
      </w:r>
      <w:r w:rsidR="00E62C52">
        <w:rPr>
          <w:rFonts w:hint="eastAsia"/>
        </w:rPr>
        <w:t>对交易策略进行筛选</w:t>
      </w:r>
      <w:r w:rsidR="00D97713">
        <w:rPr>
          <w:rFonts w:hint="eastAsia"/>
        </w:rPr>
        <w:t>，并根据最终交易策略的表现结果来评估预测模型的实际价值。</w:t>
      </w:r>
      <w:r w:rsidR="000F500B">
        <w:rPr>
          <w:rFonts w:hint="eastAsia"/>
        </w:rPr>
        <w:t>研究</w:t>
      </w:r>
      <w:r w:rsidR="002527B3">
        <w:rPr>
          <w:rFonts w:hint="eastAsia"/>
        </w:rPr>
        <w:t>发现</w:t>
      </w:r>
      <w:r w:rsidR="007D52D5">
        <w:rPr>
          <w:rFonts w:hint="eastAsia"/>
        </w:rPr>
        <w:t>，改进的Aberration交易策略中</w:t>
      </w:r>
      <w:r w:rsidR="004E27C8">
        <w:rPr>
          <w:rFonts w:hint="eastAsia"/>
        </w:rPr>
        <w:t>周期取值为4</w:t>
      </w:r>
      <w:r w:rsidR="004E27C8">
        <w:t>4</w:t>
      </w:r>
      <w:r w:rsidR="004E27C8">
        <w:rPr>
          <w:rFonts w:hint="eastAsia"/>
        </w:rPr>
        <w:t>，上轨线的阈值取为0</w:t>
      </w:r>
      <w:r w:rsidR="004E27C8">
        <w:t>.9</w:t>
      </w:r>
      <w:r w:rsidR="004E27C8">
        <w:rPr>
          <w:rFonts w:hint="eastAsia"/>
        </w:rPr>
        <w:t>，下轨线的阈值取为0</w:t>
      </w:r>
      <w:r w:rsidR="004E27C8">
        <w:t>.6</w:t>
      </w:r>
      <w:r w:rsidR="004E27C8">
        <w:rPr>
          <w:rFonts w:hint="eastAsia"/>
        </w:rPr>
        <w:t>时，交易策略的</w:t>
      </w:r>
      <w:r w:rsidR="006E0B43">
        <w:rPr>
          <w:rFonts w:hint="eastAsia"/>
        </w:rPr>
        <w:t>保守</w:t>
      </w:r>
      <w:r w:rsidR="004E27C8">
        <w:rPr>
          <w:rFonts w:hint="eastAsia"/>
        </w:rPr>
        <w:t>收益可以达到</w:t>
      </w:r>
      <w:r w:rsidR="00390F63">
        <w:rPr>
          <w:rFonts w:hint="eastAsia"/>
        </w:rPr>
        <w:t>较大值</w:t>
      </w:r>
      <w:r w:rsidR="004E27C8">
        <w:rPr>
          <w:rFonts w:hint="eastAsia"/>
        </w:rPr>
        <w:t>，平均年化收益率可以达到6</w:t>
      </w:r>
      <w:r w:rsidR="004E27C8">
        <w:t>.87%</w:t>
      </w:r>
      <w:r w:rsidR="004E27C8">
        <w:rPr>
          <w:rFonts w:hint="eastAsia"/>
        </w:rPr>
        <w:t>，超过同期1</w:t>
      </w:r>
      <w:r w:rsidR="004E27C8">
        <w:t>0</w:t>
      </w:r>
      <w:r w:rsidR="004E27C8">
        <w:rPr>
          <w:rFonts w:hint="eastAsia"/>
        </w:rPr>
        <w:t>年起国债利率</w:t>
      </w:r>
      <w:r w:rsidR="00AA1F42">
        <w:t>1</w:t>
      </w:r>
      <w:r w:rsidR="00AA1F42">
        <w:rPr>
          <w:rFonts w:hint="eastAsia"/>
        </w:rPr>
        <w:t>倍多。</w:t>
      </w:r>
      <w:r w:rsidR="00B37BE8">
        <w:rPr>
          <w:rFonts w:hint="eastAsia"/>
        </w:rPr>
        <w:t>将此策略应用于2</w:t>
      </w:r>
      <w:r w:rsidR="00B37BE8">
        <w:t>020</w:t>
      </w:r>
      <w:r w:rsidR="00B37BE8">
        <w:rPr>
          <w:rFonts w:hint="eastAsia"/>
        </w:rPr>
        <w:t>年5月1日至2</w:t>
      </w:r>
      <w:r w:rsidR="00B37BE8">
        <w:t>021</w:t>
      </w:r>
      <w:r w:rsidR="00B37BE8">
        <w:rPr>
          <w:rFonts w:hint="eastAsia"/>
        </w:rPr>
        <w:t>年5月1日时间区间上的甲醇期货价格预测模型预测值所获得的收益达到4</w:t>
      </w:r>
      <w:r w:rsidR="00B37BE8">
        <w:t>14</w:t>
      </w:r>
      <w:r w:rsidR="00B37BE8">
        <w:rPr>
          <w:rFonts w:hint="eastAsia"/>
        </w:rPr>
        <w:t>，年化收益率达到</w:t>
      </w:r>
      <w:r w:rsidR="00B37BE8">
        <w:t>21.25%</w:t>
      </w:r>
      <w:r w:rsidR="00B37BE8">
        <w:rPr>
          <w:rFonts w:hint="eastAsia"/>
        </w:rPr>
        <w:t>。</w:t>
      </w:r>
      <w:r w:rsidR="001054F9">
        <w:rPr>
          <w:rFonts w:hint="eastAsia"/>
        </w:rPr>
        <w:t>策略的泛化结果表明，上文提出的甲醇期货价格预测模型在结合使用改进后的Aberration交易策略能够实现很好的投资收益。</w:t>
      </w:r>
    </w:p>
    <w:p w:rsidR="00C76687" w:rsidRDefault="00C76687" w:rsidP="00EB0BC5">
      <w:pPr>
        <w:ind w:firstLine="420"/>
      </w:pPr>
      <w:r>
        <w:rPr>
          <w:rFonts w:hint="eastAsia"/>
        </w:rPr>
        <w:t>研究表明，</w:t>
      </w:r>
      <w:r w:rsidR="005714D1">
        <w:rPr>
          <w:rFonts w:hint="eastAsia"/>
        </w:rPr>
        <w:t>以甲醇产业链上下游相关产品的基本面特征作为模型的预测变量来预测甲醇的期货价格具有很高的使用价值，能够很精准对甲醇期货价格进行预测，结合改进的Aberration交易策略能够达到</w:t>
      </w:r>
      <w:r w:rsidR="008804AF">
        <w:rPr>
          <w:rFonts w:hint="eastAsia"/>
        </w:rPr>
        <w:t>稳定</w:t>
      </w:r>
      <w:r w:rsidR="003451A8">
        <w:rPr>
          <w:rFonts w:hint="eastAsia"/>
        </w:rPr>
        <w:t>且</w:t>
      </w:r>
      <w:r w:rsidR="008804AF">
        <w:rPr>
          <w:rFonts w:hint="eastAsia"/>
        </w:rPr>
        <w:t>较高</w:t>
      </w:r>
      <w:r w:rsidR="005714D1">
        <w:rPr>
          <w:rFonts w:hint="eastAsia"/>
        </w:rPr>
        <w:t>的交易收益。</w:t>
      </w:r>
    </w:p>
    <w:p w:rsidR="00DF5331" w:rsidRDefault="00DF5331" w:rsidP="00DF5331">
      <w:r>
        <w:rPr>
          <w:rFonts w:hint="eastAsia"/>
        </w:rPr>
        <w:t>参考文献</w:t>
      </w:r>
    </w:p>
    <w:p w:rsidR="00DA6977" w:rsidRDefault="00DA6977" w:rsidP="00DA6977">
      <w:r>
        <w:t>[1]周亚.基于XGBoost与弹性网络回归的集成模型对上证指数日极差的预测分析[J].中国物价,2021(05):68-71.</w:t>
      </w:r>
    </w:p>
    <w:p w:rsidR="00DA6977" w:rsidRDefault="00DA6977" w:rsidP="00DA6977">
      <w:r>
        <w:t>[2]李燕,何如海,廖宜静,聂雷.聚氯乙烯期货价格与现货价格传导关系实证研究[J].宿州学院学报,2013,28(01):14-18.</w:t>
      </w:r>
    </w:p>
    <w:p w:rsidR="00DA6977" w:rsidRDefault="00DA6977" w:rsidP="00DA6977">
      <w:r>
        <w:t>[3]范俊明,刘洪久,胡彦蓉.基于LSTM深度学习的大豆期货价格预测[J].价格月刊,2021(02):7-15.</w:t>
      </w:r>
    </w:p>
    <w:p w:rsidR="00DA6977" w:rsidRDefault="00DA6977" w:rsidP="00DA6977">
      <w:r>
        <w:t>[4]陈标金,王锋.宏观经济指标、技术指标与国债期货价格预测——基于随机森林机器学习的实证检验[J].统计与信息论坛,2019,34(06):29-35.</w:t>
      </w:r>
    </w:p>
    <w:p w:rsidR="00DA6977" w:rsidRDefault="00DA6977" w:rsidP="00DA6977">
      <w:r>
        <w:t>[5]范俊明,刘洪久,胡彦蓉.基于LSTM深度学习的大豆期货价格预测[J].价格月刊,2021(02):7-15.</w:t>
      </w:r>
    </w:p>
    <w:p w:rsidR="00DA6977" w:rsidRDefault="00DA6977" w:rsidP="00DA6977">
      <w:r>
        <w:t>[</w:t>
      </w:r>
      <w:proofErr w:type="gramStart"/>
      <w:r>
        <w:t>6]</w:t>
      </w:r>
      <w:proofErr w:type="spellStart"/>
      <w:r>
        <w:t>Liran</w:t>
      </w:r>
      <w:proofErr w:type="spellEnd"/>
      <w:proofErr w:type="gramEnd"/>
      <w:r>
        <w:t xml:space="preserve"> </w:t>
      </w:r>
      <w:proofErr w:type="spellStart"/>
      <w:r>
        <w:t>Einav,Jonathan</w:t>
      </w:r>
      <w:proofErr w:type="spellEnd"/>
      <w:r>
        <w:t xml:space="preserve"> Levin. Economics in the age of big data[J]. Science,2014,346(6210).</w:t>
      </w:r>
    </w:p>
    <w:p w:rsidR="00DA6977" w:rsidRDefault="00DA6977" w:rsidP="00DA6977">
      <w:r>
        <w:t>[</w:t>
      </w:r>
      <w:proofErr w:type="gramStart"/>
      <w:r>
        <w:t>7]Alessandro</w:t>
      </w:r>
      <w:proofErr w:type="gramEnd"/>
      <w:r>
        <w:t xml:space="preserve"> </w:t>
      </w:r>
      <w:proofErr w:type="spellStart"/>
      <w:r>
        <w:t>Vespignani</w:t>
      </w:r>
      <w:proofErr w:type="spellEnd"/>
      <w:r>
        <w:t xml:space="preserve">. Predicting the Behavior of Techno-Social Systems[J]. Science,2009,325(5939). </w:t>
      </w:r>
    </w:p>
    <w:p w:rsidR="00DA6977" w:rsidRDefault="00DA6977" w:rsidP="00DA6977">
      <w:r>
        <w:t>[8]李航. 统计学习方法[M].清华大学出版社:, 201905.403.</w:t>
      </w:r>
    </w:p>
    <w:p w:rsidR="00DA6977" w:rsidRDefault="00DA6977" w:rsidP="00DA6977">
      <w:r>
        <w:t>[</w:t>
      </w:r>
      <w:proofErr w:type="gramStart"/>
      <w:r>
        <w:t>9]</w:t>
      </w:r>
      <w:proofErr w:type="spellStart"/>
      <w:r>
        <w:t>Breiman</w:t>
      </w:r>
      <w:proofErr w:type="spellEnd"/>
      <w:proofErr w:type="gramEnd"/>
      <w:r>
        <w:t xml:space="preserve">, L. Random Forests. Machine Learning 45, 5–32 (2001). </w:t>
      </w:r>
    </w:p>
    <w:p w:rsidR="00DA6977" w:rsidRDefault="00DA6977" w:rsidP="00DA6977">
      <w:r>
        <w:t>[</w:t>
      </w:r>
      <w:proofErr w:type="gramStart"/>
      <w:r>
        <w:t>10]</w:t>
      </w:r>
      <w:proofErr w:type="spellStart"/>
      <w:r>
        <w:t>Sendhil</w:t>
      </w:r>
      <w:proofErr w:type="spellEnd"/>
      <w:proofErr w:type="gramEnd"/>
      <w:r>
        <w:t xml:space="preserve"> </w:t>
      </w:r>
      <w:proofErr w:type="spellStart"/>
      <w:r>
        <w:t>Mullainathan,Jann</w:t>
      </w:r>
      <w:proofErr w:type="spellEnd"/>
      <w:r>
        <w:t xml:space="preserve"> </w:t>
      </w:r>
      <w:proofErr w:type="spellStart"/>
      <w:r>
        <w:t>Spiess</w:t>
      </w:r>
      <w:proofErr w:type="spellEnd"/>
      <w:r>
        <w:t>. Machine Learning: An Applied Econometric Approach[J]. Journal of Economic Perspectives,2017,31(2).</w:t>
      </w:r>
    </w:p>
    <w:p w:rsidR="00DA6977" w:rsidRDefault="00DA6977" w:rsidP="00DA6977">
      <w:r w:rsidRPr="00FF2646">
        <w:rPr>
          <w:lang w:val="es-ES"/>
        </w:rPr>
        <w:t>[11]Pérez-</w:t>
      </w:r>
      <w:proofErr w:type="spellStart"/>
      <w:proofErr w:type="gramStart"/>
      <w:r w:rsidRPr="00FF2646">
        <w:rPr>
          <w:lang w:val="es-ES"/>
        </w:rPr>
        <w:t>Rave,Correa</w:t>
      </w:r>
      <w:proofErr w:type="spellEnd"/>
      <w:proofErr w:type="gramEnd"/>
      <w:r w:rsidRPr="00FF2646">
        <w:rPr>
          <w:lang w:val="es-ES"/>
        </w:rPr>
        <w:t>-</w:t>
      </w:r>
      <w:proofErr w:type="spellStart"/>
      <w:r w:rsidRPr="00FF2646">
        <w:rPr>
          <w:lang w:val="es-ES"/>
        </w:rPr>
        <w:t>Morales,González</w:t>
      </w:r>
      <w:proofErr w:type="spellEnd"/>
      <w:r w:rsidRPr="00FF2646">
        <w:rPr>
          <w:lang w:val="es-ES"/>
        </w:rPr>
        <w:t xml:space="preserve">-Echavarría. </w:t>
      </w:r>
      <w:r>
        <w:t xml:space="preserve">A machine learning approach to big data regression analysis of real estate prices for inferential and predictive purposes[J]. Journal </w:t>
      </w:r>
      <w:r>
        <w:lastRenderedPageBreak/>
        <w:t>of Property Research,2019,36(1).</w:t>
      </w:r>
    </w:p>
    <w:p w:rsidR="00DA6977" w:rsidRDefault="00DA6977" w:rsidP="00DA6977">
      <w:r w:rsidRPr="00FF2646">
        <w:rPr>
          <w:lang w:val="es-ES"/>
        </w:rPr>
        <w:t xml:space="preserve">[12]Lucas </w:t>
      </w:r>
      <w:proofErr w:type="spellStart"/>
      <w:proofErr w:type="gramStart"/>
      <w:r w:rsidRPr="00FF2646">
        <w:rPr>
          <w:lang w:val="es-ES"/>
        </w:rPr>
        <w:t>Alexandre,Pegios</w:t>
      </w:r>
      <w:proofErr w:type="spellEnd"/>
      <w:proofErr w:type="gramEnd"/>
      <w:r w:rsidRPr="00FF2646">
        <w:rPr>
          <w:lang w:val="es-ES"/>
        </w:rPr>
        <w:t xml:space="preserve"> </w:t>
      </w:r>
      <w:proofErr w:type="spellStart"/>
      <w:r w:rsidRPr="00FF2646">
        <w:rPr>
          <w:lang w:val="es-ES"/>
        </w:rPr>
        <w:t>Konstantinos,Kotsakis</w:t>
      </w:r>
      <w:proofErr w:type="spellEnd"/>
      <w:r w:rsidRPr="00FF2646">
        <w:rPr>
          <w:lang w:val="es-ES"/>
        </w:rPr>
        <w:t xml:space="preserve"> </w:t>
      </w:r>
      <w:proofErr w:type="spellStart"/>
      <w:r w:rsidRPr="00FF2646">
        <w:rPr>
          <w:lang w:val="es-ES"/>
        </w:rPr>
        <w:t>Evangelos,Clarke</w:t>
      </w:r>
      <w:proofErr w:type="spellEnd"/>
      <w:r w:rsidRPr="00FF2646">
        <w:rPr>
          <w:lang w:val="es-ES"/>
        </w:rPr>
        <w:t xml:space="preserve"> Dan. </w:t>
      </w:r>
      <w:r>
        <w:t>Price Forecasting for the Balancing Energy Market Using Machine-Learning Regression[J]. Energies,2020,13(20).</w:t>
      </w:r>
    </w:p>
    <w:p w:rsidR="00D50102" w:rsidRDefault="00DA6977" w:rsidP="00DA6977">
      <w:pPr>
        <w:jc w:val="left"/>
      </w:pPr>
      <w:r>
        <w:t>[13]马郑玮,琚心然,姚瑜,冯异立.基于产业链视角对石油期货与PTA期货价格关联性的分析[J/OL].现代化工:1-16[2021-06</w:t>
      </w:r>
      <w:r w:rsidR="00D50102">
        <w:t>-</w:t>
      </w:r>
      <w:r>
        <w:t>29].</w:t>
      </w:r>
      <w:hyperlink r:id="rId5" w:history="1">
        <w:r w:rsidR="00D50102" w:rsidRPr="00002B30">
          <w:rPr>
            <w:rStyle w:val="a6"/>
          </w:rPr>
          <w:t>http://kns.cnki.net/kcms/detail/11.2172.tq</w:t>
        </w:r>
      </w:hyperlink>
      <w:r>
        <w:t>.20200910.084</w:t>
      </w:r>
    </w:p>
    <w:p w:rsidR="00DA6977" w:rsidRDefault="00DA6977" w:rsidP="00DA6977">
      <w:pPr>
        <w:jc w:val="left"/>
      </w:pPr>
      <w:r>
        <w:t>5.005.html.</w:t>
      </w:r>
    </w:p>
    <w:p w:rsidR="00DA6977" w:rsidRDefault="00DA6977" w:rsidP="00DA6977">
      <w:r>
        <w:t>[14]方匡南,吴见彬,朱建平,谢邦昌.随机森林方法研究综述[J].统计与信息论坛,2011,26(03):32-38.</w:t>
      </w:r>
    </w:p>
    <w:p w:rsidR="00DA6977" w:rsidRDefault="00DA6977" w:rsidP="00DA6977">
      <w:r>
        <w:t>[15]Q Chen. XGBoost: A scalable tree boosting system. The 22nd ACM SIGKDD International Conference ACM, 2016.</w:t>
      </w:r>
    </w:p>
    <w:p w:rsidR="00DF5331" w:rsidRDefault="00DA6977" w:rsidP="00DA6977">
      <w:r>
        <w:t>[16]周亚.基于XGBoost与弹性网络回归的集成模型对上证指数日极差的预测分析[J].中国物价,2021(05):68-71.</w:t>
      </w:r>
    </w:p>
    <w:p w:rsidR="00EB4A5E" w:rsidRDefault="00EB4A5E"/>
    <w:p w:rsidR="00EB4A5E" w:rsidRDefault="00EB4A5E">
      <w:bookmarkStart w:id="0" w:name="_GoBack"/>
      <w:bookmarkEnd w:id="0"/>
    </w:p>
    <w:p w:rsidR="00EB4A5E" w:rsidRPr="00FB4086" w:rsidRDefault="00EB4A5E"/>
    <w:sectPr w:rsidR="00EB4A5E" w:rsidRPr="00FB4086" w:rsidSect="00E047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52CF"/>
    <w:multiLevelType w:val="hybridMultilevel"/>
    <w:tmpl w:val="868A070A"/>
    <w:lvl w:ilvl="0" w:tplc="F95CD1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96"/>
    <w:rsid w:val="00006B90"/>
    <w:rsid w:val="000072D0"/>
    <w:rsid w:val="00007C32"/>
    <w:rsid w:val="00010108"/>
    <w:rsid w:val="00013FB2"/>
    <w:rsid w:val="000162BF"/>
    <w:rsid w:val="00016F61"/>
    <w:rsid w:val="000238B0"/>
    <w:rsid w:val="00025981"/>
    <w:rsid w:val="00026674"/>
    <w:rsid w:val="00031353"/>
    <w:rsid w:val="00032081"/>
    <w:rsid w:val="00050B10"/>
    <w:rsid w:val="00050DF1"/>
    <w:rsid w:val="00056246"/>
    <w:rsid w:val="000635B1"/>
    <w:rsid w:val="0007059E"/>
    <w:rsid w:val="00073F4A"/>
    <w:rsid w:val="000773E0"/>
    <w:rsid w:val="00084C6F"/>
    <w:rsid w:val="000905BB"/>
    <w:rsid w:val="000A3743"/>
    <w:rsid w:val="000A6D61"/>
    <w:rsid w:val="000B0553"/>
    <w:rsid w:val="000B4B15"/>
    <w:rsid w:val="000B4B27"/>
    <w:rsid w:val="000C369A"/>
    <w:rsid w:val="000D26EB"/>
    <w:rsid w:val="000E49DA"/>
    <w:rsid w:val="000F165D"/>
    <w:rsid w:val="000F487F"/>
    <w:rsid w:val="000F500B"/>
    <w:rsid w:val="000F51C6"/>
    <w:rsid w:val="000F7AE3"/>
    <w:rsid w:val="001005E0"/>
    <w:rsid w:val="001054F9"/>
    <w:rsid w:val="0010596E"/>
    <w:rsid w:val="00113DA5"/>
    <w:rsid w:val="0011647B"/>
    <w:rsid w:val="0012436D"/>
    <w:rsid w:val="00124649"/>
    <w:rsid w:val="00125C89"/>
    <w:rsid w:val="00125DB1"/>
    <w:rsid w:val="00127B24"/>
    <w:rsid w:val="00135817"/>
    <w:rsid w:val="001421BC"/>
    <w:rsid w:val="00143003"/>
    <w:rsid w:val="0014380A"/>
    <w:rsid w:val="00147A02"/>
    <w:rsid w:val="00163CF3"/>
    <w:rsid w:val="00166068"/>
    <w:rsid w:val="0017342C"/>
    <w:rsid w:val="001748CA"/>
    <w:rsid w:val="00177ADC"/>
    <w:rsid w:val="001815CD"/>
    <w:rsid w:val="00183957"/>
    <w:rsid w:val="00185E39"/>
    <w:rsid w:val="00190225"/>
    <w:rsid w:val="001943CF"/>
    <w:rsid w:val="001A2832"/>
    <w:rsid w:val="001A2AA1"/>
    <w:rsid w:val="001B37E9"/>
    <w:rsid w:val="001B5BC3"/>
    <w:rsid w:val="001C0316"/>
    <w:rsid w:val="001C1DB2"/>
    <w:rsid w:val="001C2AD2"/>
    <w:rsid w:val="001C5E21"/>
    <w:rsid w:val="001C6262"/>
    <w:rsid w:val="001D1142"/>
    <w:rsid w:val="001D1610"/>
    <w:rsid w:val="001D52A1"/>
    <w:rsid w:val="001E3429"/>
    <w:rsid w:val="001E3D8F"/>
    <w:rsid w:val="001E62B6"/>
    <w:rsid w:val="001F230C"/>
    <w:rsid w:val="001F25B0"/>
    <w:rsid w:val="001F5120"/>
    <w:rsid w:val="001F6A8E"/>
    <w:rsid w:val="00201246"/>
    <w:rsid w:val="0020602B"/>
    <w:rsid w:val="002208FA"/>
    <w:rsid w:val="002265FB"/>
    <w:rsid w:val="002527B3"/>
    <w:rsid w:val="00263972"/>
    <w:rsid w:val="002651AC"/>
    <w:rsid w:val="002667CB"/>
    <w:rsid w:val="002676E4"/>
    <w:rsid w:val="00281187"/>
    <w:rsid w:val="0028446F"/>
    <w:rsid w:val="00293C02"/>
    <w:rsid w:val="0029466F"/>
    <w:rsid w:val="002A4A36"/>
    <w:rsid w:val="002B0B1E"/>
    <w:rsid w:val="002C66BE"/>
    <w:rsid w:val="002D3F96"/>
    <w:rsid w:val="002D4BD3"/>
    <w:rsid w:val="002D65FE"/>
    <w:rsid w:val="002D6FA8"/>
    <w:rsid w:val="002E08CF"/>
    <w:rsid w:val="002E4843"/>
    <w:rsid w:val="002E5264"/>
    <w:rsid w:val="002F0D04"/>
    <w:rsid w:val="003004F0"/>
    <w:rsid w:val="00301754"/>
    <w:rsid w:val="00302DF4"/>
    <w:rsid w:val="003119E3"/>
    <w:rsid w:val="00312814"/>
    <w:rsid w:val="00317113"/>
    <w:rsid w:val="003178B3"/>
    <w:rsid w:val="00322453"/>
    <w:rsid w:val="00322646"/>
    <w:rsid w:val="00323F63"/>
    <w:rsid w:val="00324F0C"/>
    <w:rsid w:val="00325F9C"/>
    <w:rsid w:val="00327C38"/>
    <w:rsid w:val="00332A42"/>
    <w:rsid w:val="0034181F"/>
    <w:rsid w:val="003451A8"/>
    <w:rsid w:val="00351E80"/>
    <w:rsid w:val="003805C0"/>
    <w:rsid w:val="0038176B"/>
    <w:rsid w:val="00381B94"/>
    <w:rsid w:val="00390F63"/>
    <w:rsid w:val="0039344D"/>
    <w:rsid w:val="003A3367"/>
    <w:rsid w:val="003A4F94"/>
    <w:rsid w:val="003C0FB7"/>
    <w:rsid w:val="003C26B3"/>
    <w:rsid w:val="003C6870"/>
    <w:rsid w:val="003D0147"/>
    <w:rsid w:val="003D3DDC"/>
    <w:rsid w:val="003E0F5A"/>
    <w:rsid w:val="003E54E2"/>
    <w:rsid w:val="003E5A8E"/>
    <w:rsid w:val="003E5DC8"/>
    <w:rsid w:val="003E6E15"/>
    <w:rsid w:val="003F152E"/>
    <w:rsid w:val="003F1587"/>
    <w:rsid w:val="003F1876"/>
    <w:rsid w:val="003F4034"/>
    <w:rsid w:val="003F4112"/>
    <w:rsid w:val="003F7BDB"/>
    <w:rsid w:val="004047A3"/>
    <w:rsid w:val="004049B1"/>
    <w:rsid w:val="004177F3"/>
    <w:rsid w:val="00421213"/>
    <w:rsid w:val="00431550"/>
    <w:rsid w:val="00434BDD"/>
    <w:rsid w:val="00436103"/>
    <w:rsid w:val="00437DA7"/>
    <w:rsid w:val="00444A13"/>
    <w:rsid w:val="00454A6A"/>
    <w:rsid w:val="004635D1"/>
    <w:rsid w:val="00471DE8"/>
    <w:rsid w:val="0047204E"/>
    <w:rsid w:val="00474DBC"/>
    <w:rsid w:val="00482B5D"/>
    <w:rsid w:val="00486C7B"/>
    <w:rsid w:val="004906A5"/>
    <w:rsid w:val="00490D3B"/>
    <w:rsid w:val="00491C2F"/>
    <w:rsid w:val="004A1078"/>
    <w:rsid w:val="004A2430"/>
    <w:rsid w:val="004A2A36"/>
    <w:rsid w:val="004A5E9B"/>
    <w:rsid w:val="004B04DD"/>
    <w:rsid w:val="004B4080"/>
    <w:rsid w:val="004B72D6"/>
    <w:rsid w:val="004C1932"/>
    <w:rsid w:val="004C2129"/>
    <w:rsid w:val="004C2F76"/>
    <w:rsid w:val="004C6455"/>
    <w:rsid w:val="004D1809"/>
    <w:rsid w:val="004D5D75"/>
    <w:rsid w:val="004E00A0"/>
    <w:rsid w:val="004E25B0"/>
    <w:rsid w:val="004E27C8"/>
    <w:rsid w:val="004E751E"/>
    <w:rsid w:val="004F5FAB"/>
    <w:rsid w:val="004F7E89"/>
    <w:rsid w:val="00500ADE"/>
    <w:rsid w:val="00500FC2"/>
    <w:rsid w:val="00503847"/>
    <w:rsid w:val="00511F56"/>
    <w:rsid w:val="00515FA3"/>
    <w:rsid w:val="00516A43"/>
    <w:rsid w:val="005179F3"/>
    <w:rsid w:val="00524B3F"/>
    <w:rsid w:val="00530A4A"/>
    <w:rsid w:val="00532428"/>
    <w:rsid w:val="0053682A"/>
    <w:rsid w:val="005400C5"/>
    <w:rsid w:val="00545AF6"/>
    <w:rsid w:val="00547C08"/>
    <w:rsid w:val="00551073"/>
    <w:rsid w:val="005578E8"/>
    <w:rsid w:val="00562D57"/>
    <w:rsid w:val="00564EAA"/>
    <w:rsid w:val="0056550A"/>
    <w:rsid w:val="00570F19"/>
    <w:rsid w:val="005714D1"/>
    <w:rsid w:val="005778A7"/>
    <w:rsid w:val="005818E0"/>
    <w:rsid w:val="005927A3"/>
    <w:rsid w:val="005928B1"/>
    <w:rsid w:val="005A09D9"/>
    <w:rsid w:val="005A170A"/>
    <w:rsid w:val="005A2544"/>
    <w:rsid w:val="005A30A4"/>
    <w:rsid w:val="005A451D"/>
    <w:rsid w:val="005A6F21"/>
    <w:rsid w:val="005A79F1"/>
    <w:rsid w:val="005B5BCF"/>
    <w:rsid w:val="005C0262"/>
    <w:rsid w:val="005D5648"/>
    <w:rsid w:val="005E4710"/>
    <w:rsid w:val="005F086F"/>
    <w:rsid w:val="005F4C47"/>
    <w:rsid w:val="005F5013"/>
    <w:rsid w:val="00601D69"/>
    <w:rsid w:val="0060321A"/>
    <w:rsid w:val="0060601C"/>
    <w:rsid w:val="006072CB"/>
    <w:rsid w:val="006173B1"/>
    <w:rsid w:val="006205B4"/>
    <w:rsid w:val="006215DE"/>
    <w:rsid w:val="00624334"/>
    <w:rsid w:val="00636A0C"/>
    <w:rsid w:val="00637717"/>
    <w:rsid w:val="006438B3"/>
    <w:rsid w:val="006477AF"/>
    <w:rsid w:val="00647812"/>
    <w:rsid w:val="0065005C"/>
    <w:rsid w:val="00655547"/>
    <w:rsid w:val="00655DF6"/>
    <w:rsid w:val="00661646"/>
    <w:rsid w:val="006638CA"/>
    <w:rsid w:val="00675366"/>
    <w:rsid w:val="00676BAF"/>
    <w:rsid w:val="00684234"/>
    <w:rsid w:val="0068742D"/>
    <w:rsid w:val="006955BE"/>
    <w:rsid w:val="00697396"/>
    <w:rsid w:val="006A00CF"/>
    <w:rsid w:val="006A2A64"/>
    <w:rsid w:val="006B131B"/>
    <w:rsid w:val="006C0F54"/>
    <w:rsid w:val="006C3866"/>
    <w:rsid w:val="006C5685"/>
    <w:rsid w:val="006C67AC"/>
    <w:rsid w:val="006C7828"/>
    <w:rsid w:val="006C7C3C"/>
    <w:rsid w:val="006D2028"/>
    <w:rsid w:val="006E0B43"/>
    <w:rsid w:val="006E5D9E"/>
    <w:rsid w:val="006E67D4"/>
    <w:rsid w:val="006F09FB"/>
    <w:rsid w:val="006F3267"/>
    <w:rsid w:val="007070B2"/>
    <w:rsid w:val="0071496B"/>
    <w:rsid w:val="0071712C"/>
    <w:rsid w:val="007212DB"/>
    <w:rsid w:val="007313A3"/>
    <w:rsid w:val="00731D0B"/>
    <w:rsid w:val="00735E5D"/>
    <w:rsid w:val="00737A63"/>
    <w:rsid w:val="0074768F"/>
    <w:rsid w:val="007504D5"/>
    <w:rsid w:val="00750AD7"/>
    <w:rsid w:val="00752B1D"/>
    <w:rsid w:val="00754E2C"/>
    <w:rsid w:val="00764BAD"/>
    <w:rsid w:val="00766437"/>
    <w:rsid w:val="00774BF7"/>
    <w:rsid w:val="00774CA7"/>
    <w:rsid w:val="007758A0"/>
    <w:rsid w:val="00777CE8"/>
    <w:rsid w:val="007802F8"/>
    <w:rsid w:val="007902AC"/>
    <w:rsid w:val="007952C4"/>
    <w:rsid w:val="00795681"/>
    <w:rsid w:val="007A1682"/>
    <w:rsid w:val="007A28BA"/>
    <w:rsid w:val="007A2EEC"/>
    <w:rsid w:val="007C3AF0"/>
    <w:rsid w:val="007C6A21"/>
    <w:rsid w:val="007D1F90"/>
    <w:rsid w:val="007D52D5"/>
    <w:rsid w:val="007E1846"/>
    <w:rsid w:val="007E1E73"/>
    <w:rsid w:val="007E25EB"/>
    <w:rsid w:val="007E32D0"/>
    <w:rsid w:val="007E6995"/>
    <w:rsid w:val="007F03D9"/>
    <w:rsid w:val="007F48E7"/>
    <w:rsid w:val="007F4BB8"/>
    <w:rsid w:val="007F4E4A"/>
    <w:rsid w:val="007F7D83"/>
    <w:rsid w:val="00804917"/>
    <w:rsid w:val="00811067"/>
    <w:rsid w:val="008116A8"/>
    <w:rsid w:val="0082227B"/>
    <w:rsid w:val="00822459"/>
    <w:rsid w:val="00831355"/>
    <w:rsid w:val="00831996"/>
    <w:rsid w:val="00834092"/>
    <w:rsid w:val="00835F98"/>
    <w:rsid w:val="008451C2"/>
    <w:rsid w:val="008452BA"/>
    <w:rsid w:val="00845E82"/>
    <w:rsid w:val="008518A0"/>
    <w:rsid w:val="00860AD7"/>
    <w:rsid w:val="00860D4B"/>
    <w:rsid w:val="00863CCF"/>
    <w:rsid w:val="0086466B"/>
    <w:rsid w:val="00872E5A"/>
    <w:rsid w:val="0087340B"/>
    <w:rsid w:val="00875D3E"/>
    <w:rsid w:val="008764FE"/>
    <w:rsid w:val="008804AF"/>
    <w:rsid w:val="00880EA2"/>
    <w:rsid w:val="00883A73"/>
    <w:rsid w:val="00885019"/>
    <w:rsid w:val="00887FAA"/>
    <w:rsid w:val="008A17ED"/>
    <w:rsid w:val="008A3A1C"/>
    <w:rsid w:val="008B1DC1"/>
    <w:rsid w:val="008B2B66"/>
    <w:rsid w:val="008B3F9A"/>
    <w:rsid w:val="008B58F8"/>
    <w:rsid w:val="008C2F60"/>
    <w:rsid w:val="008D0090"/>
    <w:rsid w:val="008D2B5B"/>
    <w:rsid w:val="008D506F"/>
    <w:rsid w:val="008D6C61"/>
    <w:rsid w:val="008D77FA"/>
    <w:rsid w:val="008E4D83"/>
    <w:rsid w:val="008E6B3D"/>
    <w:rsid w:val="008E6E6C"/>
    <w:rsid w:val="008F0D76"/>
    <w:rsid w:val="008F42A4"/>
    <w:rsid w:val="008F75D2"/>
    <w:rsid w:val="008F778E"/>
    <w:rsid w:val="0090221D"/>
    <w:rsid w:val="009029E5"/>
    <w:rsid w:val="0090443D"/>
    <w:rsid w:val="00905247"/>
    <w:rsid w:val="00910043"/>
    <w:rsid w:val="00913779"/>
    <w:rsid w:val="00920DB0"/>
    <w:rsid w:val="009240B8"/>
    <w:rsid w:val="009261E7"/>
    <w:rsid w:val="009314A6"/>
    <w:rsid w:val="00932717"/>
    <w:rsid w:val="009367A5"/>
    <w:rsid w:val="00941886"/>
    <w:rsid w:val="00944740"/>
    <w:rsid w:val="00945CC6"/>
    <w:rsid w:val="00947A1C"/>
    <w:rsid w:val="0095009E"/>
    <w:rsid w:val="009509C8"/>
    <w:rsid w:val="00953AF9"/>
    <w:rsid w:val="00964CCC"/>
    <w:rsid w:val="00965C8C"/>
    <w:rsid w:val="00971865"/>
    <w:rsid w:val="00972D54"/>
    <w:rsid w:val="00973488"/>
    <w:rsid w:val="0097520B"/>
    <w:rsid w:val="00980B94"/>
    <w:rsid w:val="00983BCE"/>
    <w:rsid w:val="009841B3"/>
    <w:rsid w:val="00986E57"/>
    <w:rsid w:val="00991771"/>
    <w:rsid w:val="00997A0B"/>
    <w:rsid w:val="009A12E8"/>
    <w:rsid w:val="009A1776"/>
    <w:rsid w:val="009A2612"/>
    <w:rsid w:val="009B59A6"/>
    <w:rsid w:val="009C1DEA"/>
    <w:rsid w:val="009D2893"/>
    <w:rsid w:val="009D3173"/>
    <w:rsid w:val="00A01668"/>
    <w:rsid w:val="00A0645E"/>
    <w:rsid w:val="00A16E5E"/>
    <w:rsid w:val="00A171F2"/>
    <w:rsid w:val="00A175A8"/>
    <w:rsid w:val="00A302C2"/>
    <w:rsid w:val="00A30703"/>
    <w:rsid w:val="00A35858"/>
    <w:rsid w:val="00A50C7A"/>
    <w:rsid w:val="00A55A1F"/>
    <w:rsid w:val="00A57341"/>
    <w:rsid w:val="00A57E83"/>
    <w:rsid w:val="00A63426"/>
    <w:rsid w:val="00A65853"/>
    <w:rsid w:val="00A709B9"/>
    <w:rsid w:val="00A70EF5"/>
    <w:rsid w:val="00A744C2"/>
    <w:rsid w:val="00A81E93"/>
    <w:rsid w:val="00A9310F"/>
    <w:rsid w:val="00A94C19"/>
    <w:rsid w:val="00A94D34"/>
    <w:rsid w:val="00A96809"/>
    <w:rsid w:val="00A97870"/>
    <w:rsid w:val="00AA1F42"/>
    <w:rsid w:val="00AA4633"/>
    <w:rsid w:val="00AA54D2"/>
    <w:rsid w:val="00AA5B58"/>
    <w:rsid w:val="00AA72EF"/>
    <w:rsid w:val="00AB2F50"/>
    <w:rsid w:val="00AB67E2"/>
    <w:rsid w:val="00AC00CE"/>
    <w:rsid w:val="00AC251E"/>
    <w:rsid w:val="00AC6A24"/>
    <w:rsid w:val="00AD7229"/>
    <w:rsid w:val="00AE3184"/>
    <w:rsid w:val="00AE41BB"/>
    <w:rsid w:val="00AE7B56"/>
    <w:rsid w:val="00AF04BC"/>
    <w:rsid w:val="00AF63C8"/>
    <w:rsid w:val="00B00345"/>
    <w:rsid w:val="00B04CCF"/>
    <w:rsid w:val="00B07921"/>
    <w:rsid w:val="00B200A8"/>
    <w:rsid w:val="00B21C87"/>
    <w:rsid w:val="00B233FE"/>
    <w:rsid w:val="00B24AC1"/>
    <w:rsid w:val="00B26695"/>
    <w:rsid w:val="00B37105"/>
    <w:rsid w:val="00B37BE8"/>
    <w:rsid w:val="00B42559"/>
    <w:rsid w:val="00B52A08"/>
    <w:rsid w:val="00B5599C"/>
    <w:rsid w:val="00B563CE"/>
    <w:rsid w:val="00B57974"/>
    <w:rsid w:val="00B63257"/>
    <w:rsid w:val="00B6378E"/>
    <w:rsid w:val="00B66700"/>
    <w:rsid w:val="00B70F9A"/>
    <w:rsid w:val="00B926D4"/>
    <w:rsid w:val="00B935D7"/>
    <w:rsid w:val="00B942AC"/>
    <w:rsid w:val="00BA1A1E"/>
    <w:rsid w:val="00BA4D87"/>
    <w:rsid w:val="00BA5C67"/>
    <w:rsid w:val="00BB2A0F"/>
    <w:rsid w:val="00BB2B6A"/>
    <w:rsid w:val="00BB61F3"/>
    <w:rsid w:val="00BB6CDB"/>
    <w:rsid w:val="00BC2A3A"/>
    <w:rsid w:val="00BC2C65"/>
    <w:rsid w:val="00BD1D3C"/>
    <w:rsid w:val="00BD3246"/>
    <w:rsid w:val="00BF5796"/>
    <w:rsid w:val="00C038E0"/>
    <w:rsid w:val="00C041D5"/>
    <w:rsid w:val="00C1373F"/>
    <w:rsid w:val="00C14E4B"/>
    <w:rsid w:val="00C32A7A"/>
    <w:rsid w:val="00C50C41"/>
    <w:rsid w:val="00C516E6"/>
    <w:rsid w:val="00C65DC8"/>
    <w:rsid w:val="00C70480"/>
    <w:rsid w:val="00C76687"/>
    <w:rsid w:val="00C806A7"/>
    <w:rsid w:val="00C83766"/>
    <w:rsid w:val="00C83E88"/>
    <w:rsid w:val="00C92319"/>
    <w:rsid w:val="00C92CAC"/>
    <w:rsid w:val="00CA45A1"/>
    <w:rsid w:val="00CA7BC1"/>
    <w:rsid w:val="00CB011C"/>
    <w:rsid w:val="00CB1152"/>
    <w:rsid w:val="00CB41C3"/>
    <w:rsid w:val="00CB479F"/>
    <w:rsid w:val="00CB7F8E"/>
    <w:rsid w:val="00CC24C4"/>
    <w:rsid w:val="00CC26CE"/>
    <w:rsid w:val="00CC3913"/>
    <w:rsid w:val="00CC56DB"/>
    <w:rsid w:val="00CF1282"/>
    <w:rsid w:val="00CF1895"/>
    <w:rsid w:val="00CF3254"/>
    <w:rsid w:val="00D00627"/>
    <w:rsid w:val="00D03D43"/>
    <w:rsid w:val="00D10B6D"/>
    <w:rsid w:val="00D133CC"/>
    <w:rsid w:val="00D26D04"/>
    <w:rsid w:val="00D270EC"/>
    <w:rsid w:val="00D352BF"/>
    <w:rsid w:val="00D366E8"/>
    <w:rsid w:val="00D40190"/>
    <w:rsid w:val="00D451E1"/>
    <w:rsid w:val="00D50102"/>
    <w:rsid w:val="00D60976"/>
    <w:rsid w:val="00D61F66"/>
    <w:rsid w:val="00D71300"/>
    <w:rsid w:val="00D737C1"/>
    <w:rsid w:val="00D76783"/>
    <w:rsid w:val="00D813CC"/>
    <w:rsid w:val="00D87FA3"/>
    <w:rsid w:val="00D97713"/>
    <w:rsid w:val="00D9786C"/>
    <w:rsid w:val="00DA24AE"/>
    <w:rsid w:val="00DA66C3"/>
    <w:rsid w:val="00DA6977"/>
    <w:rsid w:val="00DB21B0"/>
    <w:rsid w:val="00DC4FF2"/>
    <w:rsid w:val="00DC5680"/>
    <w:rsid w:val="00DE23DA"/>
    <w:rsid w:val="00DE46E4"/>
    <w:rsid w:val="00DF5331"/>
    <w:rsid w:val="00E023EB"/>
    <w:rsid w:val="00E0277C"/>
    <w:rsid w:val="00E04788"/>
    <w:rsid w:val="00E057E5"/>
    <w:rsid w:val="00E14204"/>
    <w:rsid w:val="00E164EE"/>
    <w:rsid w:val="00E17F98"/>
    <w:rsid w:val="00E2098A"/>
    <w:rsid w:val="00E2523C"/>
    <w:rsid w:val="00E36A81"/>
    <w:rsid w:val="00E42DC3"/>
    <w:rsid w:val="00E45D8F"/>
    <w:rsid w:val="00E466A6"/>
    <w:rsid w:val="00E47025"/>
    <w:rsid w:val="00E4724B"/>
    <w:rsid w:val="00E4753B"/>
    <w:rsid w:val="00E508CF"/>
    <w:rsid w:val="00E51037"/>
    <w:rsid w:val="00E5177A"/>
    <w:rsid w:val="00E57F25"/>
    <w:rsid w:val="00E62C52"/>
    <w:rsid w:val="00E72B68"/>
    <w:rsid w:val="00E7354B"/>
    <w:rsid w:val="00E7630A"/>
    <w:rsid w:val="00E82A24"/>
    <w:rsid w:val="00E833E6"/>
    <w:rsid w:val="00E856B3"/>
    <w:rsid w:val="00E902E8"/>
    <w:rsid w:val="00E92B15"/>
    <w:rsid w:val="00E92FC8"/>
    <w:rsid w:val="00EB0BC5"/>
    <w:rsid w:val="00EB4A5E"/>
    <w:rsid w:val="00EC310A"/>
    <w:rsid w:val="00EC36F1"/>
    <w:rsid w:val="00EC3770"/>
    <w:rsid w:val="00ED497E"/>
    <w:rsid w:val="00ED655A"/>
    <w:rsid w:val="00EE4B3C"/>
    <w:rsid w:val="00EE52FA"/>
    <w:rsid w:val="00EF7C03"/>
    <w:rsid w:val="00F0041B"/>
    <w:rsid w:val="00F018DE"/>
    <w:rsid w:val="00F05F78"/>
    <w:rsid w:val="00F103BD"/>
    <w:rsid w:val="00F14A5C"/>
    <w:rsid w:val="00F15611"/>
    <w:rsid w:val="00F211DB"/>
    <w:rsid w:val="00F22E62"/>
    <w:rsid w:val="00F23AC7"/>
    <w:rsid w:val="00F276E8"/>
    <w:rsid w:val="00F312F7"/>
    <w:rsid w:val="00F352AA"/>
    <w:rsid w:val="00F54438"/>
    <w:rsid w:val="00F666C8"/>
    <w:rsid w:val="00F728A9"/>
    <w:rsid w:val="00F75731"/>
    <w:rsid w:val="00F8068A"/>
    <w:rsid w:val="00F80CBF"/>
    <w:rsid w:val="00F81A5C"/>
    <w:rsid w:val="00F825C0"/>
    <w:rsid w:val="00F842F6"/>
    <w:rsid w:val="00F84E94"/>
    <w:rsid w:val="00F9072E"/>
    <w:rsid w:val="00FA2D10"/>
    <w:rsid w:val="00FA3F62"/>
    <w:rsid w:val="00FB127D"/>
    <w:rsid w:val="00FB4086"/>
    <w:rsid w:val="00FB418D"/>
    <w:rsid w:val="00FB6C5B"/>
    <w:rsid w:val="00FB7552"/>
    <w:rsid w:val="00FC1644"/>
    <w:rsid w:val="00FC4122"/>
    <w:rsid w:val="00FD4DF1"/>
    <w:rsid w:val="00FD6D29"/>
    <w:rsid w:val="00FE65AA"/>
    <w:rsid w:val="00FF1D42"/>
    <w:rsid w:val="00FF2646"/>
    <w:rsid w:val="00FF2B9F"/>
    <w:rsid w:val="00FF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0571CEC-FE17-DE44-9DFF-63DFB3C2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C7B"/>
    <w:pPr>
      <w:ind w:firstLineChars="200" w:firstLine="420"/>
    </w:pPr>
  </w:style>
  <w:style w:type="table" w:styleId="a4">
    <w:name w:val="Table Grid"/>
    <w:basedOn w:val="a1"/>
    <w:uiPriority w:val="39"/>
    <w:rsid w:val="002D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9466F"/>
    <w:rPr>
      <w:color w:val="808080"/>
    </w:rPr>
  </w:style>
  <w:style w:type="character" w:styleId="a6">
    <w:name w:val="Hyperlink"/>
    <w:basedOn w:val="a0"/>
    <w:uiPriority w:val="99"/>
    <w:unhideWhenUsed/>
    <w:rsid w:val="00D50102"/>
    <w:rPr>
      <w:color w:val="0563C1" w:themeColor="hyperlink"/>
      <w:u w:val="single"/>
    </w:rPr>
  </w:style>
  <w:style w:type="character" w:styleId="a7">
    <w:name w:val="Unresolved Mention"/>
    <w:basedOn w:val="a0"/>
    <w:uiPriority w:val="99"/>
    <w:semiHidden/>
    <w:unhideWhenUsed/>
    <w:rsid w:val="00D5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95191">
      <w:bodyDiv w:val="1"/>
      <w:marLeft w:val="0"/>
      <w:marRight w:val="0"/>
      <w:marTop w:val="0"/>
      <w:marBottom w:val="0"/>
      <w:divBdr>
        <w:top w:val="none" w:sz="0" w:space="0" w:color="auto"/>
        <w:left w:val="none" w:sz="0" w:space="0" w:color="auto"/>
        <w:bottom w:val="none" w:sz="0" w:space="0" w:color="auto"/>
        <w:right w:val="none" w:sz="0" w:space="0" w:color="auto"/>
      </w:divBdr>
      <w:divsChild>
        <w:div w:id="1882941491">
          <w:marLeft w:val="0"/>
          <w:marRight w:val="0"/>
          <w:marTop w:val="0"/>
          <w:marBottom w:val="0"/>
          <w:divBdr>
            <w:top w:val="none" w:sz="0" w:space="0" w:color="auto"/>
            <w:left w:val="none" w:sz="0" w:space="0" w:color="auto"/>
            <w:bottom w:val="none" w:sz="0" w:space="0" w:color="auto"/>
            <w:right w:val="none" w:sz="0" w:space="0" w:color="auto"/>
          </w:divBdr>
          <w:divsChild>
            <w:div w:id="794911177">
              <w:marLeft w:val="0"/>
              <w:marRight w:val="0"/>
              <w:marTop w:val="0"/>
              <w:marBottom w:val="0"/>
              <w:divBdr>
                <w:top w:val="none" w:sz="0" w:space="0" w:color="auto"/>
                <w:left w:val="none" w:sz="0" w:space="0" w:color="auto"/>
                <w:bottom w:val="none" w:sz="0" w:space="0" w:color="auto"/>
                <w:right w:val="none" w:sz="0" w:space="0" w:color="auto"/>
              </w:divBdr>
              <w:divsChild>
                <w:div w:id="742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0146">
      <w:bodyDiv w:val="1"/>
      <w:marLeft w:val="0"/>
      <w:marRight w:val="0"/>
      <w:marTop w:val="0"/>
      <w:marBottom w:val="0"/>
      <w:divBdr>
        <w:top w:val="none" w:sz="0" w:space="0" w:color="auto"/>
        <w:left w:val="none" w:sz="0" w:space="0" w:color="auto"/>
        <w:bottom w:val="none" w:sz="0" w:space="0" w:color="auto"/>
        <w:right w:val="none" w:sz="0" w:space="0" w:color="auto"/>
      </w:divBdr>
      <w:divsChild>
        <w:div w:id="1030305954">
          <w:marLeft w:val="0"/>
          <w:marRight w:val="0"/>
          <w:marTop w:val="0"/>
          <w:marBottom w:val="0"/>
          <w:divBdr>
            <w:top w:val="none" w:sz="0" w:space="0" w:color="auto"/>
            <w:left w:val="none" w:sz="0" w:space="0" w:color="auto"/>
            <w:bottom w:val="none" w:sz="0" w:space="0" w:color="auto"/>
            <w:right w:val="none" w:sz="0" w:space="0" w:color="auto"/>
          </w:divBdr>
          <w:divsChild>
            <w:div w:id="1278676017">
              <w:marLeft w:val="0"/>
              <w:marRight w:val="0"/>
              <w:marTop w:val="0"/>
              <w:marBottom w:val="0"/>
              <w:divBdr>
                <w:top w:val="none" w:sz="0" w:space="0" w:color="auto"/>
                <w:left w:val="none" w:sz="0" w:space="0" w:color="auto"/>
                <w:bottom w:val="none" w:sz="0" w:space="0" w:color="auto"/>
                <w:right w:val="none" w:sz="0" w:space="0" w:color="auto"/>
              </w:divBdr>
              <w:divsChild>
                <w:div w:id="15762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ns.cnki.net/kcms/detail/11.2172.t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8</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2114</cp:revision>
  <dcterms:created xsi:type="dcterms:W3CDTF">2021-07-03T15:13:00Z</dcterms:created>
  <dcterms:modified xsi:type="dcterms:W3CDTF">2021-07-18T15:41:00Z</dcterms:modified>
</cp:coreProperties>
</file>