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2BE" w:rsidRDefault="00BD075D">
      <w:r>
        <w:rPr>
          <w:rFonts w:hint="eastAsia"/>
        </w:rPr>
        <w:t>随机森林</w:t>
      </w:r>
    </w:p>
    <w:p w:rsidR="00BD075D" w:rsidRDefault="00BD075D" w:rsidP="00BD075D">
      <w:pPr>
        <w:rPr>
          <w:rFonts w:cs="Times New Roman (正文 CS 字体)"/>
        </w:rPr>
      </w:pPr>
      <w:r>
        <w:rPr>
          <w:rFonts w:cs="Times New Roman (正文 CS 字体)" w:hint="eastAsia"/>
        </w:rPr>
        <w:t>随机森林是决策树模型的集成算法，它的强实用性以及高预测精度已在大量实证分析中得到论证。它将n棵决策树的预测结果结合起来以做出比单棵决策树更为精确的预测，（这里要说一下什么是随机森林，可以参考一下其他的论文是如何进行论述的），随机森林在构造单棵决策树时除了在选择样本是使用随机抽样，在构建单棵决策树的输入特征时也采用随机抽样的方式从原有特征空间中选择子特征空间，此做法有效提高了模型的稳定性。随机森林回归模型的预测结果是由众多弱评估器的预测结果进行平均而得，即众多决策树预测结果的平均值作为整体模型的回归值。（这里可能还是要扩展一下，可以借助原始的paper来找公式）</w:t>
      </w:r>
    </w:p>
    <w:p w:rsidR="00BD075D" w:rsidRDefault="00BD075D"/>
    <w:p w:rsidR="00BD075D" w:rsidRDefault="00BD075D">
      <w:r>
        <w:rPr>
          <w:rFonts w:hint="eastAsia"/>
        </w:rPr>
        <w:t>随机森林是决策树模型的集成算法，它的实用性已经预测准确性已在大量实证分析中得到论证。</w:t>
      </w:r>
      <w:r w:rsidR="001A5B89">
        <w:rPr>
          <w:rFonts w:hint="eastAsia"/>
        </w:rPr>
        <w:t>接下来是来阐述一下什么是决策树。</w:t>
      </w:r>
    </w:p>
    <w:p w:rsidR="00531906" w:rsidRDefault="00531906"/>
    <w:p w:rsidR="00BB4875" w:rsidRPr="00444A72" w:rsidRDefault="00BB4875"/>
    <w:p w:rsidR="00A1566A" w:rsidRDefault="00A1566A"/>
    <w:p w:rsidR="00A1566A" w:rsidRDefault="00A1566A">
      <w:r>
        <w:rPr>
          <w:rFonts w:hint="eastAsia"/>
        </w:rPr>
        <w:t>随机森林回归模型的构建</w:t>
      </w:r>
    </w:p>
    <w:p w:rsidR="0045419F" w:rsidRDefault="00A1566A">
      <w:r>
        <w:tab/>
      </w:r>
      <w:r>
        <w:rPr>
          <w:rFonts w:hint="eastAsia"/>
        </w:rPr>
        <w:t>随机森林回归模型的构建方法是：首先，从N个交易日时间序列样本集中，按</w:t>
      </w:r>
      <w:r>
        <w:t>7:3</w:t>
      </w:r>
      <w:r>
        <w:rPr>
          <w:rFonts w:hint="eastAsia"/>
        </w:rPr>
        <w:t>比例有序导出7</w:t>
      </w:r>
      <w:r>
        <w:t>0%</w:t>
      </w:r>
      <w:r>
        <w:rPr>
          <w:rFonts w:hint="eastAsia"/>
        </w:rPr>
        <w:t>的样本量作为模型的训练集D，3</w:t>
      </w:r>
      <w:r>
        <w:t>0%</w:t>
      </w:r>
      <w:r>
        <w:rPr>
          <w:rFonts w:hint="eastAsia"/>
        </w:rPr>
        <w:t>样本量作为模型的测试集；其次，</w:t>
      </w:r>
      <w:r w:rsidR="00530A43">
        <w:rPr>
          <w:rFonts w:hint="eastAsia"/>
        </w:rPr>
        <w:t>使用bootstrap重抽样方法从训练集D中抽取同样数量的子样本集，重复此步骤n次生成子样本集Di（</w:t>
      </w:r>
      <w:proofErr w:type="spellStart"/>
      <w:r w:rsidR="00530A43">
        <w:rPr>
          <w:rFonts w:hint="eastAsia"/>
        </w:rPr>
        <w:t>i</w:t>
      </w:r>
      <w:proofErr w:type="spellEnd"/>
      <w:r w:rsidR="00530A43">
        <w:t>=1</w:t>
      </w:r>
      <w:r w:rsidR="00530A43">
        <w:rPr>
          <w:rFonts w:hint="eastAsia"/>
        </w:rPr>
        <w:t>，2，</w:t>
      </w:r>
      <w:r w:rsidR="00530A43">
        <w:t>3</w:t>
      </w:r>
      <w:r w:rsidR="00530A43">
        <w:rPr>
          <w:rFonts w:hint="eastAsia"/>
        </w:rPr>
        <w:t>，。。。n）</w:t>
      </w:r>
      <w:r w:rsidR="009C2988">
        <w:rPr>
          <w:rFonts w:hint="eastAsia"/>
        </w:rPr>
        <w:t>；接着，以随机抽样的方式对上述生成的各个子样本集进行特征抽样，</w:t>
      </w:r>
      <w:r w:rsidR="00672908">
        <w:rPr>
          <w:rFonts w:hint="eastAsia"/>
        </w:rPr>
        <w:t>抽样的特征数量以随机方式获取并保持在7</w:t>
      </w:r>
      <w:r w:rsidR="00672908">
        <w:t>0%</w:t>
      </w:r>
      <w:r w:rsidR="00672908">
        <w:rPr>
          <w:rFonts w:hint="eastAsia"/>
        </w:rPr>
        <w:t>以上，</w:t>
      </w:r>
      <w:r w:rsidR="009C2988">
        <w:rPr>
          <w:rFonts w:hint="eastAsia"/>
        </w:rPr>
        <w:t>各个样本集根据特征抽样的结果进行训练子集数据的重新生成；</w:t>
      </w:r>
      <w:r w:rsidR="00465E66">
        <w:rPr>
          <w:rFonts w:hint="eastAsia"/>
        </w:rPr>
        <w:t>再次，根据抽样的各子样本集构建决策树，</w:t>
      </w:r>
      <w:r w:rsidR="00D61D18">
        <w:rPr>
          <w:rFonts w:hint="eastAsia"/>
        </w:rPr>
        <w:t>并对n棵决策树的结果取</w:t>
      </w:r>
      <w:r w:rsidR="007A53C2">
        <w:rPr>
          <w:rFonts w:hint="eastAsia"/>
        </w:rPr>
        <w:t>算术</w:t>
      </w:r>
      <w:r w:rsidR="00D61D18">
        <w:rPr>
          <w:rFonts w:hint="eastAsia"/>
        </w:rPr>
        <w:t>平均值作为模型的</w:t>
      </w:r>
      <w:r w:rsidR="004B2ECE">
        <w:rPr>
          <w:rFonts w:hint="eastAsia"/>
        </w:rPr>
        <w:t>模型的</w:t>
      </w:r>
      <w:r w:rsidR="00D61D18">
        <w:rPr>
          <w:rFonts w:hint="eastAsia"/>
        </w:rPr>
        <w:t>预测结果；</w:t>
      </w:r>
      <w:r w:rsidR="004B2ECE">
        <w:rPr>
          <w:rFonts w:hint="eastAsia"/>
        </w:rPr>
        <w:t>最后，对上述模型进行调优，选出预测效果较</w:t>
      </w:r>
      <w:r w:rsidR="00C665C9">
        <w:rPr>
          <w:rFonts w:hint="eastAsia"/>
        </w:rPr>
        <w:t>高精度</w:t>
      </w:r>
      <w:r w:rsidR="004B2ECE">
        <w:rPr>
          <w:rFonts w:hint="eastAsia"/>
        </w:rPr>
        <w:t>的回归模型。</w:t>
      </w:r>
    </w:p>
    <w:p w:rsidR="003D0360" w:rsidRDefault="003D0360">
      <w:r>
        <w:tab/>
      </w:r>
      <w:r>
        <w:rPr>
          <w:rFonts w:hint="eastAsia"/>
        </w:rPr>
        <w:t>对被预测变量和筛选出的预测变量进行</w:t>
      </w:r>
      <w:r w:rsidR="004B7C3C">
        <w:rPr>
          <w:rFonts w:hint="eastAsia"/>
        </w:rPr>
        <w:t>标准化</w:t>
      </w:r>
      <w:r>
        <w:rPr>
          <w:rFonts w:hint="eastAsia"/>
        </w:rPr>
        <w:t>处理，使用上述相同的方式构建随机森林回归模型，形成对照模型</w:t>
      </w:r>
      <w:r w:rsidR="0074615A">
        <w:rPr>
          <w:rFonts w:hint="eastAsia"/>
        </w:rPr>
        <w:t>，对比模型回归结果选取被预测变量的预测模型。归一化处理的方式为：</w:t>
      </w:r>
    </w:p>
    <w:p w:rsidR="0074615A" w:rsidRPr="00D72408" w:rsidRDefault="00A156CA">
      <m:oMathPara>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r>
            <w:rPr>
              <w:rFonts w:ascii="Cambria Math" w:hAnsi="Cambria Math"/>
            </w:rPr>
            <m:t>, i=1,2,3,…14, j=1,2,3…</m:t>
          </m:r>
        </m:oMath>
      </m:oMathPara>
    </w:p>
    <w:p w:rsidR="00D72408" w:rsidRPr="00D72408" w:rsidRDefault="00A156CA" w:rsidP="00D72408">
      <m:oMathPara>
        <m:oMath>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-E(Y)</m:t>
              </m:r>
            </m:num>
            <m:den>
              <m:r>
                <w:rPr>
                  <w:rFonts w:ascii="Cambria Math" w:hAnsi="Cambria Math"/>
                </w:rPr>
                <m:t>σ(Y)</m:t>
              </m:r>
            </m:den>
          </m:f>
          <m:r>
            <w:rPr>
              <w:rFonts w:ascii="Cambria Math" w:hAnsi="Cambria Math"/>
            </w:rPr>
            <m:t>, j=1,2,3…</m:t>
          </m:r>
        </m:oMath>
      </m:oMathPara>
    </w:p>
    <w:p w:rsidR="007466E5" w:rsidRDefault="00304912">
      <w:r>
        <w:rPr>
          <w:rFonts w:hint="eastAsia"/>
        </w:rPr>
        <w:t>其中</w:t>
      </w:r>
      <w:r w:rsidR="00A0621F">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E14A66">
        <w:rPr>
          <w:rFonts w:hint="eastAsia"/>
        </w:rPr>
        <w:t>为第</w:t>
      </w:r>
      <w:proofErr w:type="spellStart"/>
      <w:r w:rsidR="00E14A66">
        <w:rPr>
          <w:rFonts w:hint="eastAsia"/>
        </w:rPr>
        <w:t>i</w:t>
      </w:r>
      <w:proofErr w:type="spellEnd"/>
      <w:r w:rsidR="00E14A66">
        <w:rPr>
          <w:rFonts w:hint="eastAsia"/>
        </w:rPr>
        <w:t>个特征变量的第j个样本值，</w:t>
      </w:r>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E14A66">
        <w:rPr>
          <w:rFonts w:hint="eastAsia"/>
        </w:rPr>
        <w:t>为第</w:t>
      </w:r>
      <w:proofErr w:type="spellStart"/>
      <w:r w:rsidR="00E14A66">
        <w:rPr>
          <w:rFonts w:hint="eastAsia"/>
        </w:rPr>
        <w:t>i</w:t>
      </w:r>
      <w:proofErr w:type="spellEnd"/>
      <w:r w:rsidR="00E14A66">
        <w:rPr>
          <w:rFonts w:hint="eastAsia"/>
        </w:rPr>
        <w:t>个特征变量的样本</w:t>
      </w:r>
      <w:r w:rsidR="00A0621F">
        <w:rPr>
          <w:rFonts w:hint="eastAsia"/>
        </w:rPr>
        <w:t>均值</w:t>
      </w:r>
      <w:r w:rsidR="00E14A66">
        <w:rPr>
          <w:rFonts w:hint="eastAsia"/>
        </w:rPr>
        <w:t>，</w:t>
      </w:r>
      <m:oMath>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E14A66">
        <w:rPr>
          <w:rFonts w:hint="eastAsia"/>
        </w:rPr>
        <w:t>为第</w:t>
      </w:r>
      <w:proofErr w:type="spellStart"/>
      <w:r w:rsidR="00E14A66">
        <w:rPr>
          <w:rFonts w:hint="eastAsia"/>
        </w:rPr>
        <w:t>i</w:t>
      </w:r>
      <w:proofErr w:type="spellEnd"/>
      <w:r w:rsidR="00E14A66">
        <w:rPr>
          <w:rFonts w:hint="eastAsia"/>
        </w:rPr>
        <w:t>个特征变量的样本</w:t>
      </w:r>
      <w:r w:rsidR="00A0621F">
        <w:rPr>
          <w:rFonts w:hint="eastAsia"/>
        </w:rPr>
        <w:t>标准差</w:t>
      </w:r>
      <w:r w:rsidR="007466E5">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oMath>
      <w:r w:rsidR="007466E5">
        <w:rPr>
          <w:rFonts w:hint="eastAsia"/>
        </w:rPr>
        <w:t>为第</w:t>
      </w:r>
      <w:proofErr w:type="spellStart"/>
      <w:r w:rsidR="007466E5">
        <w:rPr>
          <w:rFonts w:hint="eastAsia"/>
        </w:rPr>
        <w:t>i</w:t>
      </w:r>
      <w:proofErr w:type="spellEnd"/>
      <w:r w:rsidR="007466E5">
        <w:rPr>
          <w:rFonts w:hint="eastAsia"/>
        </w:rPr>
        <w:t>个特征变量的第j个经过标准化后的样本值</w:t>
      </w:r>
      <w:r w:rsidR="00A0621F">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A0621F">
        <w:rPr>
          <w:rFonts w:hint="eastAsia"/>
        </w:rPr>
        <w:t>为被预测变量的第j个样本值，</w:t>
      </w:r>
      <m:oMath>
        <m:r>
          <w:rPr>
            <w:rFonts w:ascii="Cambria Math" w:hAnsi="Cambria Math"/>
          </w:rPr>
          <m:t>E(Y)</m:t>
        </m:r>
      </m:oMath>
      <w:r w:rsidR="00A0621F">
        <w:rPr>
          <w:rFonts w:hint="eastAsia"/>
        </w:rPr>
        <w:t>为被预测变量的样本均值，</w:t>
      </w:r>
      <m:oMath>
        <m:r>
          <w:rPr>
            <w:rFonts w:ascii="Cambria Math" w:hAnsi="Cambria Math"/>
          </w:rPr>
          <m:t>σ(Y)</m:t>
        </m:r>
      </m:oMath>
      <w:r w:rsidR="00A0621F">
        <w:rPr>
          <w:rFonts w:hint="eastAsia"/>
        </w:rPr>
        <w:t>为被预测变量的样本标准差，</w:t>
      </w:r>
      <m:oMath>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t>
            </m:r>
          </m:sup>
        </m:sSubSup>
      </m:oMath>
      <w:r w:rsidR="00A0621F">
        <w:rPr>
          <w:rFonts w:hint="eastAsia"/>
        </w:rPr>
        <w:t>为被预测变量的第j个经过标准化后的样本值。</w:t>
      </w:r>
    </w:p>
    <w:p w:rsidR="00C665C9" w:rsidRDefault="00C665C9">
      <w:r>
        <w:rPr>
          <w:rFonts w:hint="eastAsia"/>
        </w:rPr>
        <w:t>模型评估指标</w:t>
      </w:r>
    </w:p>
    <w:p w:rsidR="00C665C9" w:rsidRDefault="00C665C9">
      <w:r>
        <w:rPr>
          <w:rFonts w:hint="eastAsia"/>
        </w:rPr>
        <w:t>本文采用的模型评估指标为</w:t>
      </w:r>
      <w:r w:rsidRPr="00C665C9">
        <w:t>平均绝对百分比误差</w:t>
      </w:r>
      <w:r>
        <w:rPr>
          <w:rFonts w:hint="eastAsia"/>
        </w:rPr>
        <w:t>（MAPE）和R</w:t>
      </w:r>
      <w:r>
        <w:t>2</w:t>
      </w:r>
      <w:r>
        <w:rPr>
          <w:rFonts w:hint="eastAsia"/>
        </w:rPr>
        <w:t>。设</w:t>
      </w:r>
      <w:r w:rsidR="00270F06">
        <w:rPr>
          <w:rFonts w:hint="eastAsia"/>
        </w:rPr>
        <w:t>n</w:t>
      </w:r>
      <w:r>
        <w:rPr>
          <w:rFonts w:hint="eastAsia"/>
        </w:rPr>
        <w:t>为样本数，</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和</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hint="eastAsia"/>
        </w:rPr>
        <w:t>分别表示为被预测变量的样本值和预测值，其计算方式为：</w:t>
      </w:r>
    </w:p>
    <w:p w:rsidR="00C665C9" w:rsidRPr="00277627" w:rsidRDefault="004E27C0">
      <m:oMathPara>
        <m:oMath>
          <m:r>
            <w:rPr>
              <w:rFonts w:ascii="Cambria Math" w:hAnsi="Cambria Math"/>
            </w:rPr>
            <m:t xml:space="preserve">MAPE= </m:t>
          </m:r>
          <m:f>
            <m:fPr>
              <m:ctrlPr>
                <w:rPr>
                  <w:rFonts w:ascii="Cambria Math" w:hAnsi="Cambria Math"/>
                  <w:i/>
                </w:rPr>
              </m:ctrlPr>
            </m:fPr>
            <m:num>
              <m:r>
                <w:rPr>
                  <w:rFonts w:ascii="Cambria Math" w:hAnsi="Cambria Math"/>
                </w:rPr>
                <m:t>100%</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e>
          </m:nary>
        </m:oMath>
      </m:oMathPara>
    </w:p>
    <w:p w:rsidR="00277627" w:rsidRPr="009C5863" w:rsidRDefault="00A156CA">
      <m:oMathPara>
        <m:oMath>
          <m:sSup>
            <m:sSupPr>
              <m:ctrlPr>
                <w:rPr>
                  <w:rFonts w:ascii="Cambria Math" w:hAnsi="Cambria Math"/>
                </w:rPr>
              </m:ctrlPr>
            </m:sSupPr>
            <m:e>
              <m:r>
                <w:rPr>
                  <w:rFonts w:ascii="Cambria Math" w:hAnsi="Cambria Math" w:hint="eastAsia"/>
                </w:rPr>
                <m:t>R</m:t>
              </m:r>
            </m:e>
            <m:sup>
              <m:r>
                <w:rPr>
                  <w:rFonts w:ascii="Cambria Math" w:hAnsi="Cambria Math"/>
                </w:rPr>
                <m:t>2</m:t>
              </m:r>
            </m:sup>
          </m:sSup>
          <m:r>
            <w:rPr>
              <w:rFonts w:ascii="Cambria Math" w:hAnsi="Cambria Math"/>
            </w:rPr>
            <m:t xml:space="preserve">=1- </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 xml:space="preserve">, SSR=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sup>
                  <m:r>
                    <w:rPr>
                      <w:rFonts w:ascii="Cambria Math" w:hAnsi="Cambria Math"/>
                    </w:rPr>
                    <m:t>2</m:t>
                  </m:r>
                </m:sup>
              </m:sSup>
            </m:e>
          </m:nary>
          <m:r>
            <w:rPr>
              <w:rFonts w:ascii="Cambria Math" w:hAnsi="Cambria Math"/>
            </w:rPr>
            <m:t>, SST=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m:oMathPara>
    </w:p>
    <w:p w:rsidR="009C5863" w:rsidRDefault="009C5863">
      <w:r>
        <w:rPr>
          <w:rFonts w:hint="eastAsia"/>
        </w:rPr>
        <w:lastRenderedPageBreak/>
        <w:t>其中，</w:t>
      </w:r>
      <m:oMath>
        <m:acc>
          <m:accPr>
            <m:chr m:val="̅"/>
            <m:ctrlPr>
              <w:rPr>
                <w:rFonts w:ascii="Cambria Math" w:hAnsi="Cambria Math"/>
                <w:i/>
              </w:rPr>
            </m:ctrlPr>
          </m:accPr>
          <m:e>
            <m:r>
              <w:rPr>
                <w:rFonts w:ascii="Cambria Math" w:hAnsi="Cambria Math"/>
              </w:rPr>
              <m:t>y</m:t>
            </m:r>
          </m:e>
        </m:acc>
      </m:oMath>
      <w:r>
        <w:rPr>
          <w:rFonts w:hint="eastAsia"/>
        </w:rPr>
        <w:t>为被预测变量的样本均值</w:t>
      </w:r>
      <w:r w:rsidR="009646B8">
        <w:rPr>
          <w:rFonts w:hint="eastAsia"/>
        </w:rPr>
        <w:t>。</w:t>
      </w:r>
    </w:p>
    <w:p w:rsidR="00F90B19" w:rsidRDefault="00F90B19">
      <w:r>
        <w:rPr>
          <w:rFonts w:hint="eastAsia"/>
        </w:rPr>
        <w:t>回归模型回测检验方法</w:t>
      </w:r>
    </w:p>
    <w:p w:rsidR="00444A72" w:rsidRDefault="00444A72">
      <w:r>
        <w:tab/>
      </w:r>
      <w:r>
        <w:rPr>
          <w:rFonts w:hint="eastAsia"/>
        </w:rPr>
        <w:t>依据上述对照模型预测结果，选</w:t>
      </w:r>
      <w:r w:rsidR="0082069E">
        <w:rPr>
          <w:rFonts w:hint="eastAsia"/>
        </w:rPr>
        <w:t>定</w:t>
      </w:r>
      <w:r>
        <w:rPr>
          <w:rFonts w:hint="eastAsia"/>
        </w:rPr>
        <w:t>甲醇期货价格预测模型。根据甲醇期货价格回归模型预测结果构建回测交易规则，根据回测交易结果检验</w:t>
      </w:r>
      <w:r w:rsidR="0082069E">
        <w:rPr>
          <w:rFonts w:hint="eastAsia"/>
        </w:rPr>
        <w:t>预测模型的有效性</w:t>
      </w:r>
      <w:r>
        <w:rPr>
          <w:rFonts w:hint="eastAsia"/>
        </w:rPr>
        <w:t>。本文选用的回归交易策略为</w:t>
      </w:r>
      <w:r w:rsidR="0092395D">
        <w:rPr>
          <w:rFonts w:hint="eastAsia"/>
        </w:rPr>
        <w:t>经过修改的</w:t>
      </w:r>
      <w:r>
        <w:rPr>
          <w:rFonts w:hint="eastAsia"/>
        </w:rPr>
        <w:t>Aberration策略</w:t>
      </w:r>
      <w:r w:rsidR="002C3CB1">
        <w:rPr>
          <w:rFonts w:hint="eastAsia"/>
        </w:rPr>
        <w:t>，</w:t>
      </w:r>
      <w:r w:rsidR="00B85292">
        <w:rPr>
          <w:rFonts w:hint="eastAsia"/>
        </w:rPr>
        <w:t>并使用夏普比率来确定确定交易策略的相关</w:t>
      </w:r>
      <w:r w:rsidR="0042130B">
        <w:rPr>
          <w:rFonts w:hint="eastAsia"/>
        </w:rPr>
        <w:t>参数</w:t>
      </w:r>
      <w:r w:rsidR="00B85292">
        <w:rPr>
          <w:rFonts w:hint="eastAsia"/>
        </w:rPr>
        <w:t>。</w:t>
      </w:r>
    </w:p>
    <w:p w:rsidR="002C3CB1" w:rsidRDefault="00672710">
      <w:r>
        <w:tab/>
      </w:r>
      <w:r>
        <w:rPr>
          <w:rFonts w:hint="eastAsia"/>
        </w:rPr>
        <w:t>Aberration交易策略分为两个部分，</w:t>
      </w:r>
      <w:r w:rsidR="00C70692">
        <w:rPr>
          <w:rFonts w:hint="eastAsia"/>
        </w:rPr>
        <w:t>该策略的</w:t>
      </w:r>
      <w:r>
        <w:rPr>
          <w:rFonts w:hint="eastAsia"/>
        </w:rPr>
        <w:t>第</w:t>
      </w:r>
      <w:r w:rsidR="00EC6AC7">
        <w:rPr>
          <w:rFonts w:hint="eastAsia"/>
        </w:rPr>
        <w:t>一</w:t>
      </w:r>
      <w:r>
        <w:rPr>
          <w:rFonts w:hint="eastAsia"/>
        </w:rPr>
        <w:t>部分是</w:t>
      </w:r>
      <w:r w:rsidR="00503838">
        <w:rPr>
          <w:rFonts w:hint="eastAsia"/>
        </w:rPr>
        <w:t>相关</w:t>
      </w:r>
      <w:r w:rsidR="005C261E">
        <w:rPr>
          <w:rFonts w:hint="eastAsia"/>
        </w:rPr>
        <w:t>参数的计算</w:t>
      </w:r>
      <w:r w:rsidR="00373AAA">
        <w:rPr>
          <w:rFonts w:hint="eastAsia"/>
        </w:rPr>
        <w:t>：</w:t>
      </w:r>
    </w:p>
    <w:p w:rsidR="00154B9A" w:rsidRPr="008B08CC" w:rsidRDefault="00A26784">
      <w:pPr>
        <w:rPr>
          <w:rFonts w:hint="eastAsia"/>
          <w:i/>
        </w:rPr>
      </w:pPr>
      <m:oMathPara>
        <m:oMath>
          <m:sSub>
            <m:sSubPr>
              <m:ctrlPr>
                <w:rPr>
                  <w:rFonts w:ascii="Cambria Math" w:hAnsi="Cambria Math"/>
                  <w:i/>
                </w:rPr>
              </m:ctrlPr>
            </m:sSubPr>
            <m:e>
              <m:r>
                <w:rPr>
                  <w:rFonts w:ascii="Cambria Math" w:hAnsi="Cambria Math"/>
                </w:rPr>
                <m:t>UpperBand</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hint="eastAsia"/>
                </w:rPr>
                <m:t>MAV</m:t>
              </m:r>
            </m:e>
            <m:sub>
              <m:r>
                <w:rPr>
                  <w:rFonts w:ascii="Cambria Math" w:hAnsi="Cambria Math"/>
                </w:rPr>
                <m:t xml:space="preserve">t </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,t=1,2,3…;</m:t>
          </m:r>
        </m:oMath>
      </m:oMathPara>
    </w:p>
    <w:p w:rsidR="00154B9A" w:rsidRPr="00154B9A" w:rsidRDefault="00A26784">
      <m:oMathPara>
        <m:oMath>
          <m:sSub>
            <m:sSubPr>
              <m:ctrlPr>
                <w:rPr>
                  <w:rFonts w:ascii="Cambria Math" w:hAnsi="Cambria Math"/>
                  <w:i/>
                </w:rPr>
              </m:ctrlPr>
            </m:sSubPr>
            <m:e>
              <m:r>
                <w:rPr>
                  <w:rFonts w:ascii="Cambria Math" w:hAnsi="Cambria Math"/>
                </w:rPr>
                <m:t>LowerBand</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hint="eastAsia"/>
                </w:rPr>
                <m:t>MAV</m:t>
              </m:r>
            </m:e>
            <m:sub>
              <m:r>
                <w:rPr>
                  <w:rFonts w:ascii="Cambria Math" w:hAnsi="Cambria Math"/>
                </w:rPr>
                <m:t xml:space="preserve">t </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,t=1,2,3…;</m:t>
          </m:r>
        </m:oMath>
      </m:oMathPara>
    </w:p>
    <w:p w:rsidR="00154B9A" w:rsidRPr="00154B9A" w:rsidRDefault="00154B9A" w:rsidP="00154B9A">
      <w:pPr>
        <w:rPr>
          <w:i/>
        </w:rPr>
      </w:pPr>
      <m:oMathPara>
        <m:oMath>
          <m:sSub>
            <m:sSubPr>
              <m:ctrlPr>
                <w:rPr>
                  <w:rFonts w:ascii="Cambria Math" w:hAnsi="Cambria Math"/>
                </w:rPr>
              </m:ctrlPr>
            </m:sSubPr>
            <m:e>
              <m:r>
                <m:rPr>
                  <m:sty m:val="p"/>
                </m:rPr>
                <w:rPr>
                  <w:rFonts w:ascii="Cambria Math" w:hAnsi="Cambria Math" w:hint="eastAsia"/>
                </w:rPr>
                <m:t>MAV</m:t>
              </m:r>
            </m:e>
            <m:sub>
              <m:r>
                <w:rPr>
                  <w:rFonts w:ascii="Cambria Math" w:hAnsi="Cambria Math"/>
                </w:rPr>
                <m:t xml:space="preserve">t </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Close</m:t>
                      </m:r>
                    </m:e>
                    <m:sub>
                      <m:r>
                        <w:rPr>
                          <w:rFonts w:ascii="Cambria Math" w:hAnsi="Cambria Math"/>
                        </w:rPr>
                        <m:t>ti</m:t>
                      </m:r>
                    </m:sub>
                  </m:sSub>
                </m:e>
              </m:nary>
            </m:num>
            <m:den>
              <m:r>
                <w:rPr>
                  <w:rFonts w:ascii="Cambria Math" w:hAnsi="Cambria Math"/>
                </w:rPr>
                <m:t>N</m:t>
              </m:r>
            </m:den>
          </m:f>
          <m:r>
            <w:rPr>
              <w:rFonts w:ascii="Cambria Math" w:hAnsi="Cambria Math"/>
            </w:rPr>
            <m:t>, t=1,2,3…;</m:t>
          </m:r>
        </m:oMath>
      </m:oMathPara>
    </w:p>
    <w:p w:rsidR="00154B9A" w:rsidRPr="00154B9A" w:rsidRDefault="00154B9A" w:rsidP="00154B9A">
      <m:oMathPara>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 xml:space="preserve">= </m:t>
          </m:r>
          <m:rad>
            <m:radPr>
              <m:ctrlPr>
                <w:rPr>
                  <w:rFonts w:ascii="Cambria Math" w:hAnsi="Cambria Math"/>
                  <w:i/>
                </w:rPr>
              </m:ctrlPr>
            </m:radPr>
            <m:deg>
              <m:r>
                <w:rPr>
                  <w:rFonts w:ascii="Cambria Math" w:hAnsi="Cambria Math"/>
                </w:rPr>
                <m:t>2</m:t>
              </m: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Close</m:t>
                          </m:r>
                        </m:e>
                        <m:sub>
                          <m:r>
                            <w:rPr>
                              <w:rFonts w:ascii="Cambria Math" w:hAnsi="Cambria Math"/>
                            </w:rPr>
                            <m:t>ti</m:t>
                          </m:r>
                        </m:sub>
                      </m:sSub>
                      <m:r>
                        <w:rPr>
                          <w:rFonts w:ascii="Cambria Math" w:hAnsi="Cambria Math"/>
                        </w:rPr>
                        <m:t>-</m:t>
                      </m:r>
                      <m:acc>
                        <m:accPr>
                          <m:chr m:val="̅"/>
                          <m:ctrlPr>
                            <w:rPr>
                              <w:rFonts w:ascii="Cambria Math" w:hAnsi="Cambria Math"/>
                              <w:i/>
                            </w:rPr>
                          </m:ctrlPr>
                        </m:accPr>
                        <m:e>
                          <m:r>
                            <w:rPr>
                              <w:rFonts w:ascii="Cambria Math" w:hAnsi="Cambria Math"/>
                            </w:rPr>
                            <m:t>Close</m:t>
                          </m:r>
                        </m:e>
                      </m:acc>
                      <m:sSup>
                        <m:sSupPr>
                          <m:ctrlPr>
                            <w:rPr>
                              <w:rFonts w:ascii="Cambria Math" w:hAnsi="Cambria Math"/>
                              <w:i/>
                            </w:rPr>
                          </m:ctrlPr>
                        </m:sSupPr>
                        <m:e>
                          <m:r>
                            <w:rPr>
                              <w:rFonts w:ascii="Cambria Math" w:hAnsi="Cambria Math"/>
                            </w:rPr>
                            <m:t>)</m:t>
                          </m:r>
                        </m:e>
                        <m:sup>
                          <m:r>
                            <w:rPr>
                              <w:rFonts w:ascii="Cambria Math" w:hAnsi="Cambria Math"/>
                            </w:rPr>
                            <m:t>2</m:t>
                          </m:r>
                        </m:sup>
                      </m:sSup>
                    </m:e>
                  </m:nary>
                </m:num>
                <m:den>
                  <m:r>
                    <w:rPr>
                      <w:rFonts w:ascii="Cambria Math" w:hAnsi="Cambria Math"/>
                    </w:rPr>
                    <m:t>N</m:t>
                  </m:r>
                </m:den>
              </m:f>
            </m:e>
          </m:rad>
          <m:r>
            <w:rPr>
              <w:rFonts w:ascii="Cambria Math" w:hAnsi="Cambria Math"/>
            </w:rPr>
            <m:t>,t=1,2,3,…;</m:t>
          </m:r>
        </m:oMath>
      </m:oMathPara>
    </w:p>
    <w:p w:rsidR="00154B9A" w:rsidRDefault="00154B9A">
      <w:r>
        <w:rPr>
          <w:rFonts w:hint="eastAsia"/>
        </w:rPr>
        <w:t>其中</w:t>
      </w:r>
      <m:oMath>
        <m:sSub>
          <m:sSubPr>
            <m:ctrlPr>
              <w:rPr>
                <w:rFonts w:ascii="Cambria Math" w:hAnsi="Cambria Math"/>
                <w:i/>
              </w:rPr>
            </m:ctrlPr>
          </m:sSubPr>
          <m:e>
            <m:r>
              <w:rPr>
                <w:rFonts w:ascii="Cambria Math" w:hAnsi="Cambria Math"/>
              </w:rPr>
              <m:t>UpperBand</m:t>
            </m:r>
          </m:e>
          <m:sub>
            <m:r>
              <w:rPr>
                <w:rFonts w:ascii="Cambria Math" w:hAnsi="Cambria Math"/>
              </w:rPr>
              <m:t>t</m:t>
            </m:r>
          </m:sub>
        </m:sSub>
        <m:r>
          <w:rPr>
            <w:rFonts w:ascii="Cambria Math" w:hAnsi="Cambria Math"/>
          </w:rPr>
          <m:t>(t=1,2,3…</m:t>
        </m:r>
      </m:oMath>
      <w:proofErr w:type="gramStart"/>
      <w:r w:rsidR="008B08CC">
        <w:rPr>
          <w:rFonts w:hint="eastAsia"/>
        </w:rPr>
        <w:t>)</w:t>
      </w:r>
      <w:r>
        <w:rPr>
          <w:rFonts w:hint="eastAsia"/>
        </w:rPr>
        <w:t>为上轨线在</w:t>
      </w:r>
      <w:proofErr w:type="gramEnd"/>
      <w:r>
        <w:rPr>
          <w:rFonts w:hint="eastAsia"/>
        </w:rPr>
        <w:t>t时刻的</w:t>
      </w:r>
      <w:r w:rsidR="003C3997">
        <w:rPr>
          <w:rFonts w:hint="eastAsia"/>
        </w:rPr>
        <w:t>向上突破</w:t>
      </w:r>
      <w:r>
        <w:rPr>
          <w:rFonts w:hint="eastAsia"/>
        </w:rPr>
        <w:t>值，</w:t>
      </w:r>
      <m:oMath>
        <m:sSub>
          <m:sSubPr>
            <m:ctrlPr>
              <w:rPr>
                <w:rFonts w:ascii="Cambria Math" w:hAnsi="Cambria Math"/>
                <w:i/>
              </w:rPr>
            </m:ctrlPr>
          </m:sSubPr>
          <m:e>
            <m:r>
              <w:rPr>
                <w:rFonts w:ascii="Cambria Math" w:hAnsi="Cambria Math"/>
              </w:rPr>
              <m:t>LowerBand</m:t>
            </m:r>
          </m:e>
          <m:sub>
            <m:r>
              <w:rPr>
                <w:rFonts w:ascii="Cambria Math" w:hAnsi="Cambria Math"/>
              </w:rPr>
              <m:t>t</m:t>
            </m:r>
          </m:sub>
        </m:sSub>
        <m:r>
          <w:rPr>
            <w:rFonts w:ascii="Cambria Math" w:hAnsi="Cambria Math"/>
          </w:rPr>
          <m:t>(t=1,2,3…</m:t>
        </m:r>
      </m:oMath>
      <w:r w:rsidR="008B08CC">
        <w:rPr>
          <w:rFonts w:hint="eastAsia"/>
        </w:rPr>
        <w:t>)</w:t>
      </w:r>
      <w:r>
        <w:rPr>
          <w:rFonts w:hint="eastAsia"/>
        </w:rPr>
        <w:t>为下轨线在t时刻的</w:t>
      </w:r>
      <w:r w:rsidR="003C3997">
        <w:rPr>
          <w:rFonts w:hint="eastAsia"/>
        </w:rPr>
        <w:t>向下突破值，</w:t>
      </w:r>
      <m:oMath>
        <m:sSub>
          <m:sSubPr>
            <m:ctrlPr>
              <w:rPr>
                <w:rFonts w:ascii="Cambria Math" w:hAnsi="Cambria Math"/>
              </w:rPr>
            </m:ctrlPr>
          </m:sSubPr>
          <m:e>
            <m:r>
              <m:rPr>
                <m:sty m:val="p"/>
              </m:rPr>
              <w:rPr>
                <w:rFonts w:ascii="Cambria Math" w:hAnsi="Cambria Math" w:hint="eastAsia"/>
              </w:rPr>
              <m:t>MAV</m:t>
            </m:r>
          </m:e>
          <m:sub>
            <m:r>
              <w:rPr>
                <w:rFonts w:ascii="Cambria Math" w:hAnsi="Cambria Math"/>
              </w:rPr>
              <m:t>t</m:t>
            </m:r>
          </m:sub>
        </m:sSub>
        <m:r>
          <w:rPr>
            <w:rFonts w:ascii="Cambria Math" w:hAnsi="Cambria Math"/>
          </w:rPr>
          <m:t>(</m:t>
        </m:r>
        <m:r>
          <w:rPr>
            <w:rFonts w:ascii="Cambria Math" w:hAnsi="Cambria Math"/>
          </w:rPr>
          <m:t>t=1,2,3…</m:t>
        </m:r>
      </m:oMath>
      <w:r w:rsidR="00A26784">
        <w:rPr>
          <w:rFonts w:hint="eastAsia"/>
        </w:rPr>
        <w:t>)</w:t>
      </w:r>
      <w:r w:rsidR="003C3997">
        <w:rPr>
          <w:rFonts w:hint="eastAsia"/>
        </w:rPr>
        <w:t>为甲醇期货收盘价在t时刻的</w:t>
      </w:r>
      <w:r w:rsidR="00E02E62">
        <w:rPr>
          <w:rFonts w:hint="eastAsia"/>
        </w:rPr>
        <w:t>移动</w:t>
      </w:r>
      <w:r w:rsidR="008C4E12">
        <w:rPr>
          <w:rFonts w:hint="eastAsia"/>
        </w:rPr>
        <w:t>时长</w:t>
      </w:r>
      <w:r w:rsidR="003C3997">
        <w:rPr>
          <w:rFonts w:hint="eastAsia"/>
        </w:rPr>
        <w:t>为N的移动平均值，</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(t=1,2,3…</m:t>
        </m:r>
      </m:oMath>
      <w:r w:rsidR="00A26784">
        <w:rPr>
          <w:rFonts w:hint="eastAsia"/>
        </w:rPr>
        <w:t>)</w:t>
      </w:r>
      <w:r w:rsidR="003C3997">
        <w:rPr>
          <w:rFonts w:hint="eastAsia"/>
        </w:rPr>
        <w:t>为甲醇期货收盘价在t时刻</w:t>
      </w:r>
      <w:r w:rsidR="00214A23">
        <w:rPr>
          <w:rFonts w:hint="eastAsia"/>
        </w:rPr>
        <w:t>移动</w:t>
      </w:r>
      <w:r w:rsidR="008C4E12">
        <w:rPr>
          <w:rFonts w:hint="eastAsia"/>
        </w:rPr>
        <w:t>时长</w:t>
      </w:r>
      <w:r w:rsidR="003C3997">
        <w:rPr>
          <w:rFonts w:hint="eastAsia"/>
        </w:rPr>
        <w:t>为N的移动标准差</w:t>
      </w:r>
      <w:r w:rsidR="00A26784">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2678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A26784">
        <w:rPr>
          <w:rFonts w:hint="eastAsia"/>
        </w:rPr>
        <w:t>为阈值。</w:t>
      </w:r>
    </w:p>
    <w:p w:rsidR="00EC6AC7" w:rsidRDefault="00EC6AC7">
      <w:r>
        <w:rPr>
          <w:rFonts w:hint="eastAsia"/>
        </w:rPr>
        <w:t>第二部分是交易规则，Aberration交易策略是建立在</w:t>
      </w:r>
      <w:r w:rsidRPr="00B93F49">
        <w:t>布林格通道</w:t>
      </w:r>
      <w:r>
        <w:rPr>
          <w:rFonts w:hint="eastAsia"/>
        </w:rPr>
        <w:t>Bollinger</w:t>
      </w:r>
      <w:r>
        <w:t xml:space="preserve"> </w:t>
      </w:r>
      <w:r>
        <w:rPr>
          <w:rFonts w:hint="eastAsia"/>
        </w:rPr>
        <w:t>Bands理论的基础之上，Bollinger</w:t>
      </w:r>
      <w:r>
        <w:t xml:space="preserve"> </w:t>
      </w:r>
      <w:r>
        <w:rPr>
          <w:rFonts w:hint="eastAsia"/>
        </w:rPr>
        <w:t>Bands理论是由John</w:t>
      </w:r>
      <w:r>
        <w:t xml:space="preserve"> </w:t>
      </w:r>
      <w:r>
        <w:rPr>
          <w:rFonts w:hint="eastAsia"/>
        </w:rPr>
        <w:t>Bollinger在2</w:t>
      </w:r>
      <w:r>
        <w:t>0</w:t>
      </w:r>
      <w:r>
        <w:rPr>
          <w:rFonts w:hint="eastAsia"/>
        </w:rPr>
        <w:t>世纪6</w:t>
      </w:r>
      <w:r>
        <w:t>0</w:t>
      </w:r>
      <w:r>
        <w:rPr>
          <w:rFonts w:hint="eastAsia"/>
        </w:rPr>
        <w:t>年代提出，该理论指出金融市场产品价格将主要在由移动平均线以及在移动平均值基础上增加和减少一个</w:t>
      </w:r>
      <w:r>
        <w:rPr>
          <w:rFonts w:hint="eastAsia"/>
        </w:rPr>
        <w:t>单位的</w:t>
      </w:r>
      <w:r>
        <w:rPr>
          <w:rFonts w:hint="eastAsia"/>
        </w:rPr>
        <w:t>移动标准差形成</w:t>
      </w:r>
      <w:r>
        <w:rPr>
          <w:rFonts w:hint="eastAsia"/>
        </w:rPr>
        <w:t>的</w:t>
      </w:r>
      <w:r>
        <w:rPr>
          <w:rFonts w:hint="eastAsia"/>
        </w:rPr>
        <w:t>上轨和下轨线之间进行波动，当产品价格触及上轨或者下轨线时，价格将有很大可能性重新回到移动平均线附近。Keith</w:t>
      </w:r>
      <w:r>
        <w:t xml:space="preserve"> </w:t>
      </w:r>
      <w:proofErr w:type="spellStart"/>
      <w:r>
        <w:rPr>
          <w:rFonts w:hint="eastAsia"/>
        </w:rPr>
        <w:t>Fitschen</w:t>
      </w:r>
      <w:proofErr w:type="spellEnd"/>
      <w:r>
        <w:rPr>
          <w:rFonts w:hint="eastAsia"/>
        </w:rPr>
        <w:t>根据此理论进行了大量实验后发现布林格通道的上轨和下轨线其实是价格突破信号，即价格靠近上轨或者下轨线附近的时候将有很大可能性将会超过上轨值或者跌破下轨值。因此</w:t>
      </w:r>
      <w:r w:rsidR="007F4F12">
        <w:rPr>
          <w:rFonts w:hint="eastAsia"/>
        </w:rPr>
        <w:t>本位采用的</w:t>
      </w:r>
      <w:r>
        <w:rPr>
          <w:rFonts w:hint="eastAsia"/>
        </w:rPr>
        <w:t>交易策略为，当价格超过上轨线进行买多操作，并在价格回到移动平均线下方进行</w:t>
      </w:r>
      <w:r w:rsidR="0069426D">
        <w:rPr>
          <w:rFonts w:hint="eastAsia"/>
        </w:rPr>
        <w:t>平仓</w:t>
      </w:r>
      <w:r>
        <w:rPr>
          <w:rFonts w:hint="eastAsia"/>
        </w:rPr>
        <w:t>操作；在价格</w:t>
      </w:r>
      <w:r>
        <w:rPr>
          <w:rFonts w:hint="eastAsia"/>
        </w:rPr>
        <w:t>跌破</w:t>
      </w:r>
      <w:r>
        <w:rPr>
          <w:rFonts w:hint="eastAsia"/>
        </w:rPr>
        <w:t>下轨线时进行买空操作，并在价格回到移动平均线上方时进行</w:t>
      </w:r>
      <w:r w:rsidR="0069426D">
        <w:rPr>
          <w:rFonts w:hint="eastAsia"/>
        </w:rPr>
        <w:t>平仓</w:t>
      </w:r>
      <w:r>
        <w:rPr>
          <w:rFonts w:hint="eastAsia"/>
        </w:rPr>
        <w:t>操作。</w:t>
      </w:r>
    </w:p>
    <w:p w:rsidR="000C3360" w:rsidRPr="000C3360" w:rsidRDefault="000C3360">
      <w:pPr>
        <w:rPr>
          <w:rFonts w:hint="eastAsia"/>
        </w:rPr>
      </w:pPr>
      <w:r>
        <w:rPr>
          <w:rFonts w:hint="eastAsia"/>
        </w:rPr>
        <w:t>夏普比率</w:t>
      </w:r>
      <w:r w:rsidR="0092786A">
        <w:rPr>
          <w:rFonts w:hint="eastAsia"/>
        </w:rPr>
        <w:t>是能够</w:t>
      </w:r>
      <w:r w:rsidR="00386A9C">
        <w:rPr>
          <w:rFonts w:hint="eastAsia"/>
        </w:rPr>
        <w:t>同时对收益和风险进行考虑的经典指标之一，能够</w:t>
      </w:r>
      <w:r w:rsidR="00452D08">
        <w:rPr>
          <w:rFonts w:hint="eastAsia"/>
        </w:rPr>
        <w:t>很好地</w:t>
      </w:r>
      <w:r w:rsidR="009B12FF">
        <w:rPr>
          <w:rFonts w:hint="eastAsia"/>
        </w:rPr>
        <w:t>评估回测交易</w:t>
      </w:r>
      <w:r w:rsidR="00452D08">
        <w:rPr>
          <w:rFonts w:hint="eastAsia"/>
        </w:rPr>
        <w:t>效果。</w:t>
      </w:r>
      <w:r w:rsidR="007157DC">
        <w:rPr>
          <w:rFonts w:hint="eastAsia"/>
        </w:rPr>
        <w:t>本文将根据使用</w:t>
      </w:r>
      <w:r w:rsidR="00236D7F">
        <w:rPr>
          <w:rFonts w:hint="eastAsia"/>
        </w:rPr>
        <w:t>夏普比率对</w:t>
      </w:r>
      <w:r w:rsidR="00EA2AEC">
        <w:rPr>
          <w:rFonts w:hint="eastAsia"/>
        </w:rPr>
        <w:t>Aberration</w:t>
      </w:r>
      <w:r w:rsidR="007157DC">
        <w:rPr>
          <w:rFonts w:hint="eastAsia"/>
        </w:rPr>
        <w:t>交易策略的参数</w:t>
      </w:r>
      <m:oMath>
        <m:r>
          <w:rPr>
            <w:rFonts w:ascii="Cambria Math" w:hAnsi="Cambria Math"/>
          </w:rPr>
          <m:t>N</m:t>
        </m:r>
      </m:oMath>
      <w:r w:rsidR="00D27035">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D27035">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7157DC">
        <w:rPr>
          <w:rFonts w:hint="eastAsia"/>
        </w:rPr>
        <w:t>进行</w:t>
      </w:r>
      <w:r w:rsidR="0065537F">
        <w:rPr>
          <w:rFonts w:hint="eastAsia"/>
        </w:rPr>
        <w:t>调整</w:t>
      </w:r>
      <w:r w:rsidR="007157DC">
        <w:rPr>
          <w:rFonts w:hint="eastAsia"/>
        </w:rPr>
        <w:t>，根据</w:t>
      </w:r>
      <w:r w:rsidR="0065537F">
        <w:rPr>
          <w:rFonts w:hint="eastAsia"/>
        </w:rPr>
        <w:t>调整</w:t>
      </w:r>
      <w:r w:rsidR="007157DC">
        <w:rPr>
          <w:rFonts w:hint="eastAsia"/>
        </w:rPr>
        <w:t>后的交易策略结果评估基于基本面特征的甲醇期货价格预测模型的有效性。</w:t>
      </w:r>
    </w:p>
    <w:p w:rsidR="00EC6AC7" w:rsidRDefault="00EC6AC7"/>
    <w:p w:rsidR="00195644" w:rsidRDefault="00195644"/>
    <w:p w:rsidR="00195644" w:rsidRDefault="00195644"/>
    <w:p w:rsidR="00195644" w:rsidRDefault="00195644"/>
    <w:p w:rsidR="00195644" w:rsidRDefault="00195644"/>
    <w:p w:rsidR="00A156CA" w:rsidRDefault="00A156CA"/>
    <w:p w:rsidR="00A156CA" w:rsidRDefault="00A156CA"/>
    <w:p w:rsidR="00A156CA" w:rsidRDefault="00A156CA"/>
    <w:p w:rsidR="00A156CA" w:rsidRDefault="00A156CA"/>
    <w:p w:rsidR="00A156CA" w:rsidRDefault="00A156CA"/>
    <w:p w:rsidR="00A156CA" w:rsidRDefault="00A156CA"/>
    <w:p w:rsidR="00A156CA" w:rsidRDefault="00A156CA"/>
    <w:p w:rsidR="00A156CA" w:rsidRDefault="00A156CA"/>
    <w:p w:rsidR="00A156CA" w:rsidRDefault="00A156CA"/>
    <w:p w:rsidR="00195644" w:rsidRDefault="00195644"/>
    <w:p w:rsidR="00A156CA" w:rsidRPr="00D27035" w:rsidRDefault="00A156CA">
      <w:pPr>
        <w:rPr>
          <w:rFonts w:hint="eastAsia"/>
        </w:rPr>
      </w:pPr>
      <w:r>
        <w:rPr>
          <w:rFonts w:hint="eastAsia"/>
        </w:rPr>
        <w:lastRenderedPageBreak/>
        <w:t>D</w:t>
      </w:r>
      <w:r>
        <w:t>ual Thrust</w:t>
      </w:r>
      <w:r>
        <w:rPr>
          <w:rFonts w:hint="eastAsia"/>
        </w:rPr>
        <w:t>交易策略</w:t>
      </w:r>
      <w:bookmarkStart w:id="0" w:name="_GoBack"/>
      <w:bookmarkEnd w:id="0"/>
    </w:p>
    <w:p w:rsidR="00F139F5" w:rsidRPr="00F139F5" w:rsidRDefault="00FD47CA">
      <w:r>
        <w:rPr>
          <w:rFonts w:hint="eastAsia"/>
        </w:rPr>
        <w:t>第二部分为策略构建和交易逻辑。</w:t>
      </w:r>
    </w:p>
    <w:p w:rsidR="00F434F9" w:rsidRDefault="0044264D" w:rsidP="00F434F9">
      <w:r>
        <w:tab/>
      </w:r>
      <w:r>
        <w:rPr>
          <w:rFonts w:hint="eastAsia"/>
        </w:rPr>
        <w:t>依据上述对照模型预测结果，选取</w:t>
      </w:r>
      <w:r w:rsidR="001E49BE">
        <w:rPr>
          <w:rFonts w:hint="eastAsia"/>
        </w:rPr>
        <w:t>甲醇期货价格预测模型。根据甲醇期货价格</w:t>
      </w:r>
      <w:r w:rsidR="00C2212B">
        <w:rPr>
          <w:rFonts w:hint="eastAsia"/>
        </w:rPr>
        <w:t>回归模型预测结果构建回测交易规则</w:t>
      </w:r>
      <w:r w:rsidR="00FA1AD0">
        <w:rPr>
          <w:rFonts w:hint="eastAsia"/>
        </w:rPr>
        <w:t>，根据回测交易结果检验选取模型的</w:t>
      </w:r>
      <w:r w:rsidR="00E6783B">
        <w:rPr>
          <w:rFonts w:hint="eastAsia"/>
        </w:rPr>
        <w:t>实际价值。</w:t>
      </w:r>
      <w:r w:rsidR="00CD51E3">
        <w:rPr>
          <w:rFonts w:hint="eastAsia"/>
        </w:rPr>
        <w:t>本文构建的回测交易规则是</w:t>
      </w:r>
      <w:r w:rsidR="00564ADC">
        <w:rPr>
          <w:rFonts w:hint="eastAsia"/>
        </w:rPr>
        <w:t>使用KDJ技术指标改进后的Dual</w:t>
      </w:r>
      <w:r w:rsidR="00564ADC">
        <w:t xml:space="preserve"> </w:t>
      </w:r>
      <w:r w:rsidR="00564ADC">
        <w:rPr>
          <w:rFonts w:hint="eastAsia"/>
        </w:rPr>
        <w:t>Thrust交易策略。</w:t>
      </w:r>
    </w:p>
    <w:p w:rsidR="00967A3A" w:rsidRDefault="00F434F9" w:rsidP="00F434F9">
      <w:r>
        <w:tab/>
      </w:r>
      <w:r w:rsidR="00967A3A">
        <w:rPr>
          <w:rFonts w:hint="eastAsia"/>
        </w:rPr>
        <w:t>Dual</w:t>
      </w:r>
      <w:r w:rsidR="00967A3A">
        <w:t xml:space="preserve"> </w:t>
      </w:r>
      <w:r w:rsidR="00967A3A">
        <w:rPr>
          <w:rFonts w:hint="eastAsia"/>
        </w:rPr>
        <w:t>Th</w:t>
      </w:r>
      <w:r w:rsidR="00332ED4">
        <w:rPr>
          <w:rFonts w:hint="eastAsia"/>
        </w:rPr>
        <w:t>rust</w:t>
      </w:r>
      <w:r w:rsidR="00967A3A">
        <w:rPr>
          <w:rFonts w:hint="eastAsia"/>
        </w:rPr>
        <w:t>交易策略</w:t>
      </w:r>
      <w:r w:rsidR="00332ED4">
        <w:rPr>
          <w:rFonts w:hint="eastAsia"/>
        </w:rPr>
        <w:t>分为两个部分，第一部分为相关参数的计算</w:t>
      </w:r>
      <w:r w:rsidR="00967A3A">
        <w:rPr>
          <w:rFonts w:hint="eastAsia"/>
        </w:rPr>
        <w:t>：</w:t>
      </w:r>
    </w:p>
    <w:p w:rsidR="00967A3A" w:rsidRPr="00967A3A" w:rsidRDefault="00967A3A" w:rsidP="00F434F9">
      <m:oMathPara>
        <m:oMath>
          <m:r>
            <w:rPr>
              <w:rFonts w:ascii="Cambria Math" w:hAnsi="Cambria Math"/>
            </w:rPr>
            <m:t>HH=</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hint="eastAsia"/>
                        </w:rPr>
                        <m:t>Hig</m:t>
                      </m:r>
                      <m:r>
                        <w:rPr>
                          <w:rFonts w:ascii="Cambria Math" w:hAnsi="Cambria Math" w:cs="Cambria Math"/>
                        </w:rPr>
                        <m:t>h</m:t>
                      </m:r>
                    </m:e>
                    <m:sub>
                      <m:r>
                        <w:rPr>
                          <w:rFonts w:ascii="Cambria Math" w:hAnsi="Cambria Math"/>
                        </w:rPr>
                        <m:t>i</m:t>
                      </m:r>
                    </m:sub>
                  </m:sSub>
                </m:e>
              </m:d>
            </m:e>
          </m:func>
          <m:r>
            <w:rPr>
              <w:rFonts w:ascii="Cambria Math" w:hAnsi="Cambria Math"/>
            </w:rPr>
            <m:t>, LC=</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Close</m:t>
                      </m:r>
                    </m:e>
                    <m:sub>
                      <m:r>
                        <w:rPr>
                          <w:rFonts w:ascii="Cambria Math" w:hAnsi="Cambria Math"/>
                        </w:rPr>
                        <m:t>i</m:t>
                      </m:r>
                    </m:sub>
                  </m:sSub>
                </m:e>
              </m:d>
            </m:e>
          </m:func>
          <m:r>
            <w:rPr>
              <w:rFonts w:ascii="Cambria Math" w:hAnsi="Cambria Math"/>
            </w:rPr>
            <m:t>, HC=</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Close</m:t>
                      </m:r>
                    </m:e>
                    <m:sub>
                      <m:r>
                        <w:rPr>
                          <w:rFonts w:ascii="Cambria Math" w:hAnsi="Cambria Math"/>
                        </w:rPr>
                        <m:t>i</m:t>
                      </m:r>
                    </m:sub>
                  </m:sSub>
                </m:e>
              </m:d>
            </m:e>
          </m:func>
          <m:r>
            <w:rPr>
              <w:rFonts w:ascii="Cambria Math" w:hAnsi="Cambria Math"/>
            </w:rPr>
            <m:t>, LL=</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Low</m:t>
                      </m:r>
                    </m:e>
                    <m:sub>
                      <m:r>
                        <w:rPr>
                          <w:rFonts w:ascii="Cambria Math" w:hAnsi="Cambria Math"/>
                        </w:rPr>
                        <m:t>i</m:t>
                      </m:r>
                    </m:sub>
                  </m:sSub>
                </m:e>
              </m:d>
            </m:e>
          </m:func>
        </m:oMath>
      </m:oMathPara>
    </w:p>
    <w:p w:rsidR="00967A3A" w:rsidRPr="00967A3A" w:rsidRDefault="00967A3A" w:rsidP="00F434F9">
      <m:oMathPara>
        <m:oMath>
          <m:r>
            <w:rPr>
              <w:rFonts w:ascii="Cambria Math" w:hAnsi="Cambria Math"/>
            </w:rPr>
            <m:t>Range=</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HH-LC, HC-LL</m:t>
                  </m:r>
                </m:e>
              </m:d>
            </m:e>
          </m:func>
        </m:oMath>
      </m:oMathPara>
    </w:p>
    <w:p w:rsidR="00967A3A" w:rsidRPr="00967A3A" w:rsidRDefault="00967A3A" w:rsidP="00F434F9">
      <m:oMathPara>
        <m:oMath>
          <m:r>
            <w:rPr>
              <w:rFonts w:ascii="Cambria Math" w:hAnsi="Cambria Math"/>
            </w:rPr>
            <m:t xml:space="preserve">Buyline=Open+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*Range</m:t>
          </m:r>
        </m:oMath>
      </m:oMathPara>
    </w:p>
    <w:p w:rsidR="00967A3A" w:rsidRPr="00332ED4" w:rsidRDefault="00967A3A" w:rsidP="00F434F9">
      <m:oMathPara>
        <m:oMath>
          <m:r>
            <w:rPr>
              <w:rFonts w:ascii="Cambria Math" w:hAnsi="Cambria Math"/>
            </w:rPr>
            <m:t xml:space="preserve">Sellline=Open-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*Range,i=1,2,…,N</m:t>
          </m:r>
        </m:oMath>
      </m:oMathPara>
    </w:p>
    <w:p w:rsidR="00332ED4" w:rsidRDefault="00332ED4" w:rsidP="00F434F9">
      <w:r>
        <w:rPr>
          <w:rFonts w:hint="eastAsia"/>
        </w:rPr>
        <w:t>其中，</w:t>
      </w:r>
      <w:r w:rsidR="00F35012">
        <w:rPr>
          <w:rFonts w:hint="eastAsia"/>
        </w:rPr>
        <w:t>High为前N个交易日中的最高交易价，LC为前N个交易日</w:t>
      </w:r>
      <w:r w:rsidR="00964A57">
        <w:rPr>
          <w:rFonts w:hint="eastAsia"/>
        </w:rPr>
        <w:t>收盘价中的最低价，</w:t>
      </w:r>
      <w:r w:rsidR="00A54C76">
        <w:rPr>
          <w:rFonts w:hint="eastAsia"/>
        </w:rPr>
        <w:t>HC为前N个交易日收盘价中的最高价，LL为前N个交易日最低价中的最低价</w:t>
      </w:r>
      <w:r w:rsidR="006E5A35">
        <w:rPr>
          <w:rFonts w:hint="eastAsia"/>
        </w:rPr>
        <w:t>，Open为当日开盘价</w:t>
      </w:r>
      <w:r w:rsidR="00511ABC">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511ABC">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26655F">
        <w:rPr>
          <w:rFonts w:hint="eastAsia"/>
        </w:rPr>
        <w:t>为</w:t>
      </w:r>
      <w:r w:rsidR="00265CA3">
        <w:rPr>
          <w:rFonts w:hint="eastAsia"/>
        </w:rPr>
        <w:t>设定的</w:t>
      </w:r>
      <w:r w:rsidR="00EC194B">
        <w:rPr>
          <w:rFonts w:hint="eastAsia"/>
        </w:rPr>
        <w:t>阈值</w:t>
      </w:r>
      <w:r w:rsidR="007009D4">
        <w:rPr>
          <w:rFonts w:hint="eastAsia"/>
        </w:rPr>
        <w:t>，预设值均</w:t>
      </w:r>
      <w:r w:rsidR="0000637C">
        <w:rPr>
          <w:rFonts w:hint="eastAsia"/>
        </w:rPr>
        <w:t>设</w:t>
      </w:r>
      <w:r w:rsidR="007009D4">
        <w:rPr>
          <w:rFonts w:hint="eastAsia"/>
        </w:rPr>
        <w:t>为0</w:t>
      </w:r>
      <w:r w:rsidR="007009D4">
        <w:t>.7</w:t>
      </w:r>
      <w:r w:rsidR="006E5A35">
        <w:rPr>
          <w:rFonts w:hint="eastAsia"/>
        </w:rPr>
        <w:t>。</w:t>
      </w:r>
    </w:p>
    <w:p w:rsidR="00332ED4" w:rsidRDefault="00332ED4" w:rsidP="00F434F9">
      <w:r>
        <w:rPr>
          <w:rFonts w:hint="eastAsia"/>
        </w:rPr>
        <w:t>第二部分为：策略</w:t>
      </w:r>
      <w:r w:rsidR="004C5E19">
        <w:rPr>
          <w:rFonts w:hint="eastAsia"/>
        </w:rPr>
        <w:t>构建和</w:t>
      </w:r>
      <w:r>
        <w:rPr>
          <w:rFonts w:hint="eastAsia"/>
        </w:rPr>
        <w:t>交易逻辑。</w:t>
      </w:r>
      <w:r w:rsidR="002A57C9">
        <w:rPr>
          <w:rFonts w:hint="eastAsia"/>
        </w:rPr>
        <w:t>当</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2A57C9">
        <w:rPr>
          <w:rFonts w:hint="eastAsia"/>
        </w:rPr>
        <w:t>大于</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2A57C9">
        <w:rPr>
          <w:rFonts w:hint="eastAsia"/>
        </w:rPr>
        <w:t>时，空头相对容易被触发，当</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2A57C9">
        <w:rPr>
          <w:rFonts w:hint="eastAsia"/>
        </w:rPr>
        <w:t>小于</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2A57C9">
        <w:rPr>
          <w:rFonts w:hint="eastAsia"/>
        </w:rPr>
        <w:t>时，多头相对容易被触发。本文将KDJ技术指标引入到Dual-Thrust交易策略中，当K、D、J均大于5</w:t>
      </w:r>
      <w:r w:rsidR="002A57C9">
        <w:t>0</w:t>
      </w:r>
      <w:r w:rsidR="002A57C9">
        <w:rPr>
          <w:rFonts w:hint="eastAsia"/>
        </w:rPr>
        <w:t>时，市场处于利多市场，当K、D、J均小于5</w:t>
      </w:r>
      <w:r w:rsidR="002A57C9">
        <w:t>0</w:t>
      </w:r>
      <w:r w:rsidR="002A57C9">
        <w:rPr>
          <w:rFonts w:hint="eastAsia"/>
        </w:rPr>
        <w:t>时，市场为利空市场，根据市场动态地调整</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2A57C9">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2A57C9">
        <w:rPr>
          <w:rFonts w:hint="eastAsia"/>
        </w:rPr>
        <w:t>以寻求更好的交易策略效果。</w:t>
      </w:r>
      <w:r>
        <w:rPr>
          <w:rFonts w:hint="eastAsia"/>
        </w:rPr>
        <w:t>当价格向上突破上轨时，如果当时持有空仓，则先平仓，再开多仓；如果没有持仓，则直接开多仓。当价格向下突破下轨时，如果当时持有多仓，则先平仓，再开空仓；如果没有仓</w:t>
      </w:r>
      <w:r w:rsidR="00C92232">
        <w:rPr>
          <w:rFonts w:hint="eastAsia"/>
        </w:rPr>
        <w:t>位</w:t>
      </w:r>
      <w:r>
        <w:rPr>
          <w:rFonts w:hint="eastAsia"/>
        </w:rPr>
        <w:t>，则直接开空仓。若价格在下轨和上轨之间则保持原有仓位。</w:t>
      </w:r>
    </w:p>
    <w:p w:rsidR="00967A3A" w:rsidRPr="00967A3A" w:rsidRDefault="009203AC" w:rsidP="00F434F9">
      <w:r>
        <w:rPr>
          <w:rFonts w:hint="eastAsia"/>
        </w:rPr>
        <w:t>（这里的</w:t>
      </w:r>
      <w:proofErr w:type="spellStart"/>
      <w:r>
        <w:rPr>
          <w:rFonts w:hint="eastAsia"/>
        </w:rPr>
        <w:t>kdj</w:t>
      </w:r>
      <w:proofErr w:type="spellEnd"/>
      <w:r>
        <w:rPr>
          <w:rFonts w:hint="eastAsia"/>
        </w:rPr>
        <w:t>的引入可能还是要思考一下如何处理为好，因为目前仅仅包含了两种情况，还是不太好，还是需要进行处理一下）</w:t>
      </w:r>
    </w:p>
    <w:p w:rsidR="00F434F9" w:rsidRDefault="00273D62" w:rsidP="00F434F9">
      <w:r>
        <w:rPr>
          <w:rFonts w:hint="eastAsia"/>
        </w:rPr>
        <w:t>这里要思考一下</w:t>
      </w:r>
      <w:r w:rsidR="001147D2">
        <w:rPr>
          <w:rFonts w:hint="eastAsia"/>
        </w:rPr>
        <w:t>策略的事情</w:t>
      </w:r>
      <w:r w:rsidR="004D306B">
        <w:rPr>
          <w:rFonts w:hint="eastAsia"/>
        </w:rPr>
        <w:t>是否要借助KDJ</w:t>
      </w:r>
      <w:r w:rsidR="00AA5694">
        <w:t xml:space="preserve"> </w:t>
      </w:r>
      <w:r w:rsidR="00AA5694">
        <w:rPr>
          <w:rFonts w:hint="eastAsia"/>
        </w:rPr>
        <w:t>如果是借助了KDJ的话，那么如何将策略设置合理一些</w:t>
      </w:r>
      <w:r w:rsidR="008902BF">
        <w:rPr>
          <w:rFonts w:hint="eastAsia"/>
        </w:rPr>
        <w:t xml:space="preserve"> 这些是目前要考虑的主要事项，这部分的工作留到今天晚上</w:t>
      </w:r>
      <w:r w:rsidR="002367B6">
        <w:rPr>
          <w:rFonts w:hint="eastAsia"/>
        </w:rPr>
        <w:t xml:space="preserve"> 这里可以借助一下那片论文中的KDJ的策略，看能不能结合一下</w:t>
      </w:r>
    </w:p>
    <w:p w:rsidR="009127FF" w:rsidRDefault="009127FF" w:rsidP="00F434F9"/>
    <w:p w:rsidR="009127FF" w:rsidRDefault="009127FF" w:rsidP="00F434F9"/>
    <w:p w:rsidR="00754DF8" w:rsidRDefault="00040FD2" w:rsidP="00F434F9">
      <w:r>
        <w:rPr>
          <w:rFonts w:hint="eastAsia"/>
        </w:rPr>
        <w:t>将</w:t>
      </w:r>
      <w:r w:rsidR="00754DF8">
        <w:rPr>
          <w:rFonts w:hint="eastAsia"/>
        </w:rPr>
        <w:t>Dual-Thrust交易策略中的K1和K2</w:t>
      </w:r>
      <w:r>
        <w:rPr>
          <w:rFonts w:hint="eastAsia"/>
        </w:rPr>
        <w:t>初始值设为</w:t>
      </w:r>
      <w:r w:rsidR="00754DF8">
        <w:t>0.7</w:t>
      </w:r>
      <w:r w:rsidR="00754DF8">
        <w:rPr>
          <w:rFonts w:hint="eastAsia"/>
        </w:rPr>
        <w:t>，</w:t>
      </w:r>
      <w:r w:rsidR="00A65D73">
        <w:rPr>
          <w:rFonts w:hint="eastAsia"/>
        </w:rPr>
        <w:t>加入KDJ技术指标可以对交易市场进行有效跟踪，</w:t>
      </w:r>
      <w:r w:rsidR="00294CD1">
        <w:rPr>
          <w:rFonts w:hint="eastAsia"/>
        </w:rPr>
        <w:t>动态调整K</w:t>
      </w:r>
      <w:r w:rsidR="00294CD1">
        <w:t>1</w:t>
      </w:r>
      <w:r w:rsidR="00294CD1">
        <w:rPr>
          <w:rFonts w:hint="eastAsia"/>
        </w:rPr>
        <w:t>和K2的值，</w:t>
      </w:r>
      <w:r w:rsidR="00610D22">
        <w:rPr>
          <w:rFonts w:hint="eastAsia"/>
        </w:rPr>
        <w:t>寻求投资获利</w:t>
      </w:r>
      <w:r w:rsidR="00294CD1">
        <w:rPr>
          <w:rFonts w:hint="eastAsia"/>
        </w:rPr>
        <w:t>。</w:t>
      </w:r>
      <w:r w:rsidR="00754DF8">
        <w:rPr>
          <w:rFonts w:hint="eastAsia"/>
        </w:rPr>
        <w:t>KDJ指标可以有效地对市场趋势进行跟踪，当K、D、J均大于5</w:t>
      </w:r>
      <w:r w:rsidR="00754DF8">
        <w:t>0</w:t>
      </w:r>
      <w:r w:rsidR="00754DF8">
        <w:rPr>
          <w:rFonts w:hint="eastAsia"/>
        </w:rPr>
        <w:t>时，交易市场为利多市场，</w:t>
      </w:r>
      <w:r w:rsidR="00C62417">
        <w:rPr>
          <w:rFonts w:hint="eastAsia"/>
        </w:rPr>
        <w:t>可</w:t>
      </w:r>
      <w:r w:rsidR="00754DF8">
        <w:rPr>
          <w:rFonts w:hint="eastAsia"/>
        </w:rPr>
        <w:t>将K</w:t>
      </w:r>
      <w:r w:rsidR="00754DF8">
        <w:t>1</w:t>
      </w:r>
      <w:r w:rsidR="00754DF8">
        <w:rPr>
          <w:rFonts w:hint="eastAsia"/>
        </w:rPr>
        <w:t>设置为0</w:t>
      </w:r>
      <w:r w:rsidR="00754DF8">
        <w:t>.6</w:t>
      </w:r>
      <w:r w:rsidR="00754DF8">
        <w:rPr>
          <w:rFonts w:hint="eastAsia"/>
        </w:rPr>
        <w:t>；当K、D、J均小于5</w:t>
      </w:r>
      <w:r w:rsidR="00754DF8">
        <w:t>0</w:t>
      </w:r>
      <w:r w:rsidR="00754DF8">
        <w:rPr>
          <w:rFonts w:hint="eastAsia"/>
        </w:rPr>
        <w:t>时，市场为利空市场，将K</w:t>
      </w:r>
      <w:r w:rsidR="00754DF8">
        <w:t>2</w:t>
      </w:r>
      <w:r w:rsidR="00754DF8">
        <w:rPr>
          <w:rFonts w:hint="eastAsia"/>
        </w:rPr>
        <w:t>设置为</w:t>
      </w:r>
      <w:r w:rsidR="00754DF8">
        <w:t>0.6.</w:t>
      </w:r>
    </w:p>
    <w:p w:rsidR="00A9310E" w:rsidRDefault="00A9310E" w:rsidP="00F434F9"/>
    <w:p w:rsidR="00A9310E" w:rsidRDefault="00A9310E" w:rsidP="00F434F9">
      <w:r>
        <w:rPr>
          <w:rFonts w:hint="eastAsia"/>
        </w:rPr>
        <w:t>交易回测规则</w:t>
      </w:r>
    </w:p>
    <w:p w:rsidR="00A9310E" w:rsidRDefault="00A9310E" w:rsidP="00F434F9">
      <w:r>
        <w:rPr>
          <w:rFonts w:hint="eastAsia"/>
        </w:rPr>
        <w:t>主要是要设定阈值，大于某个阈值之后就做多，小于某个阈值之后就做空</w:t>
      </w:r>
    </w:p>
    <w:p w:rsidR="00A9310E" w:rsidRDefault="00A9310E" w:rsidP="00F434F9"/>
    <w:p w:rsidR="00A62C62" w:rsidRDefault="00A62C62" w:rsidP="00F434F9">
      <w:r>
        <w:rPr>
          <w:rFonts w:hint="eastAsia"/>
        </w:rPr>
        <w:t>那么这个时候该怎么处理呢</w:t>
      </w:r>
    </w:p>
    <w:p w:rsidR="00A62C62" w:rsidRPr="009C5863" w:rsidRDefault="00A62C62" w:rsidP="00F434F9"/>
    <w:sectPr w:rsidR="00A62C62" w:rsidRPr="009C5863" w:rsidSect="00AD39D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正文 CS 字体)">
    <w:altName w:val="宋体"/>
    <w:panose1 w:val="020B0604020202020204"/>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BE"/>
    <w:rsid w:val="0000637C"/>
    <w:rsid w:val="00040FD2"/>
    <w:rsid w:val="000C3360"/>
    <w:rsid w:val="001147D2"/>
    <w:rsid w:val="00134786"/>
    <w:rsid w:val="00154B9A"/>
    <w:rsid w:val="00195644"/>
    <w:rsid w:val="001A5B89"/>
    <w:rsid w:val="001E49BE"/>
    <w:rsid w:val="00207DBA"/>
    <w:rsid w:val="00214A23"/>
    <w:rsid w:val="002367B6"/>
    <w:rsid w:val="00236D7F"/>
    <w:rsid w:val="00265CA3"/>
    <w:rsid w:val="0026655F"/>
    <w:rsid w:val="00270F06"/>
    <w:rsid w:val="00273D62"/>
    <w:rsid w:val="00277627"/>
    <w:rsid w:val="00277D9B"/>
    <w:rsid w:val="00294CD1"/>
    <w:rsid w:val="002A57C9"/>
    <w:rsid w:val="002C3CB1"/>
    <w:rsid w:val="00304912"/>
    <w:rsid w:val="00332ED4"/>
    <w:rsid w:val="00334E97"/>
    <w:rsid w:val="00373AAA"/>
    <w:rsid w:val="00386A9C"/>
    <w:rsid w:val="003C3997"/>
    <w:rsid w:val="003D0360"/>
    <w:rsid w:val="004164B4"/>
    <w:rsid w:val="0042130B"/>
    <w:rsid w:val="00430142"/>
    <w:rsid w:val="0044264D"/>
    <w:rsid w:val="00444A72"/>
    <w:rsid w:val="00450961"/>
    <w:rsid w:val="00452D08"/>
    <w:rsid w:val="0045419F"/>
    <w:rsid w:val="00465E66"/>
    <w:rsid w:val="004B2ECE"/>
    <w:rsid w:val="004B7C3C"/>
    <w:rsid w:val="004C5E19"/>
    <w:rsid w:val="004D306B"/>
    <w:rsid w:val="004D589E"/>
    <w:rsid w:val="004E27C0"/>
    <w:rsid w:val="00503838"/>
    <w:rsid w:val="00511ABC"/>
    <w:rsid w:val="00530A43"/>
    <w:rsid w:val="00531906"/>
    <w:rsid w:val="00537430"/>
    <w:rsid w:val="00556C77"/>
    <w:rsid w:val="00564ADC"/>
    <w:rsid w:val="005C261E"/>
    <w:rsid w:val="00603591"/>
    <w:rsid w:val="00610D22"/>
    <w:rsid w:val="00635BD2"/>
    <w:rsid w:val="00653797"/>
    <w:rsid w:val="0065537F"/>
    <w:rsid w:val="00672710"/>
    <w:rsid w:val="00672908"/>
    <w:rsid w:val="0069426D"/>
    <w:rsid w:val="006D3134"/>
    <w:rsid w:val="006E5A35"/>
    <w:rsid w:val="006E7052"/>
    <w:rsid w:val="006F243F"/>
    <w:rsid w:val="007009D4"/>
    <w:rsid w:val="007157DC"/>
    <w:rsid w:val="007425E5"/>
    <w:rsid w:val="0074615A"/>
    <w:rsid w:val="007466E5"/>
    <w:rsid w:val="00754903"/>
    <w:rsid w:val="00754DF8"/>
    <w:rsid w:val="007957C0"/>
    <w:rsid w:val="007A53C2"/>
    <w:rsid w:val="007E1D6A"/>
    <w:rsid w:val="007F4F12"/>
    <w:rsid w:val="00816B90"/>
    <w:rsid w:val="0082069E"/>
    <w:rsid w:val="0082680A"/>
    <w:rsid w:val="008271D6"/>
    <w:rsid w:val="008902BF"/>
    <w:rsid w:val="008B08CC"/>
    <w:rsid w:val="008C4E12"/>
    <w:rsid w:val="009127FF"/>
    <w:rsid w:val="009203AC"/>
    <w:rsid w:val="0092395D"/>
    <w:rsid w:val="0092786A"/>
    <w:rsid w:val="009646B8"/>
    <w:rsid w:val="00964A57"/>
    <w:rsid w:val="00967A3A"/>
    <w:rsid w:val="0098289B"/>
    <w:rsid w:val="009B12FF"/>
    <w:rsid w:val="009C2988"/>
    <w:rsid w:val="009C5863"/>
    <w:rsid w:val="009D12EE"/>
    <w:rsid w:val="009D3251"/>
    <w:rsid w:val="00A01479"/>
    <w:rsid w:val="00A0621F"/>
    <w:rsid w:val="00A1566A"/>
    <w:rsid w:val="00A156CA"/>
    <w:rsid w:val="00A26784"/>
    <w:rsid w:val="00A50D42"/>
    <w:rsid w:val="00A54C76"/>
    <w:rsid w:val="00A62C62"/>
    <w:rsid w:val="00A64B4F"/>
    <w:rsid w:val="00A65D73"/>
    <w:rsid w:val="00A9310E"/>
    <w:rsid w:val="00AA5694"/>
    <w:rsid w:val="00AD39D0"/>
    <w:rsid w:val="00B1016E"/>
    <w:rsid w:val="00B12D53"/>
    <w:rsid w:val="00B13EAC"/>
    <w:rsid w:val="00B20689"/>
    <w:rsid w:val="00B20818"/>
    <w:rsid w:val="00B802BE"/>
    <w:rsid w:val="00B85292"/>
    <w:rsid w:val="00B93F49"/>
    <w:rsid w:val="00BB4875"/>
    <w:rsid w:val="00BD075D"/>
    <w:rsid w:val="00C2212B"/>
    <w:rsid w:val="00C36505"/>
    <w:rsid w:val="00C62417"/>
    <w:rsid w:val="00C665C9"/>
    <w:rsid w:val="00C70692"/>
    <w:rsid w:val="00C80CAC"/>
    <w:rsid w:val="00C92232"/>
    <w:rsid w:val="00CD51E3"/>
    <w:rsid w:val="00CE2376"/>
    <w:rsid w:val="00D03376"/>
    <w:rsid w:val="00D27035"/>
    <w:rsid w:val="00D61D18"/>
    <w:rsid w:val="00D72408"/>
    <w:rsid w:val="00DA3647"/>
    <w:rsid w:val="00DB23EF"/>
    <w:rsid w:val="00E02E62"/>
    <w:rsid w:val="00E0763F"/>
    <w:rsid w:val="00E14A66"/>
    <w:rsid w:val="00E52A19"/>
    <w:rsid w:val="00E6783B"/>
    <w:rsid w:val="00E7559D"/>
    <w:rsid w:val="00EA2AEC"/>
    <w:rsid w:val="00EC194B"/>
    <w:rsid w:val="00EC6AC7"/>
    <w:rsid w:val="00F06EE4"/>
    <w:rsid w:val="00F139F5"/>
    <w:rsid w:val="00F35012"/>
    <w:rsid w:val="00F434F9"/>
    <w:rsid w:val="00F90B19"/>
    <w:rsid w:val="00FA1AD0"/>
    <w:rsid w:val="00FD4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7FCBC6"/>
  <w15:chartTrackingRefBased/>
  <w15:docId w15:val="{8EDD268B-2D9A-D641-9AC0-5271F286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24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77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749</cp:revision>
  <dcterms:created xsi:type="dcterms:W3CDTF">2021-07-11T09:07:00Z</dcterms:created>
  <dcterms:modified xsi:type="dcterms:W3CDTF">2021-07-17T08:23:00Z</dcterms:modified>
</cp:coreProperties>
</file>