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6A" w:rsidRDefault="004166D7">
      <w:r>
        <w:rPr>
          <w:rFonts w:hint="eastAsia"/>
        </w:rPr>
        <w:t>符合要求的交易策略共2</w:t>
      </w:r>
      <w:r>
        <w:t>74</w:t>
      </w:r>
      <w:r>
        <w:rPr>
          <w:rFonts w:hint="eastAsia"/>
        </w:rPr>
        <w:t>个，其中能够带来正收益的策略共1</w:t>
      </w:r>
      <w:r w:rsidR="00A75BD1">
        <w:t>39</w:t>
      </w:r>
      <w:r>
        <w:rPr>
          <w:rFonts w:hint="eastAsia"/>
        </w:rPr>
        <w:t>个；在能够带来正收益的策略中，仅有4个策略的K</w:t>
      </w:r>
      <w:r>
        <w:t>2</w:t>
      </w:r>
      <w:r>
        <w:rPr>
          <w:rFonts w:hint="eastAsia"/>
        </w:rPr>
        <w:t>值为</w:t>
      </w:r>
      <w:r>
        <w:t>0.7</w:t>
      </w:r>
      <w:r>
        <w:rPr>
          <w:rFonts w:hint="eastAsia"/>
        </w:rPr>
        <w:t>，其余均为0</w:t>
      </w:r>
      <w:r>
        <w:t>.6</w:t>
      </w:r>
      <w:r>
        <w:rPr>
          <w:rFonts w:hint="eastAsia"/>
        </w:rPr>
        <w:t>，并且这</w:t>
      </w:r>
      <w:r>
        <w:t>4</w:t>
      </w:r>
      <w:r>
        <w:rPr>
          <w:rFonts w:hint="eastAsia"/>
        </w:rPr>
        <w:t>个交易策略的收益分别为4</w:t>
      </w:r>
      <w:r>
        <w:t>55</w:t>
      </w:r>
      <w:r>
        <w:rPr>
          <w:rFonts w:hint="eastAsia"/>
        </w:rPr>
        <w:t>、4</w:t>
      </w:r>
      <w:r>
        <w:t>32</w:t>
      </w:r>
      <w:r>
        <w:rPr>
          <w:rFonts w:hint="eastAsia"/>
        </w:rPr>
        <w:t>、3</w:t>
      </w:r>
      <w:r>
        <w:t>64</w:t>
      </w:r>
      <w:r>
        <w:rPr>
          <w:rFonts w:hint="eastAsia"/>
        </w:rPr>
        <w:t>、2</w:t>
      </w:r>
      <w:r>
        <w:t>98</w:t>
      </w:r>
      <w:r>
        <w:rPr>
          <w:rFonts w:hint="eastAsia"/>
        </w:rPr>
        <w:t>，并且夏普比率均小于</w:t>
      </w:r>
      <w:r>
        <w:t>0.7</w:t>
      </w:r>
      <w:r>
        <w:rPr>
          <w:rFonts w:hint="eastAsia"/>
        </w:rPr>
        <w:t>，因而，将这</w:t>
      </w:r>
      <w:r>
        <w:t>4</w:t>
      </w:r>
      <w:r>
        <w:rPr>
          <w:rFonts w:hint="eastAsia"/>
        </w:rPr>
        <w:t>个策略排除作为最终策略模型的候选项</w:t>
      </w:r>
      <w:r w:rsidR="0036615E">
        <w:rPr>
          <w:rFonts w:hint="eastAsia"/>
        </w:rPr>
        <w:t>，并将k</w:t>
      </w:r>
      <w:r w:rsidR="0036615E">
        <w:t>2</w:t>
      </w:r>
      <w:r w:rsidR="0036615E">
        <w:rPr>
          <w:rFonts w:hint="eastAsia"/>
        </w:rPr>
        <w:t>的值设定为0</w:t>
      </w:r>
      <w:r w:rsidR="0036615E">
        <w:t>.6</w:t>
      </w:r>
      <w:r w:rsidR="007D3A19">
        <w:rPr>
          <w:rFonts w:hint="eastAsia"/>
        </w:rPr>
        <w:t>，并且</w:t>
      </w:r>
      <w:r w:rsidR="007D3A19">
        <w:rPr>
          <w:rFonts w:hint="eastAsia"/>
        </w:rPr>
        <w:t>将</w:t>
      </w:r>
      <w:r w:rsidR="007D3A19">
        <w:rPr>
          <w:rFonts w:hint="eastAsia"/>
        </w:rPr>
        <w:t>K</w:t>
      </w:r>
      <w:r w:rsidR="007D3A19">
        <w:t>2</w:t>
      </w:r>
      <w:r w:rsidR="007D3A19">
        <w:rPr>
          <w:rFonts w:hint="eastAsia"/>
        </w:rPr>
        <w:t>其他取值的策略舍弃</w:t>
      </w:r>
      <w:r w:rsidR="007D3A19">
        <w:rPr>
          <w:rFonts w:hint="eastAsia"/>
        </w:rPr>
        <w:t>后仅剩下1</w:t>
      </w:r>
      <w:r w:rsidR="007D3A19">
        <w:t>25</w:t>
      </w:r>
      <w:r w:rsidR="007D3A19">
        <w:rPr>
          <w:rFonts w:hint="eastAsia"/>
        </w:rPr>
        <w:t>条策略</w:t>
      </w:r>
      <w:r>
        <w:rPr>
          <w:rFonts w:hint="eastAsia"/>
        </w:rPr>
        <w:t>。</w:t>
      </w:r>
      <w:r w:rsidR="00A75BD1">
        <w:rPr>
          <w:rFonts w:hint="eastAsia"/>
        </w:rPr>
        <w:t>在所剩的1</w:t>
      </w:r>
      <w:r w:rsidR="00A75BD1">
        <w:t>35</w:t>
      </w:r>
      <w:r w:rsidR="00A75BD1">
        <w:rPr>
          <w:rFonts w:hint="eastAsia"/>
        </w:rPr>
        <w:t>个策略中，</w:t>
      </w:r>
      <w:r w:rsidR="007D3A19">
        <w:rPr>
          <w:rFonts w:hint="eastAsia"/>
        </w:rPr>
        <w:t xml:space="preserve"> </w:t>
      </w:r>
      <w:r w:rsidR="006F317E">
        <w:rPr>
          <w:rFonts w:hint="eastAsia"/>
        </w:rPr>
        <w:t>K</w:t>
      </w:r>
      <w:r w:rsidR="006F317E">
        <w:t>1</w:t>
      </w:r>
      <w:r w:rsidR="006F317E">
        <w:rPr>
          <w:rFonts w:hint="eastAsia"/>
        </w:rPr>
        <w:t>取值为0</w:t>
      </w:r>
      <w:r w:rsidR="006F317E">
        <w:t>.9</w:t>
      </w:r>
      <w:r w:rsidR="006F317E">
        <w:rPr>
          <w:rFonts w:hint="eastAsia"/>
        </w:rPr>
        <w:t>时策略的收益和夏普比率均处于前列，并且两者的最大值均在其中。</w:t>
      </w:r>
      <w:r w:rsidR="00BC161D">
        <w:rPr>
          <w:rFonts w:hint="eastAsia"/>
        </w:rPr>
        <w:t>因而将K</w:t>
      </w:r>
      <w:r w:rsidR="00BC161D">
        <w:t>1</w:t>
      </w:r>
      <w:r w:rsidR="00BC161D">
        <w:rPr>
          <w:rFonts w:hint="eastAsia"/>
        </w:rPr>
        <w:t>的值设定为0</w:t>
      </w:r>
      <w:r w:rsidR="00BC161D">
        <w:t>.9</w:t>
      </w:r>
      <w:r w:rsidR="00BC161D">
        <w:rPr>
          <w:rFonts w:hint="eastAsia"/>
        </w:rPr>
        <w:t>，并且</w:t>
      </w:r>
      <w:r w:rsidR="00BA66DC">
        <w:rPr>
          <w:rFonts w:hint="eastAsia"/>
        </w:rPr>
        <w:t>将</w:t>
      </w:r>
      <w:r w:rsidR="00BC161D">
        <w:rPr>
          <w:rFonts w:hint="eastAsia"/>
        </w:rPr>
        <w:t>K</w:t>
      </w:r>
      <w:r w:rsidR="00BC161D">
        <w:t>1</w:t>
      </w:r>
      <w:r w:rsidR="00BC161D">
        <w:rPr>
          <w:rFonts w:hint="eastAsia"/>
        </w:rPr>
        <w:t>其他取值的策略舍弃</w:t>
      </w:r>
      <w:r w:rsidR="00BA66DC">
        <w:rPr>
          <w:rFonts w:hint="eastAsia"/>
        </w:rPr>
        <w:t>后仅剩3</w:t>
      </w:r>
      <w:r w:rsidR="00BA66DC">
        <w:t>0</w:t>
      </w:r>
      <w:r w:rsidR="00BA66DC">
        <w:rPr>
          <w:rFonts w:hint="eastAsia"/>
        </w:rPr>
        <w:t>条策略</w:t>
      </w:r>
      <w:r w:rsidR="00E67A05">
        <w:rPr>
          <w:rFonts w:hint="eastAsia"/>
        </w:rPr>
        <w:t>。</w:t>
      </w:r>
      <w:r w:rsidR="00BA66DC">
        <w:rPr>
          <w:rFonts w:hint="eastAsia"/>
        </w:rPr>
        <w:t>再去除夏普比率小于</w:t>
      </w:r>
      <w:r w:rsidR="00736AB9">
        <w:t>2</w:t>
      </w:r>
      <w:r w:rsidR="00BA66DC">
        <w:rPr>
          <w:rFonts w:hint="eastAsia"/>
        </w:rPr>
        <w:t>的策略后仅剩下</w:t>
      </w:r>
      <w:r w:rsidR="00736AB9">
        <w:t>4</w:t>
      </w:r>
      <w:r w:rsidR="00372E9B">
        <w:rPr>
          <w:rFonts w:hint="eastAsia"/>
        </w:rPr>
        <w:t>条策略，分别为：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8"/>
        <w:gridCol w:w="876"/>
        <w:gridCol w:w="1296"/>
      </w:tblGrid>
      <w:tr w:rsidR="00B8691B" w:rsidRPr="00B8691B" w:rsidTr="00B8691B">
        <w:trPr>
          <w:trHeight w:val="320"/>
        </w:trPr>
        <w:tc>
          <w:tcPr>
            <w:tcW w:w="678" w:type="dxa"/>
            <w:noWrap/>
            <w:hideMark/>
          </w:tcPr>
          <w:p w:rsidR="00B8691B" w:rsidRPr="00B8691B" w:rsidRDefault="00B8691B" w:rsidP="00B8691B">
            <w:r w:rsidRPr="00B8691B">
              <w:rPr>
                <w:rFonts w:hint="eastAsia"/>
              </w:rPr>
              <w:t>N</w:t>
            </w:r>
          </w:p>
        </w:tc>
        <w:tc>
          <w:tcPr>
            <w:tcW w:w="876" w:type="dxa"/>
            <w:noWrap/>
            <w:hideMark/>
          </w:tcPr>
          <w:p w:rsidR="00B8691B" w:rsidRPr="00B8691B" w:rsidRDefault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收益</w:t>
            </w:r>
          </w:p>
        </w:tc>
        <w:tc>
          <w:tcPr>
            <w:tcW w:w="1296" w:type="dxa"/>
            <w:noWrap/>
            <w:hideMark/>
          </w:tcPr>
          <w:p w:rsidR="00B8691B" w:rsidRPr="00B8691B" w:rsidRDefault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夏普</w:t>
            </w:r>
            <w:r>
              <w:rPr>
                <w:rFonts w:hint="eastAsia"/>
              </w:rPr>
              <w:t>比</w:t>
            </w:r>
            <w:r w:rsidRPr="00B8691B">
              <w:rPr>
                <w:rFonts w:hint="eastAsia"/>
              </w:rPr>
              <w:t>率</w:t>
            </w:r>
          </w:p>
        </w:tc>
      </w:tr>
      <w:tr w:rsidR="00B8691B" w:rsidRPr="00B8691B" w:rsidTr="00B8691B">
        <w:trPr>
          <w:trHeight w:val="320"/>
        </w:trPr>
        <w:tc>
          <w:tcPr>
            <w:tcW w:w="678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44</w:t>
            </w:r>
          </w:p>
        </w:tc>
        <w:tc>
          <w:tcPr>
            <w:tcW w:w="876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792</w:t>
            </w:r>
          </w:p>
        </w:tc>
        <w:tc>
          <w:tcPr>
            <w:tcW w:w="1296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 xml:space="preserve">2.1884 </w:t>
            </w:r>
          </w:p>
        </w:tc>
      </w:tr>
      <w:tr w:rsidR="00B8691B" w:rsidRPr="00B8691B" w:rsidTr="00B8691B">
        <w:trPr>
          <w:trHeight w:val="320"/>
        </w:trPr>
        <w:tc>
          <w:tcPr>
            <w:tcW w:w="678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43</w:t>
            </w:r>
          </w:p>
        </w:tc>
        <w:tc>
          <w:tcPr>
            <w:tcW w:w="876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766</w:t>
            </w:r>
          </w:p>
        </w:tc>
        <w:tc>
          <w:tcPr>
            <w:tcW w:w="1296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 xml:space="preserve">2.0575 </w:t>
            </w:r>
          </w:p>
        </w:tc>
      </w:tr>
      <w:tr w:rsidR="00B8691B" w:rsidRPr="00B8691B" w:rsidTr="00B8691B">
        <w:trPr>
          <w:trHeight w:val="320"/>
        </w:trPr>
        <w:tc>
          <w:tcPr>
            <w:tcW w:w="678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47</w:t>
            </w:r>
          </w:p>
        </w:tc>
        <w:tc>
          <w:tcPr>
            <w:tcW w:w="876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753</w:t>
            </w:r>
          </w:p>
        </w:tc>
        <w:tc>
          <w:tcPr>
            <w:tcW w:w="1296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 xml:space="preserve">2.2465 </w:t>
            </w:r>
          </w:p>
        </w:tc>
      </w:tr>
      <w:tr w:rsidR="00B8691B" w:rsidRPr="00B8691B" w:rsidTr="00B8691B">
        <w:trPr>
          <w:trHeight w:val="320"/>
        </w:trPr>
        <w:tc>
          <w:tcPr>
            <w:tcW w:w="678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48</w:t>
            </w:r>
          </w:p>
        </w:tc>
        <w:tc>
          <w:tcPr>
            <w:tcW w:w="876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>731</w:t>
            </w:r>
          </w:p>
        </w:tc>
        <w:tc>
          <w:tcPr>
            <w:tcW w:w="1296" w:type="dxa"/>
            <w:noWrap/>
            <w:hideMark/>
          </w:tcPr>
          <w:p w:rsidR="00B8691B" w:rsidRPr="00B8691B" w:rsidRDefault="00B8691B" w:rsidP="00B8691B">
            <w:pPr>
              <w:rPr>
                <w:rFonts w:hint="eastAsia"/>
              </w:rPr>
            </w:pPr>
            <w:r w:rsidRPr="00B8691B">
              <w:rPr>
                <w:rFonts w:hint="eastAsia"/>
              </w:rPr>
              <w:t xml:space="preserve">2.1282 </w:t>
            </w:r>
          </w:p>
        </w:tc>
      </w:tr>
    </w:tbl>
    <w:p w:rsidR="00372E9B" w:rsidRDefault="00B8691B">
      <w:pPr>
        <w:rPr>
          <w:rFonts w:hint="eastAsia"/>
        </w:rPr>
      </w:pPr>
      <w:r>
        <w:rPr>
          <w:rFonts w:hint="eastAsia"/>
        </w:rPr>
        <w:t>根据上表所示</w:t>
      </w:r>
      <w:r w:rsidR="00736AB9">
        <w:rPr>
          <w:rFonts w:hint="eastAsia"/>
        </w:rPr>
        <w:t>，N的取值可以设定为4</w:t>
      </w:r>
      <w:r w:rsidR="00736AB9">
        <w:t>4</w:t>
      </w:r>
      <w:r w:rsidR="00736AB9">
        <w:rPr>
          <w:rFonts w:hint="eastAsia"/>
        </w:rPr>
        <w:t>，</w:t>
      </w:r>
      <w:r w:rsidR="005E79EA">
        <w:rPr>
          <w:rFonts w:hint="eastAsia"/>
        </w:rPr>
        <w:t>即Aberration交易策略中参数N、K</w:t>
      </w:r>
      <w:r w:rsidR="005E79EA">
        <w:t>1</w:t>
      </w:r>
      <w:r w:rsidR="005E79EA">
        <w:rPr>
          <w:rFonts w:hint="eastAsia"/>
        </w:rPr>
        <w:t>、K</w:t>
      </w:r>
      <w:r w:rsidR="005E79EA">
        <w:t>2</w:t>
      </w:r>
      <w:r w:rsidR="005E79EA">
        <w:rPr>
          <w:rFonts w:hint="eastAsia"/>
        </w:rPr>
        <w:t>取值分别为4</w:t>
      </w:r>
      <w:r w:rsidR="005E79EA">
        <w:t>4</w:t>
      </w:r>
      <w:r w:rsidR="005E79EA">
        <w:rPr>
          <w:rFonts w:hint="eastAsia"/>
        </w:rPr>
        <w:t>、0</w:t>
      </w:r>
      <w:r w:rsidR="005E79EA">
        <w:t>.9</w:t>
      </w:r>
      <w:r w:rsidR="005E79EA">
        <w:rPr>
          <w:rFonts w:hint="eastAsia"/>
        </w:rPr>
        <w:t>、0</w:t>
      </w:r>
      <w:r w:rsidR="005E79EA">
        <w:t>.6</w:t>
      </w:r>
      <w:r w:rsidR="005E79EA">
        <w:rPr>
          <w:rFonts w:hint="eastAsia"/>
        </w:rPr>
        <w:t>，将此策略的收益</w:t>
      </w:r>
      <w:r w:rsidR="00677CA1">
        <w:rPr>
          <w:rFonts w:hint="eastAsia"/>
        </w:rPr>
        <w:t>即7</w:t>
      </w:r>
      <w:r w:rsidR="00677CA1">
        <w:t>92</w:t>
      </w:r>
      <w:r w:rsidR="005E79EA">
        <w:rPr>
          <w:rFonts w:hint="eastAsia"/>
        </w:rPr>
        <w:t>作为甲醇期货价格预测模型的收益。</w:t>
      </w:r>
      <w:r w:rsidR="00F10409">
        <w:rPr>
          <w:rFonts w:hint="eastAsia"/>
        </w:rPr>
        <w:t>以在交易过程中需要的最大本金作为</w:t>
      </w:r>
      <w:r w:rsidR="00A02F43">
        <w:rPr>
          <w:rFonts w:hint="eastAsia"/>
        </w:rPr>
        <w:t>本次交易</w:t>
      </w:r>
      <w:bookmarkStart w:id="0" w:name="_GoBack"/>
      <w:bookmarkEnd w:id="0"/>
      <w:r w:rsidR="00F10409">
        <w:rPr>
          <w:rFonts w:hint="eastAsia"/>
        </w:rPr>
        <w:t>的本金，为</w:t>
      </w:r>
      <w:r w:rsidR="005A6B46">
        <w:rPr>
          <w:rFonts w:hint="eastAsia"/>
        </w:rPr>
        <w:t>2</w:t>
      </w:r>
      <w:r w:rsidR="005A6B46">
        <w:t>306</w:t>
      </w:r>
      <w:r w:rsidR="005A6B46">
        <w:rPr>
          <w:rFonts w:hint="eastAsia"/>
        </w:rPr>
        <w:t>，因而此次长期交易的收益率为3</w:t>
      </w:r>
      <w:r w:rsidR="005A6B46">
        <w:t>4.35%</w:t>
      </w:r>
      <w:r w:rsidR="005A6B46">
        <w:rPr>
          <w:rFonts w:hint="eastAsia"/>
        </w:rPr>
        <w:t>，平均年收益率为</w:t>
      </w:r>
      <w:r w:rsidR="00C73159">
        <w:rPr>
          <w:rFonts w:hint="eastAsia"/>
        </w:rPr>
        <w:t>6</w:t>
      </w:r>
      <w:r w:rsidR="00C73159">
        <w:t>.87%</w:t>
      </w:r>
      <w:r w:rsidR="00CF3C51">
        <w:rPr>
          <w:rFonts w:hint="eastAsia"/>
        </w:rPr>
        <w:t>，高于同期的1</w:t>
      </w:r>
      <w:r w:rsidR="00CF3C51">
        <w:t>0</w:t>
      </w:r>
      <w:r w:rsidR="00CF3C51">
        <w:rPr>
          <w:rFonts w:hint="eastAsia"/>
        </w:rPr>
        <w:t>年期固定国债的利率3</w:t>
      </w:r>
      <w:r w:rsidR="00CF3C51">
        <w:t>.1%</w:t>
      </w:r>
      <w:r w:rsidR="00CF3C51">
        <w:rPr>
          <w:rFonts w:hint="eastAsia"/>
        </w:rPr>
        <w:t>一倍多。可以看出</w:t>
      </w:r>
      <w:r w:rsidR="00644A55">
        <w:rPr>
          <w:rFonts w:hint="eastAsia"/>
        </w:rPr>
        <w:t>，在结合本文提出的特定Aberration交易策略后，本文提出的期货价格预测模型具有很高的实用价值。</w:t>
      </w:r>
    </w:p>
    <w:sectPr w:rsidR="00372E9B" w:rsidSect="003511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6A"/>
    <w:rsid w:val="001A76CD"/>
    <w:rsid w:val="00351186"/>
    <w:rsid w:val="0036615E"/>
    <w:rsid w:val="00372E9B"/>
    <w:rsid w:val="004069D8"/>
    <w:rsid w:val="004166D7"/>
    <w:rsid w:val="005A6B46"/>
    <w:rsid w:val="005E79EA"/>
    <w:rsid w:val="0062301D"/>
    <w:rsid w:val="00644A55"/>
    <w:rsid w:val="00677CA1"/>
    <w:rsid w:val="006A3958"/>
    <w:rsid w:val="006F317E"/>
    <w:rsid w:val="00736AB9"/>
    <w:rsid w:val="007D3A19"/>
    <w:rsid w:val="0082523A"/>
    <w:rsid w:val="00A02F43"/>
    <w:rsid w:val="00A75BD1"/>
    <w:rsid w:val="00B8691B"/>
    <w:rsid w:val="00BA66DC"/>
    <w:rsid w:val="00BC161D"/>
    <w:rsid w:val="00C73159"/>
    <w:rsid w:val="00CF3C51"/>
    <w:rsid w:val="00E0446A"/>
    <w:rsid w:val="00E67A05"/>
    <w:rsid w:val="00F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4C14"/>
  <w15:chartTrackingRefBased/>
  <w15:docId w15:val="{4D0CA38E-92DB-5244-8D54-9A34B41C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2021-07-17T11:25:00Z</dcterms:created>
  <dcterms:modified xsi:type="dcterms:W3CDTF">2021-07-17T13:32:00Z</dcterms:modified>
</cp:coreProperties>
</file>