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F392" w14:textId="08B1C2A4" w:rsidR="00EF281D" w:rsidRPr="007D015E" w:rsidRDefault="007D015E" w:rsidP="007D015E">
      <w:pPr>
        <w:jc w:val="center"/>
        <w:rPr>
          <w:b/>
          <w:bCs/>
          <w:sz w:val="28"/>
          <w:szCs w:val="28"/>
        </w:rPr>
      </w:pPr>
      <w:r w:rsidRPr="007D015E">
        <w:rPr>
          <w:b/>
          <w:bCs/>
          <w:sz w:val="28"/>
          <w:szCs w:val="28"/>
        </w:rPr>
        <w:t>Explication d’installation du poste</w:t>
      </w:r>
    </w:p>
    <w:p w14:paraId="1D326F92" w14:textId="6A0A51D1" w:rsidR="007D015E" w:rsidRDefault="007D015E" w:rsidP="007D015E">
      <w:pPr>
        <w:jc w:val="center"/>
      </w:pPr>
    </w:p>
    <w:p w14:paraId="3C850B7C" w14:textId="3FBB2B0C" w:rsidR="007D015E" w:rsidRDefault="007D015E" w:rsidP="007D015E">
      <w:pPr>
        <w:jc w:val="both"/>
      </w:pPr>
      <w:r>
        <w:t>Pour notre projet, il y a différentes contraintes à respecter pour le lancement de celui-ci.</w:t>
      </w:r>
    </w:p>
    <w:p w14:paraId="5944F97B" w14:textId="0A6F340B" w:rsidR="007D015E" w:rsidRDefault="007D015E" w:rsidP="007D015E">
      <w:pPr>
        <w:jc w:val="both"/>
      </w:pPr>
      <w:r>
        <w:t>Tout d’abord, pour une question de sécurité, nous avons décidé de séparer le serveur banque et le serveur des différents magasins. Il sera donc nécessaire de lancer les 2 serveurs avant de pouvoir accéder aux interfaces clients.</w:t>
      </w:r>
    </w:p>
    <w:p w14:paraId="454D12BC" w14:textId="6688A16C" w:rsidR="00B20398" w:rsidRDefault="007D015E" w:rsidP="007D015E">
      <w:pPr>
        <w:jc w:val="both"/>
      </w:pPr>
      <w:r>
        <w:t xml:space="preserve">Il sera aussi nécessaire, pour notre affichage, de mettre JAVAFX dans les librairies de tous les clients et de toutes les banques. </w:t>
      </w:r>
      <w:r w:rsidR="00B20398">
        <w:t xml:space="preserve">Il sera nécessaire de télécharger le SDKJAVAFX 17 à cette adresse : </w:t>
      </w:r>
    </w:p>
    <w:p w14:paraId="2405DE53" w14:textId="5F826E9E" w:rsidR="007D015E" w:rsidRDefault="00045BA2" w:rsidP="007D015E">
      <w:pPr>
        <w:jc w:val="both"/>
      </w:pPr>
      <w:r w:rsidRPr="00B20398">
        <w:rPr>
          <w:noProof/>
        </w:rPr>
        <w:drawing>
          <wp:anchor distT="0" distB="0" distL="114300" distR="114300" simplePos="0" relativeHeight="251660288" behindDoc="0" locked="0" layoutInCell="1" allowOverlap="1" wp14:anchorId="2BE8E393" wp14:editId="567EB7C6">
            <wp:simplePos x="0" y="0"/>
            <wp:positionH relativeFrom="column">
              <wp:posOffset>-734695</wp:posOffset>
            </wp:positionH>
            <wp:positionV relativeFrom="paragraph">
              <wp:posOffset>232410</wp:posOffset>
            </wp:positionV>
            <wp:extent cx="5760720" cy="340995"/>
            <wp:effectExtent l="0" t="0" r="0" b="190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proofErr w:type="spellStart"/>
        <w:r w:rsidR="00B20398">
          <w:rPr>
            <w:rStyle w:val="Lienhypertexte"/>
          </w:rPr>
          <w:t>JavaFX</w:t>
        </w:r>
        <w:proofErr w:type="spellEnd"/>
        <w:r w:rsidR="00B20398">
          <w:rPr>
            <w:rStyle w:val="Lienhypertexte"/>
          </w:rPr>
          <w:t xml:space="preserve"> - Gluon (gluonhq.com)</w:t>
        </w:r>
      </w:hyperlink>
    </w:p>
    <w:p w14:paraId="29DA88B4" w14:textId="77777777" w:rsidR="00045BA2" w:rsidRDefault="00045BA2" w:rsidP="007D015E">
      <w:pPr>
        <w:jc w:val="both"/>
      </w:pPr>
    </w:p>
    <w:p w14:paraId="56C992C0" w14:textId="5AA55F86" w:rsidR="007D015E" w:rsidRDefault="002207D9" w:rsidP="007D015E">
      <w:pPr>
        <w:jc w:val="both"/>
      </w:pPr>
      <w:r w:rsidRPr="002207D9">
        <w:rPr>
          <w:noProof/>
        </w:rPr>
        <w:drawing>
          <wp:anchor distT="0" distB="0" distL="114300" distR="114300" simplePos="0" relativeHeight="251658240" behindDoc="1" locked="0" layoutInCell="1" allowOverlap="1" wp14:anchorId="2ABE2689" wp14:editId="7744DC93">
            <wp:simplePos x="0" y="0"/>
            <wp:positionH relativeFrom="column">
              <wp:posOffset>1195705</wp:posOffset>
            </wp:positionH>
            <wp:positionV relativeFrom="paragraph">
              <wp:posOffset>233045</wp:posOffset>
            </wp:positionV>
            <wp:extent cx="5373370" cy="4416425"/>
            <wp:effectExtent l="0" t="0" r="0" b="3175"/>
            <wp:wrapTopAndBottom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7D9">
        <w:rPr>
          <w:noProof/>
        </w:rPr>
        <w:drawing>
          <wp:anchor distT="0" distB="0" distL="114300" distR="114300" simplePos="0" relativeHeight="251659264" behindDoc="0" locked="0" layoutInCell="1" allowOverlap="1" wp14:anchorId="76713EC1" wp14:editId="43340277">
            <wp:simplePos x="0" y="0"/>
            <wp:positionH relativeFrom="column">
              <wp:posOffset>-822795</wp:posOffset>
            </wp:positionH>
            <wp:positionV relativeFrom="paragraph">
              <wp:posOffset>209088</wp:posOffset>
            </wp:positionV>
            <wp:extent cx="1927225" cy="3408045"/>
            <wp:effectExtent l="0" t="0" r="0" b="1905"/>
            <wp:wrapNone/>
            <wp:docPr id="1" name="Image 1" descr="Une image contenant texte, capture d’écran, extérieur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extérieur, tableau de points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15E">
        <w:t xml:space="preserve">Dans notre cas, nous avons travaillé sous l’environnement </w:t>
      </w:r>
      <w:proofErr w:type="spellStart"/>
      <w:r w:rsidR="007D015E">
        <w:t>IntelliJ</w:t>
      </w:r>
      <w:proofErr w:type="spellEnd"/>
    </w:p>
    <w:p w14:paraId="140C5D9C" w14:textId="27CEE2AC" w:rsidR="002207D9" w:rsidRDefault="002207D9" w:rsidP="007D015E">
      <w:pPr>
        <w:jc w:val="both"/>
      </w:pPr>
    </w:p>
    <w:p w14:paraId="500FD74A" w14:textId="3E7B3730" w:rsidR="002207D9" w:rsidRDefault="002207D9" w:rsidP="007D015E">
      <w:pPr>
        <w:jc w:val="both"/>
      </w:pPr>
      <w:r>
        <w:t>Il sera nécessaire de faire cette procédure pour tous les clients</w:t>
      </w:r>
      <w:r w:rsidR="009D27DA">
        <w:t xml:space="preserve"> et de bien mettre le dossier entier </w:t>
      </w:r>
      <w:r w:rsidR="009D27DA">
        <w:rPr>
          <w:b/>
          <w:bCs/>
        </w:rPr>
        <w:t>lib</w:t>
      </w:r>
      <w:r w:rsidR="009D27DA">
        <w:t xml:space="preserve"> du fichier </w:t>
      </w:r>
      <w:proofErr w:type="spellStart"/>
      <w:r w:rsidR="009D27DA">
        <w:t>javafx-sdk</w:t>
      </w:r>
      <w:proofErr w:type="spellEnd"/>
      <w:r>
        <w:t>.</w:t>
      </w:r>
    </w:p>
    <w:p w14:paraId="359C0AE8" w14:textId="672C44D0" w:rsidR="00E13F78" w:rsidRPr="00045BA2" w:rsidRDefault="002207D9" w:rsidP="007D015E">
      <w:pPr>
        <w:jc w:val="both"/>
        <w:rPr>
          <w:b/>
          <w:bCs/>
        </w:rPr>
      </w:pPr>
      <w:r>
        <w:t xml:space="preserve">Notre base de données est présente sur le réseau de l’IUT et sera aussi présente dans le fichier </w:t>
      </w:r>
      <w:r>
        <w:rPr>
          <w:b/>
          <w:bCs/>
        </w:rPr>
        <w:t>base de données</w:t>
      </w:r>
    </w:p>
    <w:sectPr w:rsidR="00E13F78" w:rsidRPr="00045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E"/>
    <w:rsid w:val="00045BA2"/>
    <w:rsid w:val="002207D9"/>
    <w:rsid w:val="007D015E"/>
    <w:rsid w:val="0092506C"/>
    <w:rsid w:val="009D27DA"/>
    <w:rsid w:val="00A94459"/>
    <w:rsid w:val="00B20398"/>
    <w:rsid w:val="00E13F78"/>
    <w:rsid w:val="00E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E65A"/>
  <w15:chartTrackingRefBased/>
  <w15:docId w15:val="{70489107-F690-4DAC-91DE-AF2F6D45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20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luonhq.com/products/javafx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dussaussois</dc:creator>
  <cp:keywords/>
  <dc:description/>
  <cp:lastModifiedBy>tom dussaussois</cp:lastModifiedBy>
  <cp:revision>4</cp:revision>
  <dcterms:created xsi:type="dcterms:W3CDTF">2022-03-24T19:41:00Z</dcterms:created>
  <dcterms:modified xsi:type="dcterms:W3CDTF">2022-03-25T13:01:00Z</dcterms:modified>
</cp:coreProperties>
</file>