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Projet Intégrateur de Troisième Année</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Historique des révisions</w:t>
      </w:r>
    </w:p>
    <w:p w:rsidR="00000000" w:rsidDel="00000000" w:rsidP="00000000" w:rsidRDefault="00000000" w:rsidRPr="00000000" w14:paraId="00000021">
      <w:pPr>
        <w:rPr>
          <w:i w:val="1"/>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2019-01-25</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diagramme ajouté (authentification)</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w:t>
            </w: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2019-01-26</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Diagramme général + diagramme général édition dessin</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w:t>
            </w: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2019-02-05</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 Section 2</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w:t>
            </w: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diagrammes de séquence</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Olivier</w:t>
            </w: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2019-02-07</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Section 7</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 Cousineau</w:t>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2019-02-08</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Revue finale</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Mylène, Tom, Olivier, Maxim</w:t>
            </w:r>
          </w:p>
        </w:tc>
      </w:tr>
      <w:tr>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2019-04-08</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Remise finale</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 Cousineau</w:t>
            </w:r>
          </w:p>
        </w:tc>
      </w:tr>
    </w:tbl>
    <w:p w:rsidR="00000000" w:rsidDel="00000000" w:rsidP="00000000" w:rsidRDefault="00000000" w:rsidRPr="00000000" w14:paraId="0000004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4">
      <w:pPr>
        <w:rPr>
          <w:i w:val="1"/>
          <w:color w:val="0000ff"/>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Objectifs et contraintes architecturaux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0"/>
              <w:sz w:val="22"/>
              <w:szCs w:val="22"/>
            </w:rPr>
          </w:pPr>
          <w:hyperlink w:anchor="_2nf74ztnudro">
            <w:r w:rsidDel="00000000" w:rsidR="00000000" w:rsidRPr="00000000">
              <w:rPr>
                <w:rFonts w:ascii="Calibri" w:cs="Calibri" w:eastAsia="Calibri" w:hAnsi="Calibri"/>
                <w:b w:val="1"/>
                <w:sz w:val="22"/>
                <w:szCs w:val="22"/>
                <w:rtl w:val="0"/>
              </w:rPr>
              <w:t xml:space="preserve">3. Vue des cas d’utilisation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_2nf74ztnudro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n4mxdam9i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Diagramme général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_tn4mxdam9i47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n577wf4m0l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Diagrammes des clients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_nn577wf4m0l0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2qjl3bemwn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Consulter les différentes galeries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_b2qjl3bemwn5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oqbv8xhyr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Éditer une zone de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_goqbv8xhyri9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9u86xw2l7d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Édition de 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_49u86xw2l7do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f8cvf7dk9k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3.2.2.2. Édition de formes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_tf8cvf7dk9kw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Vue logique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0"/>
              <w:sz w:val="22"/>
              <w:szCs w:val="22"/>
            </w:rPr>
          </w:pPr>
          <w:hyperlink w:anchor="_bmms181q6t3q">
            <w:r w:rsidDel="00000000" w:rsidR="00000000" w:rsidRPr="00000000">
              <w:rPr>
                <w:rFonts w:ascii="Calibri" w:cs="Calibri" w:eastAsia="Calibri" w:hAnsi="Calibri"/>
                <w:b w:val="1"/>
                <w:sz w:val="22"/>
                <w:szCs w:val="22"/>
                <w:rtl w:val="0"/>
              </w:rPr>
              <w:t xml:space="preserve">5. Vue des processus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_bmms181q6t3q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Calibri" w:cs="Calibri" w:eastAsia="Calibri" w:hAnsi="Calibri"/>
              <w:b w:val="0"/>
              <w:sz w:val="22"/>
              <w:szCs w:val="22"/>
            </w:rPr>
          </w:pPr>
          <w:hyperlink w:anchor="_p9ubc8schezp">
            <w:r w:rsidDel="00000000" w:rsidR="00000000" w:rsidRPr="00000000">
              <w:rPr>
                <w:rFonts w:ascii="Calibri" w:cs="Calibri" w:eastAsia="Calibri" w:hAnsi="Calibri"/>
                <w:b w:val="1"/>
                <w:sz w:val="22"/>
                <w:szCs w:val="22"/>
                <w:rtl w:val="0"/>
              </w:rPr>
              <w:t xml:space="preserve">6. Vue de déploiement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_p9ubc8schezp \h </w:instrText>
            <w:fldChar w:fldCharType="separate"/>
          </w:r>
          <w:r w:rsidDel="00000000" w:rsidR="00000000" w:rsidRPr="00000000">
            <w:rPr>
              <w:rFonts w:ascii="Calibri" w:cs="Calibri" w:eastAsia="Calibri" w:hAnsi="Calibri"/>
              <w:b w:val="1"/>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200" w:line="240" w:lineRule="auto"/>
            <w:ind w:left="0" w:firstLine="0"/>
            <w:rPr>
              <w:rFonts w:ascii="Calibri" w:cs="Calibri" w:eastAsia="Calibri" w:hAnsi="Calibri"/>
              <w:b w:val="0"/>
              <w:sz w:val="22"/>
              <w:szCs w:val="22"/>
            </w:rPr>
          </w:pPr>
          <w:hyperlink w:anchor="_j3ya1j348fmg">
            <w:r w:rsidDel="00000000" w:rsidR="00000000" w:rsidRPr="00000000">
              <w:rPr>
                <w:rFonts w:ascii="Calibri" w:cs="Calibri" w:eastAsia="Calibri" w:hAnsi="Calibri"/>
                <w:b w:val="1"/>
                <w:sz w:val="22"/>
                <w:szCs w:val="22"/>
                <w:rtl w:val="0"/>
              </w:rPr>
              <w:t xml:space="preserve">7. Taille et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_j3ya1j348fmg \h </w:instrText>
            <w:fldChar w:fldCharType="separate"/>
          </w:r>
          <w:r w:rsidDel="00000000" w:rsidR="00000000" w:rsidRPr="00000000">
            <w:rPr>
              <w:rFonts w:ascii="Calibri" w:cs="Calibri" w:eastAsia="Calibri" w:hAnsi="Calibri"/>
              <w:b w:val="1"/>
              <w:sz w:val="22"/>
              <w:szCs w:val="22"/>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Title"/>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54">
      <w:pPr>
        <w:ind w:left="720" w:firstLine="0"/>
        <w:rPr>
          <w:i w:val="1"/>
          <w:color w:val="0000ff"/>
        </w:rPr>
      </w:pPr>
      <w:r w:rsidDel="00000000" w:rsidR="00000000" w:rsidRPr="00000000">
        <w:rPr>
          <w:rtl w:val="0"/>
        </w:rPr>
      </w:r>
    </w:p>
    <w:p w:rsidR="00000000" w:rsidDel="00000000" w:rsidP="00000000" w:rsidRDefault="00000000" w:rsidRPr="00000000" w14:paraId="00000055">
      <w:pPr>
        <w:rPr>
          <w:i w:val="1"/>
          <w:color w:val="0000ff"/>
        </w:rPr>
      </w:pPr>
      <w:r w:rsidDel="00000000" w:rsidR="00000000" w:rsidRPr="00000000">
        <w:rPr>
          <w:rtl w:val="0"/>
        </w:rPr>
      </w:r>
    </w:p>
    <w:p w:rsidR="00000000" w:rsidDel="00000000" w:rsidP="00000000" w:rsidRDefault="00000000" w:rsidRPr="00000000" w14:paraId="00000056">
      <w:pPr>
        <w:ind w:left="720" w:firstLine="0"/>
        <w:rPr>
          <w:i w:val="1"/>
          <w:color w:val="0000ff"/>
        </w:rPr>
      </w:pPr>
      <w:r w:rsidDel="00000000" w:rsidR="00000000" w:rsidRPr="00000000">
        <w:rPr>
          <w:i w:val="1"/>
          <w:color w:val="0000ff"/>
          <w:rtl w:val="0"/>
        </w:rPr>
        <w:t xml:space="preserve"> </w:t>
      </w:r>
    </w:p>
    <w:p w:rsidR="00000000" w:rsidDel="00000000" w:rsidP="00000000" w:rsidRDefault="00000000" w:rsidRPr="00000000" w14:paraId="00000057">
      <w:pPr>
        <w:pStyle w:val="Heading1"/>
        <w:ind w:left="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58">
      <w:pPr>
        <w:ind w:left="0" w:firstLine="0"/>
        <w:rPr>
          <w:i w:val="1"/>
          <w:color w:val="0000ff"/>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Le document d’architecture logicielle présente la vision d’ensemble de la structure architecturale du projet PolyPaint et se base sur les exigences décrites dans le document SRS. Les diagrammes contenus dans cet artefact respecteront UML.</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Tout d’abord, nous décrirons les objectifs et les contraintes architecturales. Ensuite, nous présentons une vue d’ensemble des cas d’utilisation grâce à des diagrammes de cas d’utilisation.</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Pour ce qui est de la vue logique, nous allons utiliser des diagrammes de paquetage. Nous mentionnerons également les responsabilités associées à chaque paquetage.</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En ce qui concerne la vue des processus, nous illustrons les différentes interactions dans le système à l’aide de diagrammes de séquence.</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Quant à la vue de déploiement, elle décrira les configurations du matériel physique. </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Finalement, la section Taille et Performance décrit les caractéristiques de taille et de performance pouvant influencer l’architecture et le design du logiciel.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ind w:left="0"/>
        <w:rPr/>
      </w:pPr>
      <w:bookmarkStart w:colFirst="0" w:colLast="0" w:name="_30j0zll" w:id="1"/>
      <w:bookmarkEnd w:id="1"/>
      <w:r w:rsidDel="00000000" w:rsidR="00000000" w:rsidRPr="00000000">
        <w:rPr>
          <w:rtl w:val="0"/>
        </w:rPr>
        <w:t xml:space="preserve">2. Objectifs et contraintes architecturaux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 Outils de développement et langage de développement</w:t>
      </w:r>
    </w:p>
    <w:p w:rsidR="00000000" w:rsidDel="00000000" w:rsidP="00000000" w:rsidRDefault="00000000" w:rsidRPr="00000000" w14:paraId="00000069">
      <w:pPr>
        <w:ind w:firstLine="283.46456692913375"/>
        <w:rPr>
          <w:rFonts w:ascii="Arial" w:cs="Arial" w:eastAsia="Arial" w:hAnsi="Arial"/>
        </w:rPr>
      </w:pPr>
      <w:r w:rsidDel="00000000" w:rsidR="00000000" w:rsidRPr="00000000">
        <w:rPr>
          <w:rFonts w:ascii="Arial" w:cs="Arial" w:eastAsia="Arial" w:hAnsi="Arial"/>
          <w:rtl w:val="0"/>
        </w:rPr>
        <w:t xml:space="preserve">Pour le client lourd, le langage utilisé est C#/WPF.</w:t>
      </w:r>
    </w:p>
    <w:p w:rsidR="00000000" w:rsidDel="00000000" w:rsidP="00000000" w:rsidRDefault="00000000" w:rsidRPr="00000000" w14:paraId="0000006A">
      <w:pPr>
        <w:ind w:firstLine="283.46456692913375"/>
        <w:rPr>
          <w:rFonts w:ascii="Arial" w:cs="Arial" w:eastAsia="Arial" w:hAnsi="Arial"/>
        </w:rPr>
      </w:pPr>
      <w:r w:rsidDel="00000000" w:rsidR="00000000" w:rsidRPr="00000000">
        <w:rPr>
          <w:rFonts w:ascii="Arial" w:cs="Arial" w:eastAsia="Arial" w:hAnsi="Arial"/>
          <w:rtl w:val="0"/>
        </w:rPr>
        <w:t xml:space="preserve">Pour le client léger, le langage utilisé est Java.</w:t>
      </w:r>
    </w:p>
    <w:p w:rsidR="00000000" w:rsidDel="00000000" w:rsidP="00000000" w:rsidRDefault="00000000" w:rsidRPr="00000000" w14:paraId="0000006B">
      <w:pPr>
        <w:ind w:firstLine="283.46456692913375"/>
        <w:rPr>
          <w:rFonts w:ascii="Arial" w:cs="Arial" w:eastAsia="Arial" w:hAnsi="Arial"/>
        </w:rPr>
      </w:pPr>
      <w:r w:rsidDel="00000000" w:rsidR="00000000" w:rsidRPr="00000000">
        <w:rPr>
          <w:rFonts w:ascii="Arial" w:cs="Arial" w:eastAsia="Arial" w:hAnsi="Arial"/>
          <w:rtl w:val="0"/>
        </w:rPr>
        <w:t xml:space="preserve">Le serveur sera développé en Typescript sur le cadre logiciel de Node.js. Le serveur est hébergé sur Azure.</w:t>
      </w:r>
    </w:p>
    <w:p w:rsidR="00000000" w:rsidDel="00000000" w:rsidP="00000000" w:rsidRDefault="00000000" w:rsidRPr="00000000" w14:paraId="0000006C">
      <w:pPr>
        <w:ind w:firstLine="283.46456692913375"/>
        <w:rPr>
          <w:rFonts w:ascii="Arial" w:cs="Arial" w:eastAsia="Arial" w:hAnsi="Arial"/>
        </w:rPr>
      </w:pPr>
      <w:r w:rsidDel="00000000" w:rsidR="00000000" w:rsidRPr="00000000">
        <w:rPr>
          <w:rFonts w:ascii="Arial" w:cs="Arial" w:eastAsia="Arial" w:hAnsi="Arial"/>
          <w:rtl w:val="0"/>
        </w:rPr>
        <w:t xml:space="preserve">Le codage sera fait en anglais afin d’être consistant avec le reste du code.</w:t>
      </w:r>
      <w:r w:rsidDel="00000000" w:rsidR="00000000" w:rsidRPr="00000000">
        <w:rPr>
          <w:rtl w:val="0"/>
        </w:rPr>
      </w:r>
    </w:p>
    <w:p w:rsidR="00000000" w:rsidDel="00000000" w:rsidP="00000000" w:rsidRDefault="00000000" w:rsidRPr="00000000" w14:paraId="0000006D">
      <w:pPr>
        <w:spacing w:after="120" w:lineRule="auto"/>
        <w:rPr>
          <w:rFonts w:ascii="Arial" w:cs="Arial" w:eastAsia="Arial" w:hAnsi="Arial"/>
          <w:i w:val="1"/>
          <w:color w:val="0000ff"/>
        </w:rPr>
      </w:pPr>
      <w:bookmarkStart w:colFirst="0" w:colLast="0" w:name="_1fob9te" w:id="2"/>
      <w:bookmarkEnd w:id="2"/>
      <w:r w:rsidDel="00000000" w:rsidR="00000000" w:rsidRPr="00000000">
        <w:rPr>
          <w:rtl w:val="0"/>
        </w:rPr>
      </w:r>
    </w:p>
    <w:p w:rsidR="00000000" w:rsidDel="00000000" w:rsidP="00000000" w:rsidRDefault="00000000" w:rsidRPr="00000000" w14:paraId="0000006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 Sécurité et confidentialité</w:t>
      </w:r>
    </w:p>
    <w:p w:rsidR="00000000" w:rsidDel="00000000" w:rsidP="00000000" w:rsidRDefault="00000000" w:rsidRPr="00000000" w14:paraId="0000006F">
      <w:pPr>
        <w:ind w:firstLine="283.46456692913375"/>
        <w:rPr>
          <w:rFonts w:ascii="Arial" w:cs="Arial" w:eastAsia="Arial" w:hAnsi="Arial"/>
        </w:rPr>
      </w:pPr>
      <w:r w:rsidDel="00000000" w:rsidR="00000000" w:rsidRPr="00000000">
        <w:rPr>
          <w:rFonts w:ascii="Arial" w:cs="Arial" w:eastAsia="Arial" w:hAnsi="Arial"/>
          <w:rtl w:val="0"/>
        </w:rPr>
        <w:t xml:space="preserve">Le serveur doit pouvoir gérer un système de gestion d’utilisateur, en plus de pouvoir permettre à un utilisateur de récupérer un nouveau mot de passe au besoin. Il faut donc établir des protocoles pour sécuriser les informations de connexion entre le serveur, la base de données et les clients.</w:t>
      </w:r>
      <w:r w:rsidDel="00000000" w:rsidR="00000000" w:rsidRPr="00000000">
        <w:rPr>
          <w:rtl w:val="0"/>
        </w:rPr>
      </w:r>
    </w:p>
    <w:p w:rsidR="00000000" w:rsidDel="00000000" w:rsidP="00000000" w:rsidRDefault="00000000" w:rsidRPr="00000000" w14:paraId="00000070">
      <w:pPr>
        <w:ind w:firstLine="283.46456692913375"/>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2.3. Échéancier et coûts</w:t>
      </w:r>
    </w:p>
    <w:p w:rsidR="00000000" w:rsidDel="00000000" w:rsidP="00000000" w:rsidRDefault="00000000" w:rsidRPr="00000000" w14:paraId="00000072">
      <w:pPr>
        <w:ind w:firstLine="283.46456692913375"/>
        <w:rPr>
          <w:rFonts w:ascii="Arial" w:cs="Arial" w:eastAsia="Arial" w:hAnsi="Arial"/>
        </w:rPr>
      </w:pPr>
      <w:r w:rsidDel="00000000" w:rsidR="00000000" w:rsidRPr="00000000">
        <w:rPr>
          <w:rFonts w:ascii="Arial" w:cs="Arial" w:eastAsia="Arial" w:hAnsi="Arial"/>
          <w:rtl w:val="0"/>
        </w:rPr>
        <w:t xml:space="preserve">Pour le produit final, on prévoit 8 semaines de travail, où la quatrième semaine sera plus intensive et où la dernière est réservée aux tests. Dans les semaines normales, il y aura 6 développeurs qui travaillent environ 8 heures par semaine chacun. Il faut donc tenir compte des limites de temps disponible pour créer le produit lors de la conception afin de pouvoir le compléter dans les temps.</w:t>
      </w:r>
    </w:p>
    <w:p w:rsidR="00000000" w:rsidDel="00000000" w:rsidP="00000000" w:rsidRDefault="00000000" w:rsidRPr="00000000" w14:paraId="00000073">
      <w:pPr>
        <w:pStyle w:val="Heading1"/>
        <w:ind w:left="0"/>
        <w:rPr/>
      </w:pPr>
      <w:bookmarkStart w:colFirst="0" w:colLast="0" w:name="_sctmwkwwf93l" w:id="3"/>
      <w:bookmarkEnd w:id="3"/>
      <w:r w:rsidDel="00000000" w:rsidR="00000000" w:rsidRPr="00000000">
        <w:rPr>
          <w:rtl w:val="0"/>
        </w:rPr>
      </w:r>
    </w:p>
    <w:p w:rsidR="00000000" w:rsidDel="00000000" w:rsidP="00000000" w:rsidRDefault="00000000" w:rsidRPr="00000000" w14:paraId="00000074">
      <w:pPr>
        <w:pStyle w:val="Heading1"/>
        <w:ind w:left="0"/>
        <w:rPr/>
      </w:pPr>
      <w:bookmarkStart w:colFirst="0" w:colLast="0" w:name="_hvh83gxbczkr" w:id="4"/>
      <w:bookmarkEnd w:id="4"/>
      <w:r w:rsidDel="00000000" w:rsidR="00000000" w:rsidRPr="00000000">
        <w:rPr>
          <w:rtl w:val="0"/>
        </w:rPr>
      </w:r>
    </w:p>
    <w:p w:rsidR="00000000" w:rsidDel="00000000" w:rsidP="00000000" w:rsidRDefault="00000000" w:rsidRPr="00000000" w14:paraId="00000075">
      <w:pPr>
        <w:pStyle w:val="Heading1"/>
        <w:ind w:left="0"/>
        <w:rPr/>
      </w:pPr>
      <w:bookmarkStart w:colFirst="0" w:colLast="0" w:name="_2nf74ztnudro" w:id="5"/>
      <w:bookmarkEnd w:id="5"/>
      <w:r w:rsidDel="00000000" w:rsidR="00000000" w:rsidRPr="00000000">
        <w:rPr>
          <w:rtl w:val="0"/>
        </w:rPr>
        <w:t xml:space="preserve">3. Vue des cas d’utilisation</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78">
      <w:pPr>
        <w:pStyle w:val="Heading2"/>
        <w:keepLines w:val="1"/>
        <w:spacing w:after="120" w:lineRule="auto"/>
        <w:rPr/>
      </w:pPr>
      <w:bookmarkStart w:colFirst="0" w:colLast="0" w:name="_tn4mxdam9i47" w:id="6"/>
      <w:bookmarkEnd w:id="6"/>
      <w:r w:rsidDel="00000000" w:rsidR="00000000" w:rsidRPr="00000000">
        <w:rPr>
          <w:rtl w:val="0"/>
        </w:rPr>
        <w:t xml:space="preserve">3.1. Diagramme général</w:t>
      </w:r>
    </w:p>
    <w:p w:rsidR="00000000" w:rsidDel="00000000" w:rsidP="00000000" w:rsidRDefault="00000000" w:rsidRPr="00000000" w14:paraId="00000079">
      <w:pPr>
        <w:keepLines w:val="1"/>
        <w:spacing w:after="120" w:lineRule="auto"/>
        <w:rPr>
          <w:b w:val="1"/>
          <w:sz w:val="22"/>
          <w:szCs w:val="22"/>
        </w:rPr>
      </w:pPr>
      <w:r w:rsidDel="00000000" w:rsidR="00000000" w:rsidRPr="00000000">
        <w:rPr>
          <w:b w:val="1"/>
          <w:sz w:val="22"/>
          <w:szCs w:val="22"/>
        </w:rPr>
        <w:drawing>
          <wp:inline distB="114300" distT="114300" distL="114300" distR="114300">
            <wp:extent cx="5943600" cy="399842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99842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Lines w:val="1"/>
        <w:spacing w:after="120" w:lineRule="auto"/>
        <w:rPr/>
      </w:pPr>
      <w:r w:rsidDel="00000000" w:rsidR="00000000" w:rsidRPr="00000000">
        <w:rPr>
          <w:rtl w:val="0"/>
        </w:rPr>
        <w:t xml:space="preserve">Figure 1 : Diagramme de cas d’utilisation général</w:t>
      </w:r>
    </w:p>
    <w:p w:rsidR="00000000" w:rsidDel="00000000" w:rsidP="00000000" w:rsidRDefault="00000000" w:rsidRPr="00000000" w14:paraId="0000007B">
      <w:pPr>
        <w:pStyle w:val="Heading2"/>
        <w:keepLines w:val="1"/>
        <w:spacing w:after="120" w:line="276" w:lineRule="auto"/>
        <w:rPr/>
      </w:pPr>
      <w:bookmarkStart w:colFirst="0" w:colLast="0" w:name="_nn577wf4m0l0" w:id="7"/>
      <w:bookmarkEnd w:id="7"/>
      <w:r w:rsidDel="00000000" w:rsidR="00000000" w:rsidRPr="00000000">
        <w:rPr>
          <w:rtl w:val="0"/>
        </w:rPr>
        <w:t xml:space="preserve">3.2. Diagrammes des clients</w:t>
      </w:r>
    </w:p>
    <w:p w:rsidR="00000000" w:rsidDel="00000000" w:rsidP="00000000" w:rsidRDefault="00000000" w:rsidRPr="00000000" w14:paraId="0000007C">
      <w:pPr>
        <w:pStyle w:val="Heading3"/>
        <w:spacing w:line="276" w:lineRule="auto"/>
        <w:rPr>
          <w:i w:val="0"/>
        </w:rPr>
      </w:pPr>
      <w:bookmarkStart w:colFirst="0" w:colLast="0" w:name="_b2qjl3bemwn5" w:id="8"/>
      <w:bookmarkEnd w:id="8"/>
      <w:r w:rsidDel="00000000" w:rsidR="00000000" w:rsidRPr="00000000">
        <w:rPr>
          <w:i w:val="0"/>
          <w:rtl w:val="0"/>
        </w:rPr>
        <w:t xml:space="preserve">3.2.1. Consulter les différentes galeries</w:t>
      </w:r>
    </w:p>
    <w:p w:rsidR="00000000" w:rsidDel="00000000" w:rsidP="00000000" w:rsidRDefault="00000000" w:rsidRPr="00000000" w14:paraId="0000007D">
      <w:pPr>
        <w:rPr/>
      </w:pPr>
      <w:r w:rsidDel="00000000" w:rsidR="00000000" w:rsidRPr="00000000">
        <w:rPr/>
        <w:drawing>
          <wp:inline distB="114300" distT="114300" distL="114300" distR="114300">
            <wp:extent cx="5943600" cy="2899175"/>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89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E">
      <w:pPr>
        <w:keepLines w:val="1"/>
        <w:spacing w:after="120" w:lineRule="auto"/>
        <w:rPr/>
      </w:pPr>
      <w:r w:rsidDel="00000000" w:rsidR="00000000" w:rsidRPr="00000000">
        <w:rPr>
          <w:rtl w:val="0"/>
        </w:rPr>
        <w:t xml:space="preserve">Figure 2 : Diagramme de cas d’utilisation des galeries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i w:val="0"/>
        </w:rPr>
      </w:pPr>
      <w:bookmarkStart w:colFirst="0" w:colLast="0" w:name="_goqbv8xhyri9" w:id="9"/>
      <w:bookmarkEnd w:id="9"/>
      <w:r w:rsidDel="00000000" w:rsidR="00000000" w:rsidRPr="00000000">
        <w:rPr>
          <w:i w:val="0"/>
          <w:rtl w:val="0"/>
        </w:rPr>
        <w:t xml:space="preserve">3.2.2. Éditer une zone de dessin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15000" cy="2212258"/>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15000" cy="221225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Lines w:val="1"/>
        <w:spacing w:after="120" w:lineRule="auto"/>
        <w:rPr/>
      </w:pPr>
      <w:r w:rsidDel="00000000" w:rsidR="00000000" w:rsidRPr="00000000">
        <w:rPr>
          <w:rtl w:val="0"/>
        </w:rPr>
        <w:t xml:space="preserve">Figure 3 : Diagramme de cas d’utilisation de l’édition d’images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49u86xw2l7do" w:id="10"/>
      <w:bookmarkEnd w:id="10"/>
      <w:r w:rsidDel="00000000" w:rsidR="00000000" w:rsidRPr="00000000">
        <w:rPr>
          <w:rtl w:val="0"/>
        </w:rPr>
        <w:t xml:space="preserve">3.2.2.1. Édition de base</w:t>
      </w:r>
    </w:p>
    <w:p w:rsidR="00000000" w:rsidDel="00000000" w:rsidP="00000000" w:rsidRDefault="00000000" w:rsidRPr="00000000" w14:paraId="00000087">
      <w:pPr>
        <w:rPr/>
      </w:pPr>
      <w:r w:rsidDel="00000000" w:rsidR="00000000" w:rsidRPr="00000000">
        <w:rPr/>
        <w:drawing>
          <wp:inline distB="114300" distT="114300" distL="114300" distR="114300">
            <wp:extent cx="5943600" cy="7086600"/>
            <wp:effectExtent b="0" l="0" r="0" t="0"/>
            <wp:docPr id="16" name="image13.png"/>
            <a:graphic>
              <a:graphicData uri="http://schemas.openxmlformats.org/drawingml/2006/picture">
                <pic:pic>
                  <pic:nvPicPr>
                    <pic:cNvPr id="0" name="image13.png"/>
                    <pic:cNvPicPr preferRelativeResize="0"/>
                  </pic:nvPicPr>
                  <pic:blipFill>
                    <a:blip r:embed="rId15"/>
                    <a:srcRect b="0" l="22" r="22"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Lines w:val="1"/>
        <w:spacing w:after="120" w:lineRule="auto"/>
        <w:rPr/>
      </w:pPr>
      <w:r w:rsidDel="00000000" w:rsidR="00000000" w:rsidRPr="00000000">
        <w:rPr>
          <w:rtl w:val="0"/>
        </w:rPr>
        <w:t xml:space="preserve">Figure 4 : Diagramme de cas d’utilisation de l’édition des formes de base</w:t>
      </w:r>
    </w:p>
    <w:p w:rsidR="00000000" w:rsidDel="00000000" w:rsidP="00000000" w:rsidRDefault="00000000" w:rsidRPr="00000000" w14:paraId="00000089">
      <w:pPr>
        <w:pStyle w:val="Heading4"/>
        <w:rPr/>
      </w:pPr>
      <w:bookmarkStart w:colFirst="0" w:colLast="0" w:name="_mq59yd1o08mv" w:id="11"/>
      <w:bookmarkEnd w:id="11"/>
      <w:r w:rsidDel="00000000" w:rsidR="00000000" w:rsidRPr="00000000">
        <w:rPr>
          <w:rtl w:val="0"/>
        </w:rPr>
      </w:r>
    </w:p>
    <w:p w:rsidR="00000000" w:rsidDel="00000000" w:rsidP="00000000" w:rsidRDefault="00000000" w:rsidRPr="00000000" w14:paraId="0000008A">
      <w:pPr>
        <w:pStyle w:val="Heading4"/>
        <w:rPr/>
      </w:pPr>
      <w:bookmarkStart w:colFirst="0" w:colLast="0" w:name="_433b2f6jcchd" w:id="12"/>
      <w:bookmarkEnd w:id="12"/>
      <w:r w:rsidDel="00000000" w:rsidR="00000000" w:rsidRPr="00000000">
        <w:rPr>
          <w:rtl w:val="0"/>
        </w:rPr>
      </w:r>
    </w:p>
    <w:p w:rsidR="00000000" w:rsidDel="00000000" w:rsidP="00000000" w:rsidRDefault="00000000" w:rsidRPr="00000000" w14:paraId="0000008B">
      <w:pPr>
        <w:pStyle w:val="Heading4"/>
        <w:ind w:left="0" w:firstLine="0"/>
        <w:rPr>
          <w:rFonts w:ascii="Arial" w:cs="Arial" w:eastAsia="Arial" w:hAnsi="Arial"/>
        </w:rPr>
      </w:pPr>
      <w:bookmarkStart w:colFirst="0" w:colLast="0" w:name="_tf8cvf7dk9kw" w:id="13"/>
      <w:bookmarkEnd w:id="13"/>
      <w:r w:rsidDel="00000000" w:rsidR="00000000" w:rsidRPr="00000000">
        <w:rPr>
          <w:rtl w:val="0"/>
        </w:rPr>
        <w:t xml:space="preserve">3.2.2.2. Édition de formes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943600" cy="48260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Lines w:val="1"/>
        <w:spacing w:after="120" w:lineRule="auto"/>
        <w:rPr/>
      </w:pPr>
      <w:r w:rsidDel="00000000" w:rsidR="00000000" w:rsidRPr="00000000">
        <w:rPr>
          <w:rtl w:val="0"/>
        </w:rPr>
        <w:t xml:space="preserve">Figure 5 : Diagramme de cas d’utilisation de l’édition de formes collaborative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0"/>
          <w:color w:val="ff0000"/>
        </w:rPr>
      </w:pPr>
      <w:r w:rsidDel="00000000" w:rsidR="00000000" w:rsidRPr="00000000">
        <w:rPr>
          <w:i w:val="0"/>
          <w:rtl w:val="0"/>
        </w:rPr>
        <w:t xml:space="preserve">3.2.3. Clavarder avec d’autres utilisateurs</w:t>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2900363" cy="364404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00363" cy="364404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Lines w:val="1"/>
        <w:spacing w:after="120" w:lineRule="auto"/>
        <w:rPr/>
      </w:pPr>
      <w:r w:rsidDel="00000000" w:rsidR="00000000" w:rsidRPr="00000000">
        <w:rPr>
          <w:rtl w:val="0"/>
        </w:rPr>
        <w:t xml:space="preserve">Figure 6 : Diagramme de cas d’utilisation du clavardage</w:t>
      </w: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Fonts w:ascii="Arial" w:cs="Arial" w:eastAsia="Arial" w:hAnsi="Arial"/>
          <w:b w:val="1"/>
          <w:sz w:val="22"/>
          <w:szCs w:val="22"/>
          <w:rtl w:val="0"/>
        </w:rPr>
        <w:t xml:space="preserve">3.2.4. Diagramme de cas d’utilisation pour s’authentifier</w:t>
      </w:r>
      <w:r w:rsidDel="00000000" w:rsidR="00000000" w:rsidRPr="00000000">
        <w:rPr>
          <w:rtl w:val="0"/>
        </w:rPr>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b w:val="1"/>
          <w:sz w:val="22"/>
          <w:szCs w:val="22"/>
        </w:rPr>
        <w:drawing>
          <wp:inline distB="114300" distT="114300" distL="114300" distR="114300">
            <wp:extent cx="5143500" cy="4381500"/>
            <wp:effectExtent b="0" l="0" r="0" t="0"/>
            <wp:docPr id="11" name="image14.png"/>
            <a:graphic>
              <a:graphicData uri="http://schemas.openxmlformats.org/drawingml/2006/picture">
                <pic:pic>
                  <pic:nvPicPr>
                    <pic:cNvPr id="0" name="image14.png"/>
                    <pic:cNvPicPr preferRelativeResize="0"/>
                  </pic:nvPicPr>
                  <pic:blipFill>
                    <a:blip r:embed="rId18"/>
                    <a:srcRect b="925" l="0" r="0" t="925"/>
                    <a:stretch>
                      <a:fillRect/>
                    </a:stretch>
                  </pic:blipFill>
                  <pic:spPr>
                    <a:xfrm>
                      <a:off x="0" y="0"/>
                      <a:ext cx="51435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Lines w:val="1"/>
        <w:spacing w:after="120" w:lineRule="auto"/>
        <w:rPr>
          <w:b w:val="1"/>
          <w:sz w:val="22"/>
          <w:szCs w:val="22"/>
        </w:rPr>
      </w:pPr>
      <w:r w:rsidDel="00000000" w:rsidR="00000000" w:rsidRPr="00000000">
        <w:rPr>
          <w:rtl w:val="0"/>
        </w:rPr>
        <w:t xml:space="preserve">Figure 7 : Diagramme de cas d’utilisation de l’authentification</w:t>
      </w:r>
      <w:r w:rsidDel="00000000" w:rsidR="00000000" w:rsidRPr="00000000">
        <w:rPr>
          <w:rtl w:val="0"/>
        </w:rPr>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A9">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14"/>
      <w:bookmarkEnd w:id="14"/>
      <w:r w:rsidDel="00000000" w:rsidR="00000000" w:rsidRPr="00000000">
        <w:rPr>
          <w:rtl w:val="0"/>
        </w:rPr>
        <w:t xml:space="preserve">4. Vue logique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rtl w:val="0"/>
        </w:rPr>
        <w:t xml:space="preserve">Cette section présente un diagramme de paquetages pour le client et un diagramme de paquetages pour le serveur, et inclut une description pour chaque paquetage. </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 Diagramme de paquetage pour le client léger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943600" cy="41783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Lines w:val="1"/>
        <w:spacing w:after="120" w:lineRule="auto"/>
        <w:rPr/>
      </w:pPr>
      <w:r w:rsidDel="00000000" w:rsidR="00000000" w:rsidRPr="00000000">
        <w:rPr>
          <w:rtl w:val="0"/>
        </w:rPr>
        <w:t xml:space="preserve">Figure 8 : Diagramme de paquetages du client léger</w:t>
      </w: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F">
            <w:pPr>
              <w:rPr>
                <w:b w:val="1"/>
              </w:rPr>
            </w:pPr>
            <w:r w:rsidDel="00000000" w:rsidR="00000000" w:rsidRPr="00000000">
              <w:rPr>
                <w:b w:val="1"/>
                <w:rtl w:val="0"/>
              </w:rPr>
              <w:t xml:space="preserve">UI</w:t>
            </w:r>
          </w:p>
        </w:tc>
      </w:tr>
      <w:t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Ce paquetage gère l’affichage de l’application et capte les entrées de l’utilisateur. Chaque classe représente une page de l’application. Les classes de ce paquetage ne devront pas contenir de logique d’application.</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2">
            <w:pPr>
              <w:rPr>
                <w:b w:val="1"/>
              </w:rPr>
            </w:pPr>
            <w:r w:rsidDel="00000000" w:rsidR="00000000" w:rsidRPr="00000000">
              <w:rPr>
                <w:b w:val="1"/>
                <w:rtl w:val="0"/>
              </w:rPr>
              <w:t xml:space="preserve">Network</w:t>
            </w:r>
          </w:p>
        </w:tc>
      </w:tr>
      <w:tr>
        <w:tc>
          <w:tcPr/>
          <w:p w:rsidR="00000000" w:rsidDel="00000000" w:rsidP="00000000" w:rsidRDefault="00000000" w:rsidRPr="00000000" w14:paraId="000000B3">
            <w:pPr>
              <w:spacing w:after="120" w:lineRule="auto"/>
              <w:rPr>
                <w:rFonts w:ascii="Arial" w:cs="Arial" w:eastAsia="Arial" w:hAnsi="Arial"/>
              </w:rPr>
            </w:pPr>
            <w:r w:rsidDel="00000000" w:rsidR="00000000" w:rsidRPr="00000000">
              <w:rPr>
                <w:rFonts w:ascii="Arial" w:cs="Arial" w:eastAsia="Arial" w:hAnsi="Arial"/>
                <w:rtl w:val="0"/>
              </w:rPr>
              <w:t xml:space="preserve">Gère les communications avec le serveur par l’intermède de la technologie socket et de requêtes HTTP. Les fonctionnalités qui nécessitent une communication au serveur feront usage de la classe NetworkManager pour assurer cette communication.</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5">
            <w:pPr>
              <w:rPr>
                <w:b w:val="1"/>
              </w:rPr>
            </w:pPr>
            <w:r w:rsidDel="00000000" w:rsidR="00000000" w:rsidRPr="00000000">
              <w:rPr>
                <w:b w:val="1"/>
                <w:rtl w:val="0"/>
              </w:rPr>
              <w:t xml:space="preserve">Image</w:t>
            </w:r>
          </w:p>
        </w:tc>
      </w:tr>
      <w:tr>
        <w:tc>
          <w:tcPr/>
          <w:p w:rsidR="00000000" w:rsidDel="00000000" w:rsidP="00000000" w:rsidRDefault="00000000" w:rsidRPr="00000000" w14:paraId="000000B6">
            <w:pPr>
              <w:spacing w:after="120" w:lineRule="auto"/>
              <w:rPr>
                <w:rFonts w:ascii="Arial" w:cs="Arial" w:eastAsia="Arial" w:hAnsi="Arial"/>
              </w:rPr>
            </w:pPr>
            <w:r w:rsidDel="00000000" w:rsidR="00000000" w:rsidRPr="00000000">
              <w:rPr>
                <w:rFonts w:ascii="Arial" w:cs="Arial" w:eastAsia="Arial" w:hAnsi="Arial"/>
                <w:rtl w:val="0"/>
              </w:rPr>
              <w:t xml:space="preserve">Gère les données d’images, incluant l’édition d’image et l’exportation du canvas.</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8">
            <w:pPr>
              <w:rPr>
                <w:b w:val="1"/>
              </w:rPr>
            </w:pPr>
            <w:r w:rsidDel="00000000" w:rsidR="00000000" w:rsidRPr="00000000">
              <w:rPr>
                <w:b w:val="1"/>
                <w:rtl w:val="0"/>
              </w:rPr>
              <w:t xml:space="preserve">Gallery</w:t>
            </w:r>
          </w:p>
        </w:tc>
      </w:tr>
      <w:tr>
        <w:tc>
          <w:tcPr/>
          <w:p w:rsidR="00000000" w:rsidDel="00000000" w:rsidP="00000000" w:rsidRDefault="00000000" w:rsidRPr="00000000" w14:paraId="000000B9">
            <w:pPr>
              <w:spacing w:after="120" w:lineRule="auto"/>
              <w:rPr>
                <w:rFonts w:ascii="Arial" w:cs="Arial" w:eastAsia="Arial" w:hAnsi="Arial"/>
              </w:rPr>
            </w:pPr>
            <w:r w:rsidDel="00000000" w:rsidR="00000000" w:rsidRPr="00000000">
              <w:rPr>
                <w:rFonts w:ascii="Arial" w:cs="Arial" w:eastAsia="Arial" w:hAnsi="Arial"/>
                <w:rtl w:val="0"/>
              </w:rPr>
              <w:t xml:space="preserve">Gère la galerie publique et les galeries privées, ainsi que la recherche et le tri de celles-ci.</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B">
            <w:pPr>
              <w:rPr>
                <w:b w:val="1"/>
              </w:rPr>
            </w:pPr>
            <w:r w:rsidDel="00000000" w:rsidR="00000000" w:rsidRPr="00000000">
              <w:rPr>
                <w:b w:val="1"/>
                <w:rtl w:val="0"/>
              </w:rPr>
              <w:t xml:space="preserve"> CanvasElement</w:t>
            </w:r>
          </w:p>
        </w:tc>
      </w:tr>
      <w:tr>
        <w:tc>
          <w:tcPr/>
          <w:p w:rsidR="00000000" w:rsidDel="00000000" w:rsidP="00000000" w:rsidRDefault="00000000" w:rsidRPr="00000000" w14:paraId="000000BC">
            <w:pPr>
              <w:spacing w:after="120" w:lineRule="auto"/>
              <w:rPr>
                <w:rFonts w:ascii="Arial" w:cs="Arial" w:eastAsia="Arial" w:hAnsi="Arial"/>
              </w:rPr>
            </w:pPr>
            <w:r w:rsidDel="00000000" w:rsidR="00000000" w:rsidRPr="00000000">
              <w:rPr>
                <w:rFonts w:ascii="Arial" w:cs="Arial" w:eastAsia="Arial" w:hAnsi="Arial"/>
                <w:rtl w:val="0"/>
              </w:rPr>
              <w:t xml:space="preserve">Contient les différents types d’éléments d’image pouvant être affichées sur le canvas, soit les formes, les connecteurs et les éléments de texte flottant.</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E">
            <w:pPr>
              <w:rPr>
                <w:b w:val="1"/>
              </w:rPr>
            </w:pPr>
            <w:r w:rsidDel="00000000" w:rsidR="00000000" w:rsidRPr="00000000">
              <w:rPr>
                <w:b w:val="1"/>
                <w:rtl w:val="0"/>
              </w:rPr>
              <w:t xml:space="preserve">User</w:t>
            </w:r>
          </w:p>
        </w:tc>
      </w:tr>
      <w:tr>
        <w:tc>
          <w:tcPr/>
          <w:p w:rsidR="00000000" w:rsidDel="00000000" w:rsidP="00000000" w:rsidRDefault="00000000" w:rsidRPr="00000000" w14:paraId="000000BF">
            <w:pPr>
              <w:spacing w:after="120" w:lineRule="auto"/>
              <w:rPr>
                <w:rFonts w:ascii="Arial" w:cs="Arial" w:eastAsia="Arial" w:hAnsi="Arial"/>
              </w:rPr>
            </w:pPr>
            <w:r w:rsidDel="00000000" w:rsidR="00000000" w:rsidRPr="00000000">
              <w:rPr>
                <w:rFonts w:ascii="Arial" w:cs="Arial" w:eastAsia="Arial" w:hAnsi="Arial"/>
                <w:rtl w:val="0"/>
              </w:rPr>
              <w:t xml:space="preserve">Gère les données de l’utilisateur ainsi que les listes d’utilisateurs.</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1">
            <w:pPr>
              <w:rPr>
                <w:b w:val="1"/>
              </w:rPr>
            </w:pPr>
            <w:r w:rsidDel="00000000" w:rsidR="00000000" w:rsidRPr="00000000">
              <w:rPr>
                <w:b w:val="1"/>
                <w:rtl w:val="0"/>
              </w:rPr>
              <w:t xml:space="preserve">Chat</w:t>
            </w:r>
          </w:p>
        </w:tc>
      </w:tr>
      <w:tr>
        <w:tc>
          <w:tcPr/>
          <w:p w:rsidR="00000000" w:rsidDel="00000000" w:rsidP="00000000" w:rsidRDefault="00000000" w:rsidRPr="00000000" w14:paraId="000000C2">
            <w:pPr>
              <w:spacing w:after="120" w:lineRule="auto"/>
              <w:rPr>
                <w:rFonts w:ascii="Arial" w:cs="Arial" w:eastAsia="Arial" w:hAnsi="Arial"/>
              </w:rPr>
            </w:pPr>
            <w:r w:rsidDel="00000000" w:rsidR="00000000" w:rsidRPr="00000000">
              <w:rPr>
                <w:rFonts w:ascii="Arial" w:cs="Arial" w:eastAsia="Arial" w:hAnsi="Arial"/>
                <w:rtl w:val="0"/>
              </w:rPr>
              <w:t xml:space="preserve">Gère les fonctionnalités de clavardage.</w:t>
            </w:r>
            <w:r w:rsidDel="00000000" w:rsidR="00000000" w:rsidRPr="00000000">
              <w:rPr>
                <w:rtl w:val="0"/>
              </w:rPr>
            </w:r>
          </w:p>
        </w:tc>
      </w:tr>
    </w:tbl>
    <w:p w:rsidR="00000000" w:rsidDel="00000000" w:rsidP="00000000" w:rsidRDefault="00000000" w:rsidRPr="00000000" w14:paraId="000000C3">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4">
      <w:pPr>
        <w:spacing w:after="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 Diagramme de paquetage pour le client lourd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4178300"/>
            <wp:effectExtent b="0" l="0" r="0" t="0"/>
            <wp:docPr id="1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Lines w:val="1"/>
        <w:spacing w:after="120" w:lineRule="auto"/>
        <w:rPr/>
      </w:pPr>
      <w:r w:rsidDel="00000000" w:rsidR="00000000" w:rsidRPr="00000000">
        <w:rPr>
          <w:rtl w:val="0"/>
        </w:rPr>
        <w:t xml:space="preserve">Figure 9 : Diagramme de paquetages du client lourd</w:t>
      </w:r>
      <w:r w:rsidDel="00000000" w:rsidR="00000000" w:rsidRPr="00000000">
        <w:br w:type="page"/>
      </w:r>
      <w:r w:rsidDel="00000000" w:rsidR="00000000" w:rsidRPr="00000000">
        <w:rPr>
          <w:rtl w:val="0"/>
        </w:rPr>
      </w:r>
    </w:p>
    <w:p w:rsidR="00000000" w:rsidDel="00000000" w:rsidP="00000000" w:rsidRDefault="00000000" w:rsidRPr="00000000" w14:paraId="000000C8">
      <w:pPr>
        <w:keepLines w:val="1"/>
        <w:spacing w:after="120" w:lineRule="auto"/>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9">
            <w:pPr>
              <w:rPr>
                <w:b w:val="1"/>
              </w:rPr>
            </w:pPr>
            <w:r w:rsidDel="00000000" w:rsidR="00000000" w:rsidRPr="00000000">
              <w:rPr>
                <w:b w:val="1"/>
                <w:rtl w:val="0"/>
              </w:rPr>
              <w:t xml:space="preserve">UI</w:t>
            </w:r>
          </w:p>
        </w:tc>
      </w:tr>
      <w:tr>
        <w:tc>
          <w:tcPr/>
          <w:p w:rsidR="00000000" w:rsidDel="00000000" w:rsidP="00000000" w:rsidRDefault="00000000" w:rsidRPr="00000000" w14:paraId="000000CA">
            <w:pPr>
              <w:spacing w:after="120" w:lineRule="auto"/>
              <w:rPr>
                <w:rFonts w:ascii="Arial" w:cs="Arial" w:eastAsia="Arial" w:hAnsi="Arial"/>
              </w:rPr>
            </w:pPr>
            <w:r w:rsidDel="00000000" w:rsidR="00000000" w:rsidRPr="00000000">
              <w:rPr>
                <w:rFonts w:ascii="Arial" w:cs="Arial" w:eastAsia="Arial" w:hAnsi="Arial"/>
                <w:rtl w:val="0"/>
              </w:rPr>
              <w:t xml:space="preserve">Ce paquetage gère l’affichage de l’application et capte les entrées de l’utilisateur. Chaque classe représente une page de l’application. Les classes de ce paquetage ne devront pas contenir de logique d’application.</w:t>
            </w:r>
          </w:p>
        </w:tc>
      </w:tr>
    </w:tbl>
    <w:p w:rsidR="00000000" w:rsidDel="00000000" w:rsidP="00000000" w:rsidRDefault="00000000" w:rsidRPr="00000000" w14:paraId="000000CB">
      <w:pPr>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C">
            <w:pPr>
              <w:rPr>
                <w:b w:val="1"/>
              </w:rPr>
            </w:pPr>
            <w:r w:rsidDel="00000000" w:rsidR="00000000" w:rsidRPr="00000000">
              <w:rPr>
                <w:b w:val="1"/>
                <w:rtl w:val="0"/>
              </w:rPr>
              <w:t xml:space="preserve">Network</w:t>
            </w:r>
          </w:p>
        </w:tc>
      </w:tr>
      <w:tr>
        <w:tc>
          <w:tcPr/>
          <w:p w:rsidR="00000000" w:rsidDel="00000000" w:rsidP="00000000" w:rsidRDefault="00000000" w:rsidRPr="00000000" w14:paraId="000000CD">
            <w:pPr>
              <w:spacing w:after="120" w:lineRule="auto"/>
              <w:rPr>
                <w:rFonts w:ascii="Arial" w:cs="Arial" w:eastAsia="Arial" w:hAnsi="Arial"/>
              </w:rPr>
            </w:pPr>
            <w:r w:rsidDel="00000000" w:rsidR="00000000" w:rsidRPr="00000000">
              <w:rPr>
                <w:rFonts w:ascii="Arial" w:cs="Arial" w:eastAsia="Arial" w:hAnsi="Arial"/>
                <w:rtl w:val="0"/>
              </w:rPr>
              <w:t xml:space="preserve">Gère les communications avec le serveur par l’intermède de la technologie socket et de requêtes HTTP. Les fonctionnalités qui nécessitent une communication au serveur feront usage de la classe NetworkManager pour assurer cette communication.</w:t>
            </w:r>
          </w:p>
        </w:tc>
      </w:tr>
    </w:tbl>
    <w:p w:rsidR="00000000" w:rsidDel="00000000" w:rsidP="00000000" w:rsidRDefault="00000000" w:rsidRPr="00000000" w14:paraId="000000CE">
      <w:pPr>
        <w:rPr/>
      </w:pP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F">
            <w:pPr>
              <w:rPr>
                <w:b w:val="1"/>
              </w:rPr>
            </w:pPr>
            <w:r w:rsidDel="00000000" w:rsidR="00000000" w:rsidRPr="00000000">
              <w:rPr>
                <w:b w:val="1"/>
                <w:rtl w:val="0"/>
              </w:rPr>
              <w:t xml:space="preserve">Image</w:t>
            </w:r>
          </w:p>
        </w:tc>
      </w:tr>
      <w:tr>
        <w:tc>
          <w:tcPr/>
          <w:p w:rsidR="00000000" w:rsidDel="00000000" w:rsidP="00000000" w:rsidRDefault="00000000" w:rsidRPr="00000000" w14:paraId="000000D0">
            <w:pPr>
              <w:spacing w:after="120" w:lineRule="auto"/>
              <w:rPr>
                <w:rFonts w:ascii="Arial" w:cs="Arial" w:eastAsia="Arial" w:hAnsi="Arial"/>
              </w:rPr>
            </w:pPr>
            <w:r w:rsidDel="00000000" w:rsidR="00000000" w:rsidRPr="00000000">
              <w:rPr>
                <w:rFonts w:ascii="Arial" w:cs="Arial" w:eastAsia="Arial" w:hAnsi="Arial"/>
                <w:rtl w:val="0"/>
              </w:rPr>
              <w:t xml:space="preserve">Gère les données d’images, incluant l’édition d’image et l’exportation du canvas.</w:t>
            </w:r>
          </w:p>
        </w:tc>
      </w:tr>
    </w:tbl>
    <w:p w:rsidR="00000000" w:rsidDel="00000000" w:rsidP="00000000" w:rsidRDefault="00000000" w:rsidRPr="00000000" w14:paraId="000000D1">
      <w:pPr>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2">
            <w:pPr>
              <w:rPr>
                <w:b w:val="1"/>
              </w:rPr>
            </w:pPr>
            <w:r w:rsidDel="00000000" w:rsidR="00000000" w:rsidRPr="00000000">
              <w:rPr>
                <w:b w:val="1"/>
                <w:rtl w:val="0"/>
              </w:rPr>
              <w:t xml:space="preserve">Gallery</w:t>
            </w:r>
          </w:p>
        </w:tc>
      </w:tr>
      <w:tr>
        <w:tc>
          <w:tcPr/>
          <w:p w:rsidR="00000000" w:rsidDel="00000000" w:rsidP="00000000" w:rsidRDefault="00000000" w:rsidRPr="00000000" w14:paraId="000000D3">
            <w:pPr>
              <w:spacing w:after="120" w:lineRule="auto"/>
              <w:rPr>
                <w:rFonts w:ascii="Arial" w:cs="Arial" w:eastAsia="Arial" w:hAnsi="Arial"/>
              </w:rPr>
            </w:pPr>
            <w:r w:rsidDel="00000000" w:rsidR="00000000" w:rsidRPr="00000000">
              <w:rPr>
                <w:rFonts w:ascii="Arial" w:cs="Arial" w:eastAsia="Arial" w:hAnsi="Arial"/>
                <w:rtl w:val="0"/>
              </w:rPr>
              <w:t xml:space="preserve">Gère la galerie publique et les galeries privées, ainsi que la recherche et le tri de celles-ci.</w:t>
            </w:r>
          </w:p>
        </w:tc>
      </w:tr>
    </w:tbl>
    <w:p w:rsidR="00000000" w:rsidDel="00000000" w:rsidP="00000000" w:rsidRDefault="00000000" w:rsidRPr="00000000" w14:paraId="000000D4">
      <w:pPr>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5">
            <w:pPr>
              <w:rPr>
                <w:b w:val="1"/>
              </w:rPr>
            </w:pPr>
            <w:r w:rsidDel="00000000" w:rsidR="00000000" w:rsidRPr="00000000">
              <w:rPr>
                <w:b w:val="1"/>
                <w:rtl w:val="0"/>
              </w:rPr>
              <w:t xml:space="preserve"> CanvasElement</w:t>
            </w:r>
          </w:p>
        </w:tc>
      </w:tr>
      <w:tr>
        <w:tc>
          <w:tcPr/>
          <w:p w:rsidR="00000000" w:rsidDel="00000000" w:rsidP="00000000" w:rsidRDefault="00000000" w:rsidRPr="00000000" w14:paraId="000000D6">
            <w:pPr>
              <w:spacing w:after="120" w:lineRule="auto"/>
              <w:rPr>
                <w:rFonts w:ascii="Arial" w:cs="Arial" w:eastAsia="Arial" w:hAnsi="Arial"/>
              </w:rPr>
            </w:pPr>
            <w:r w:rsidDel="00000000" w:rsidR="00000000" w:rsidRPr="00000000">
              <w:rPr>
                <w:rFonts w:ascii="Arial" w:cs="Arial" w:eastAsia="Arial" w:hAnsi="Arial"/>
                <w:rtl w:val="0"/>
              </w:rPr>
              <w:t xml:space="preserve">Contient les différents types d’éléments d’image pouvant être affichées sur le canvas, soit les formes, les connecteurs et les éléments de texte flottant.</w:t>
            </w:r>
          </w:p>
        </w:tc>
      </w:tr>
    </w:tbl>
    <w:p w:rsidR="00000000" w:rsidDel="00000000" w:rsidP="00000000" w:rsidRDefault="00000000" w:rsidRPr="00000000" w14:paraId="000000D7">
      <w:pPr>
        <w:rPr/>
      </w:pPr>
      <w:r w:rsidDel="00000000" w:rsidR="00000000" w:rsidRPr="00000000">
        <w:rPr>
          <w:rtl w:val="0"/>
        </w:rPr>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8">
            <w:pPr>
              <w:rPr>
                <w:b w:val="1"/>
              </w:rPr>
            </w:pPr>
            <w:r w:rsidDel="00000000" w:rsidR="00000000" w:rsidRPr="00000000">
              <w:rPr>
                <w:b w:val="1"/>
                <w:rtl w:val="0"/>
              </w:rPr>
              <w:t xml:space="preserve">User</w:t>
            </w:r>
          </w:p>
        </w:tc>
      </w:tr>
      <w:tr>
        <w:tc>
          <w:tcPr/>
          <w:p w:rsidR="00000000" w:rsidDel="00000000" w:rsidP="00000000" w:rsidRDefault="00000000" w:rsidRPr="00000000" w14:paraId="000000D9">
            <w:pPr>
              <w:spacing w:after="120" w:lineRule="auto"/>
              <w:rPr>
                <w:rFonts w:ascii="Arial" w:cs="Arial" w:eastAsia="Arial" w:hAnsi="Arial"/>
              </w:rPr>
            </w:pPr>
            <w:r w:rsidDel="00000000" w:rsidR="00000000" w:rsidRPr="00000000">
              <w:rPr>
                <w:rFonts w:ascii="Arial" w:cs="Arial" w:eastAsia="Arial" w:hAnsi="Arial"/>
                <w:rtl w:val="0"/>
              </w:rPr>
              <w:t xml:space="preserve">Gère les données de l’utilisateur ainsi que les listes d’utilisateurs.</w:t>
            </w:r>
          </w:p>
        </w:tc>
      </w:tr>
    </w:tbl>
    <w:p w:rsidR="00000000" w:rsidDel="00000000" w:rsidP="00000000" w:rsidRDefault="00000000" w:rsidRPr="00000000" w14:paraId="000000DA">
      <w:pPr>
        <w:rPr/>
      </w:pPr>
      <w:r w:rsidDel="00000000" w:rsidR="00000000" w:rsidRPr="00000000">
        <w:rPr>
          <w:rtl w:val="0"/>
        </w:rPr>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B">
            <w:pPr>
              <w:rPr>
                <w:b w:val="1"/>
              </w:rPr>
            </w:pPr>
            <w:r w:rsidDel="00000000" w:rsidR="00000000" w:rsidRPr="00000000">
              <w:rPr>
                <w:b w:val="1"/>
                <w:rtl w:val="0"/>
              </w:rPr>
              <w:t xml:space="preserve">Chat</w:t>
            </w:r>
          </w:p>
        </w:tc>
      </w:tr>
      <w:tr>
        <w:tc>
          <w:tcPr/>
          <w:p w:rsidR="00000000" w:rsidDel="00000000" w:rsidP="00000000" w:rsidRDefault="00000000" w:rsidRPr="00000000" w14:paraId="000000DC">
            <w:pPr>
              <w:spacing w:after="120" w:lineRule="auto"/>
              <w:rPr>
                <w:rFonts w:ascii="Arial" w:cs="Arial" w:eastAsia="Arial" w:hAnsi="Arial"/>
              </w:rPr>
            </w:pPr>
            <w:r w:rsidDel="00000000" w:rsidR="00000000" w:rsidRPr="00000000">
              <w:rPr>
                <w:rFonts w:ascii="Arial" w:cs="Arial" w:eastAsia="Arial" w:hAnsi="Arial"/>
                <w:rtl w:val="0"/>
              </w:rPr>
              <w:t xml:space="preserve">Gère les fonctionnalités de clavardage.</w:t>
            </w:r>
          </w:p>
        </w:tc>
      </w:tr>
    </w:tbl>
    <w:p w:rsidR="00000000" w:rsidDel="00000000" w:rsidP="00000000" w:rsidRDefault="00000000" w:rsidRPr="00000000" w14:paraId="000000DD">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E">
      <w:pPr>
        <w:jc w:val="left"/>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F">
      <w:pPr>
        <w:jc w:val="left"/>
        <w:rPr>
          <w:b w:val="1"/>
          <w:sz w:val="22"/>
          <w:szCs w:val="22"/>
        </w:rPr>
      </w:pPr>
      <w:r w:rsidDel="00000000" w:rsidR="00000000" w:rsidRPr="00000000">
        <w:rPr>
          <w:rFonts w:ascii="Arial" w:cs="Arial" w:eastAsia="Arial" w:hAnsi="Arial"/>
          <w:b w:val="1"/>
          <w:sz w:val="22"/>
          <w:szCs w:val="22"/>
          <w:rtl w:val="0"/>
        </w:rPr>
        <w:t xml:space="preserve">4.3. Diagramme de paquetage pour le serveur</w:t>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943600" cy="5181600"/>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Lines w:val="1"/>
        <w:spacing w:after="120" w:lineRule="auto"/>
        <w:rPr/>
      </w:pPr>
      <w:r w:rsidDel="00000000" w:rsidR="00000000" w:rsidRPr="00000000">
        <w:rPr>
          <w:rtl w:val="0"/>
        </w:rPr>
        <w:t xml:space="preserve">Figure 10 : Diagramme de paquetages du client serveur</w:t>
      </w:r>
    </w:p>
    <w:tbl>
      <w:tblPr>
        <w:tblStyle w:val="Table1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Core</w:t>
            </w:r>
          </w:p>
        </w:tc>
      </w:tr>
      <w:tr>
        <w:tc>
          <w:tcPr/>
          <w:p w:rsidR="00000000" w:rsidDel="00000000" w:rsidP="00000000" w:rsidRDefault="00000000" w:rsidRPr="00000000" w14:paraId="000000E3">
            <w:pPr>
              <w:spacing w:after="120" w:lineRule="auto"/>
              <w:rPr>
                <w:rFonts w:ascii="Arial" w:cs="Arial" w:eastAsia="Arial" w:hAnsi="Arial"/>
              </w:rPr>
            </w:pPr>
            <w:r w:rsidDel="00000000" w:rsidR="00000000" w:rsidRPr="00000000">
              <w:rPr>
                <w:rFonts w:ascii="Arial" w:cs="Arial" w:eastAsia="Arial" w:hAnsi="Arial"/>
                <w:rtl w:val="0"/>
              </w:rPr>
              <w:t xml:space="preserve">Assure le roulement de l’application.</w:t>
            </w:r>
          </w:p>
        </w:tc>
      </w:tr>
    </w:tbl>
    <w:p w:rsidR="00000000" w:rsidDel="00000000" w:rsidP="00000000" w:rsidRDefault="00000000" w:rsidRPr="00000000" w14:paraId="000000E4">
      <w:pPr>
        <w:rPr>
          <w:rFonts w:ascii="Arial" w:cs="Arial" w:eastAsia="Arial" w:hAnsi="Arial"/>
        </w:rPr>
      </w:pPr>
      <w:r w:rsidDel="00000000" w:rsidR="00000000" w:rsidRPr="00000000">
        <w:rPr>
          <w:rtl w:val="0"/>
        </w:rPr>
      </w:r>
    </w:p>
    <w:tbl>
      <w:tblPr>
        <w:tblStyle w:val="Table1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Database</w:t>
            </w:r>
          </w:p>
        </w:tc>
      </w:tr>
      <w:tr>
        <w:tc>
          <w:tcPr/>
          <w:p w:rsidR="00000000" w:rsidDel="00000000" w:rsidP="00000000" w:rsidRDefault="00000000" w:rsidRPr="00000000" w14:paraId="000000E6">
            <w:pPr>
              <w:spacing w:after="120" w:lineRule="auto"/>
              <w:rPr>
                <w:rFonts w:ascii="Arial" w:cs="Arial" w:eastAsia="Arial" w:hAnsi="Arial"/>
              </w:rPr>
            </w:pPr>
            <w:r w:rsidDel="00000000" w:rsidR="00000000" w:rsidRPr="00000000">
              <w:rPr>
                <w:rFonts w:ascii="Arial" w:cs="Arial" w:eastAsia="Arial" w:hAnsi="Arial"/>
                <w:rtl w:val="0"/>
              </w:rPr>
              <w:t xml:space="preserve">Gère les interactions du serveur avec la base de données.</w:t>
            </w:r>
          </w:p>
        </w:tc>
      </w:tr>
    </w:tbl>
    <w:p w:rsidR="00000000" w:rsidDel="00000000" w:rsidP="00000000" w:rsidRDefault="00000000" w:rsidRPr="00000000" w14:paraId="000000E7">
      <w:pPr>
        <w:rPr>
          <w:rFonts w:ascii="Arial" w:cs="Arial" w:eastAsia="Arial" w:hAnsi="Arial"/>
        </w:rPr>
      </w:pPr>
      <w:r w:rsidDel="00000000" w:rsidR="00000000" w:rsidRPr="00000000">
        <w:rPr>
          <w:rtl w:val="0"/>
        </w:rPr>
      </w:r>
    </w:p>
    <w:tbl>
      <w:tblPr>
        <w:tblStyle w:val="Table1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8">
            <w:pPr>
              <w:rPr>
                <w:rFonts w:ascii="Arial" w:cs="Arial" w:eastAsia="Arial" w:hAnsi="Arial"/>
                <w:b w:val="1"/>
              </w:rPr>
            </w:pPr>
            <w:r w:rsidDel="00000000" w:rsidR="00000000" w:rsidRPr="00000000">
              <w:rPr>
                <w:rFonts w:ascii="Arial" w:cs="Arial" w:eastAsia="Arial" w:hAnsi="Arial"/>
                <w:b w:val="1"/>
                <w:rtl w:val="0"/>
              </w:rPr>
              <w:t xml:space="preserve">OnlineRooms</w:t>
            </w:r>
          </w:p>
        </w:tc>
      </w:tr>
      <w:tr>
        <w:tc>
          <w:tcPr/>
          <w:p w:rsidR="00000000" w:rsidDel="00000000" w:rsidP="00000000" w:rsidRDefault="00000000" w:rsidRPr="00000000" w14:paraId="000000E9">
            <w:pPr>
              <w:spacing w:after="120" w:lineRule="auto"/>
              <w:rPr>
                <w:rFonts w:ascii="Arial" w:cs="Arial" w:eastAsia="Arial" w:hAnsi="Arial"/>
              </w:rPr>
            </w:pPr>
            <w:r w:rsidDel="00000000" w:rsidR="00000000" w:rsidRPr="00000000">
              <w:rPr>
                <w:rFonts w:ascii="Arial" w:cs="Arial" w:eastAsia="Arial" w:hAnsi="Arial"/>
                <w:rtl w:val="0"/>
              </w:rPr>
              <w:t xml:space="preserve">Gère les communications directes entre les usagers lors du clavardage et de l’édition en mode collaboratif.</w:t>
            </w:r>
          </w:p>
        </w:tc>
      </w:tr>
    </w:tbl>
    <w:p w:rsidR="00000000" w:rsidDel="00000000" w:rsidP="00000000" w:rsidRDefault="00000000" w:rsidRPr="00000000" w14:paraId="000000EA">
      <w:pPr>
        <w:rPr/>
      </w:pPr>
      <w:r w:rsidDel="00000000" w:rsidR="00000000" w:rsidRPr="00000000">
        <w:rPr>
          <w:rtl w:val="0"/>
        </w:rPr>
      </w:r>
    </w:p>
    <w:tbl>
      <w:tblPr>
        <w:tblStyle w:val="Table1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B">
            <w:pPr>
              <w:rPr>
                <w:rFonts w:ascii="Arial" w:cs="Arial" w:eastAsia="Arial" w:hAnsi="Arial"/>
                <w:b w:val="1"/>
              </w:rPr>
            </w:pPr>
            <w:r w:rsidDel="00000000" w:rsidR="00000000" w:rsidRPr="00000000">
              <w:rPr>
                <w:rFonts w:ascii="Arial" w:cs="Arial" w:eastAsia="Arial" w:hAnsi="Arial"/>
                <w:b w:val="1"/>
                <w:rtl w:val="0"/>
              </w:rPr>
              <w:t xml:space="preserve">UserManagement</w:t>
            </w:r>
          </w:p>
        </w:tc>
      </w:tr>
      <w:tr>
        <w:tc>
          <w:tcPr/>
          <w:p w:rsidR="00000000" w:rsidDel="00000000" w:rsidP="00000000" w:rsidRDefault="00000000" w:rsidRPr="00000000" w14:paraId="000000EC">
            <w:pPr>
              <w:spacing w:after="120" w:lineRule="auto"/>
              <w:rPr>
                <w:rFonts w:ascii="Arial" w:cs="Arial" w:eastAsia="Arial" w:hAnsi="Arial"/>
              </w:rPr>
            </w:pPr>
            <w:r w:rsidDel="00000000" w:rsidR="00000000" w:rsidRPr="00000000">
              <w:rPr>
                <w:rFonts w:ascii="Arial" w:cs="Arial" w:eastAsia="Arial" w:hAnsi="Arial"/>
                <w:rtl w:val="0"/>
              </w:rPr>
              <w:t xml:space="preserve">Gère les comptes utilisateurs.</w:t>
            </w:r>
          </w:p>
        </w:tc>
      </w:tr>
    </w:tbl>
    <w:p w:rsidR="00000000" w:rsidDel="00000000" w:rsidP="00000000" w:rsidRDefault="00000000" w:rsidRPr="00000000" w14:paraId="000000ED">
      <w:pPr>
        <w:rPr>
          <w:rFonts w:ascii="Arial" w:cs="Arial" w:eastAsia="Arial" w:hAnsi="Arial"/>
        </w:rPr>
      </w:pPr>
      <w:r w:rsidDel="00000000" w:rsidR="00000000" w:rsidRPr="00000000">
        <w:rPr>
          <w:rtl w:val="0"/>
        </w:rPr>
      </w:r>
    </w:p>
    <w:tbl>
      <w:tblPr>
        <w:tblStyle w:val="Table2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E">
            <w:pPr>
              <w:rPr>
                <w:rFonts w:ascii="Arial" w:cs="Arial" w:eastAsia="Arial" w:hAnsi="Arial"/>
                <w:b w:val="1"/>
              </w:rPr>
            </w:pPr>
            <w:r w:rsidDel="00000000" w:rsidR="00000000" w:rsidRPr="00000000">
              <w:rPr>
                <w:rFonts w:ascii="Arial" w:cs="Arial" w:eastAsia="Arial" w:hAnsi="Arial"/>
                <w:b w:val="1"/>
                <w:rtl w:val="0"/>
              </w:rPr>
              <w:t xml:space="preserve">Communication</w:t>
            </w:r>
          </w:p>
        </w:tc>
      </w:tr>
      <w:tr>
        <w:tc>
          <w:tcPr/>
          <w:p w:rsidR="00000000" w:rsidDel="00000000" w:rsidP="00000000" w:rsidRDefault="00000000" w:rsidRPr="00000000" w14:paraId="000000EF">
            <w:pPr>
              <w:spacing w:after="120" w:lineRule="auto"/>
              <w:rPr>
                <w:rFonts w:ascii="Arial" w:cs="Arial" w:eastAsia="Arial" w:hAnsi="Arial"/>
              </w:rPr>
            </w:pPr>
            <w:r w:rsidDel="00000000" w:rsidR="00000000" w:rsidRPr="00000000">
              <w:rPr>
                <w:rFonts w:ascii="Arial" w:cs="Arial" w:eastAsia="Arial" w:hAnsi="Arial"/>
                <w:rtl w:val="0"/>
              </w:rPr>
              <w:t xml:space="preserve">Assure la communication avec les clients en servant d’interface entre le serveur et l’internet.</w:t>
            </w:r>
          </w:p>
        </w:tc>
      </w:tr>
    </w:tbl>
    <w:p w:rsidR="00000000" w:rsidDel="00000000" w:rsidP="00000000" w:rsidRDefault="00000000" w:rsidRPr="00000000" w14:paraId="000000F0">
      <w:pPr>
        <w:rPr>
          <w:rFonts w:ascii="Arial" w:cs="Arial" w:eastAsia="Arial" w:hAnsi="Arial"/>
        </w:rPr>
      </w:pPr>
      <w:r w:rsidDel="00000000" w:rsidR="00000000" w:rsidRPr="00000000">
        <w:rPr>
          <w:rtl w:val="0"/>
        </w:rPr>
      </w:r>
    </w:p>
    <w:tbl>
      <w:tblPr>
        <w:tblStyle w:val="Table2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DataAccessor</w:t>
            </w:r>
          </w:p>
        </w:tc>
      </w:tr>
      <w:tr>
        <w:tc>
          <w:tcPr/>
          <w:p w:rsidR="00000000" w:rsidDel="00000000" w:rsidP="00000000" w:rsidRDefault="00000000" w:rsidRPr="00000000" w14:paraId="000000F2">
            <w:pPr>
              <w:spacing w:after="120" w:lineRule="auto"/>
              <w:rPr>
                <w:rFonts w:ascii="Arial" w:cs="Arial" w:eastAsia="Arial" w:hAnsi="Arial"/>
              </w:rPr>
            </w:pPr>
            <w:r w:rsidDel="00000000" w:rsidR="00000000" w:rsidRPr="00000000">
              <w:rPr>
                <w:rFonts w:ascii="Arial" w:cs="Arial" w:eastAsia="Arial" w:hAnsi="Arial"/>
                <w:rtl w:val="0"/>
              </w:rPr>
              <w:t xml:space="preserve">Récupère des données de la base de données.</w:t>
            </w:r>
          </w:p>
        </w:tc>
      </w:tr>
    </w:tbl>
    <w:p w:rsidR="00000000" w:rsidDel="00000000" w:rsidP="00000000" w:rsidRDefault="00000000" w:rsidRPr="00000000" w14:paraId="000000F3">
      <w:pPr>
        <w:pStyle w:val="Heading1"/>
        <w:ind w:left="0"/>
        <w:rPr/>
      </w:pPr>
      <w:bookmarkStart w:colFirst="0" w:colLast="0" w:name="_l9ij0yi9hmht" w:id="15"/>
      <w:bookmarkEnd w:id="15"/>
      <w:r w:rsidDel="00000000" w:rsidR="00000000" w:rsidRPr="00000000">
        <w:rPr>
          <w:rtl w:val="0"/>
        </w:rPr>
      </w:r>
    </w:p>
    <w:p w:rsidR="00000000" w:rsidDel="00000000" w:rsidP="00000000" w:rsidRDefault="00000000" w:rsidRPr="00000000" w14:paraId="000000F4">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bmms181q6t3q" w:id="16"/>
      <w:bookmarkEnd w:id="16"/>
      <w:r w:rsidDel="00000000" w:rsidR="00000000" w:rsidRPr="00000000">
        <w:rPr>
          <w:rtl w:val="0"/>
        </w:rPr>
        <w:t xml:space="preserve">5. Vue des processus </w:t>
      </w: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Trois des interactions du système dans le logiciel sont décrites sous la forme de diagrammes de séquence qui sont présents ci-dessous:</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5.1 Diagramme de séquence de la création d’un canal de communication et envoi d’un message</w:t>
      </w:r>
    </w:p>
    <w:p w:rsidR="00000000" w:rsidDel="00000000" w:rsidP="00000000" w:rsidRDefault="00000000" w:rsidRPr="00000000" w14:paraId="000000F9">
      <w:pPr>
        <w:rPr/>
      </w:pPr>
      <w:r w:rsidDel="00000000" w:rsidR="00000000" w:rsidRPr="00000000">
        <w:rPr/>
        <w:drawing>
          <wp:inline distB="114300" distT="114300" distL="114300" distR="114300">
            <wp:extent cx="5943600" cy="5534025"/>
            <wp:effectExtent b="0" l="0" r="0" t="0"/>
            <wp:docPr id="15" name="image16.png"/>
            <a:graphic>
              <a:graphicData uri="http://schemas.openxmlformats.org/drawingml/2006/picture">
                <pic:pic>
                  <pic:nvPicPr>
                    <pic:cNvPr id="0" name="image16.png"/>
                    <pic:cNvPicPr preferRelativeResize="0"/>
                  </pic:nvPicPr>
                  <pic:blipFill>
                    <a:blip r:embed="rId21"/>
                    <a:srcRect b="50846" l="0" r="0" t="0"/>
                    <a:stretch>
                      <a:fillRect/>
                    </a:stretch>
                  </pic:blipFill>
                  <pic:spPr>
                    <a:xfrm>
                      <a:off x="0" y="0"/>
                      <a:ext cx="59436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Lines w:val="1"/>
        <w:spacing w:after="120" w:lineRule="auto"/>
        <w:rPr/>
      </w:pPr>
      <w:r w:rsidDel="00000000" w:rsidR="00000000" w:rsidRPr="00000000">
        <w:rPr>
          <w:rtl w:val="0"/>
        </w:rPr>
        <w:t xml:space="preserve">Figure 11 : Diagramme de séquence pour créer un canal de communication et envoyer un message</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6553200"/>
            <wp:effectExtent b="0" l="0" r="0" t="0"/>
            <wp:docPr id="6" name="image11.png"/>
            <a:graphic>
              <a:graphicData uri="http://schemas.openxmlformats.org/drawingml/2006/picture">
                <pic:pic>
                  <pic:nvPicPr>
                    <pic:cNvPr id="0" name="image11.png"/>
                    <pic:cNvPicPr preferRelativeResize="0"/>
                  </pic:nvPicPr>
                  <pic:blipFill>
                    <a:blip r:embed="rId22"/>
                    <a:srcRect b="0" l="0" r="0" t="41744"/>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Lines w:val="1"/>
        <w:spacing w:after="120" w:lineRule="auto"/>
        <w:rPr>
          <w:rFonts w:ascii="Arial" w:cs="Arial" w:eastAsia="Arial" w:hAnsi="Arial"/>
        </w:rPr>
      </w:pPr>
      <w:r w:rsidDel="00000000" w:rsidR="00000000" w:rsidRPr="00000000">
        <w:rPr>
          <w:rtl w:val="0"/>
        </w:rPr>
        <w:t xml:space="preserve">Figure 11 (Suite) : Diagramme de séquence pour créer un canal de communication et envoyer un message</w:t>
      </w: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5.2 Diagramme de séquence sur “Effectuer une recherche selon un tag pour ensuite mettre un “like” sur une image”</w:t>
      </w:r>
    </w:p>
    <w:p w:rsidR="00000000" w:rsidDel="00000000" w:rsidP="00000000" w:rsidRDefault="00000000" w:rsidRPr="00000000" w14:paraId="00000102">
      <w:pPr>
        <w:rPr/>
      </w:pPr>
      <w:r w:rsidDel="00000000" w:rsidR="00000000" w:rsidRPr="00000000">
        <w:rPr/>
        <w:drawing>
          <wp:inline distB="114300" distT="114300" distL="114300" distR="114300">
            <wp:extent cx="6372225" cy="7534275"/>
            <wp:effectExtent b="0" l="0" r="0" t="0"/>
            <wp:docPr id="8" name="image10.png"/>
            <a:graphic>
              <a:graphicData uri="http://schemas.openxmlformats.org/drawingml/2006/picture">
                <pic:pic>
                  <pic:nvPicPr>
                    <pic:cNvPr id="0" name="image10.png"/>
                    <pic:cNvPicPr preferRelativeResize="0"/>
                  </pic:nvPicPr>
                  <pic:blipFill>
                    <a:blip r:embed="rId23"/>
                    <a:srcRect b="36478" l="0" r="0" t="0"/>
                    <a:stretch>
                      <a:fillRect/>
                    </a:stretch>
                  </pic:blipFill>
                  <pic:spPr>
                    <a:xfrm>
                      <a:off x="0" y="0"/>
                      <a:ext cx="6372225" cy="75342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Lines w:val="1"/>
        <w:spacing w:after="120" w:lineRule="auto"/>
        <w:rPr/>
      </w:pPr>
      <w:r w:rsidDel="00000000" w:rsidR="00000000" w:rsidRPr="00000000">
        <w:rPr>
          <w:rtl w:val="0"/>
        </w:rPr>
        <w:t xml:space="preserve">Figure 12 : Diagramme de séquence pour effectuer une recherche par “tag” et aimer une image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24"/>
                    <a:srcRect b="0" l="0" r="0" t="57388"/>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Lines w:val="1"/>
        <w:spacing w:after="120" w:lineRule="auto"/>
        <w:rPr>
          <w:rFonts w:ascii="Arial" w:cs="Arial" w:eastAsia="Arial" w:hAnsi="Arial"/>
        </w:rPr>
      </w:pPr>
      <w:r w:rsidDel="00000000" w:rsidR="00000000" w:rsidRPr="00000000">
        <w:rPr>
          <w:rtl w:val="0"/>
        </w:rPr>
        <w:t xml:space="preserve">Figure 12 (Suite) : Diagramme de séquence pour effectuer une recherche par “tag” et aimer une image</w:t>
      </w: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5.3 Diagramme de séquence sur “Ajouter une forme UML, la sélectionner, modifier la couleur de bordure, puis sauvegarder le canevas”</w:t>
      </w:r>
    </w:p>
    <w:p w:rsidR="00000000" w:rsidDel="00000000" w:rsidP="00000000" w:rsidRDefault="00000000" w:rsidRPr="00000000" w14:paraId="00000109">
      <w:pPr>
        <w:rPr/>
      </w:pPr>
      <w:r w:rsidDel="00000000" w:rsidR="00000000" w:rsidRPr="00000000">
        <w:rPr/>
        <w:drawing>
          <wp:inline distB="114300" distT="114300" distL="114300" distR="114300">
            <wp:extent cx="5943600" cy="7515225"/>
            <wp:effectExtent b="0" l="0" r="0" t="0"/>
            <wp:docPr id="14" name="image12.png"/>
            <a:graphic>
              <a:graphicData uri="http://schemas.openxmlformats.org/drawingml/2006/picture">
                <pic:pic>
                  <pic:nvPicPr>
                    <pic:cNvPr id="0" name="image12.png"/>
                    <pic:cNvPicPr preferRelativeResize="0"/>
                  </pic:nvPicPr>
                  <pic:blipFill>
                    <a:blip r:embed="rId25"/>
                    <a:srcRect b="19735" l="0" r="0" t="0"/>
                    <a:stretch>
                      <a:fillRect/>
                    </a:stretch>
                  </pic:blipFill>
                  <pic:spPr>
                    <a:xfrm>
                      <a:off x="0" y="0"/>
                      <a:ext cx="594360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Lines w:val="1"/>
        <w:spacing w:after="120" w:lineRule="auto"/>
        <w:rPr/>
      </w:pPr>
      <w:r w:rsidDel="00000000" w:rsidR="00000000" w:rsidRPr="00000000">
        <w:rPr>
          <w:rtl w:val="0"/>
        </w:rPr>
        <w:t xml:space="preserve">Figure 13 : Diagramme de séquence pour ajouter une forme et la modifier</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ind w:left="0"/>
        <w:rPr/>
      </w:pPr>
      <w:bookmarkStart w:colFirst="0" w:colLast="0" w:name="_5chaw1psf6ut" w:id="17"/>
      <w:bookmarkEnd w:id="17"/>
      <w:r w:rsidDel="00000000" w:rsidR="00000000" w:rsidRPr="00000000">
        <w:rPr/>
        <w:drawing>
          <wp:inline distB="114300" distT="114300" distL="114300" distR="114300">
            <wp:extent cx="5943600" cy="2543175"/>
            <wp:effectExtent b="0" l="0" r="0" t="0"/>
            <wp:docPr id="3" name="image9.png"/>
            <a:graphic>
              <a:graphicData uri="http://schemas.openxmlformats.org/drawingml/2006/picture">
                <pic:pic>
                  <pic:nvPicPr>
                    <pic:cNvPr id="0" name="image9.png"/>
                    <pic:cNvPicPr preferRelativeResize="0"/>
                  </pic:nvPicPr>
                  <pic:blipFill>
                    <a:blip r:embed="rId26"/>
                    <a:srcRect b="0" l="0" r="0" t="72838"/>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Lines w:val="1"/>
        <w:spacing w:after="120" w:lineRule="auto"/>
        <w:rPr/>
      </w:pPr>
      <w:r w:rsidDel="00000000" w:rsidR="00000000" w:rsidRPr="00000000">
        <w:rPr>
          <w:rtl w:val="0"/>
        </w:rPr>
        <w:t xml:space="preserve">Figure 13 (Suite) : Diagramme de séquence pour ajouter une forme et la modifier</w:t>
      </w:r>
      <w:r w:rsidDel="00000000" w:rsidR="00000000" w:rsidRPr="00000000">
        <w:rPr>
          <w:rtl w:val="0"/>
        </w:rPr>
      </w:r>
    </w:p>
    <w:p w:rsidR="00000000" w:rsidDel="00000000" w:rsidP="00000000" w:rsidRDefault="00000000" w:rsidRPr="00000000" w14:paraId="0000010D">
      <w:pPr>
        <w:pStyle w:val="Heading1"/>
        <w:ind w:left="0"/>
        <w:rPr>
          <w:rFonts w:ascii="Times New Roman" w:cs="Times New Roman" w:eastAsia="Times New Roman" w:hAnsi="Times New Roman"/>
          <w:b w:val="0"/>
          <w:i w:val="1"/>
          <w:smallCaps w:val="0"/>
          <w:strike w:val="0"/>
          <w:color w:val="0000ff"/>
          <w:sz w:val="22"/>
          <w:szCs w:val="22"/>
          <w:u w:val="none"/>
          <w:shd w:fill="auto" w:val="clear"/>
          <w:vertAlign w:val="baseline"/>
        </w:rPr>
      </w:pPr>
      <w:bookmarkStart w:colFirst="0" w:colLast="0" w:name="_p9ubc8schezp" w:id="18"/>
      <w:bookmarkEnd w:id="18"/>
      <w:r w:rsidDel="00000000" w:rsidR="00000000" w:rsidRPr="00000000">
        <w:rPr>
          <w:rtl w:val="0"/>
        </w:rPr>
        <w:t xml:space="preserve">6. Vue de déploiement</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i w:val="1"/>
          <w:color w:val="0000ff"/>
        </w:rPr>
        <w:drawing>
          <wp:inline distB="114300" distT="114300" distL="114300" distR="114300">
            <wp:extent cx="5943600" cy="3855308"/>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385530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Lines w:val="1"/>
        <w:spacing w:after="120" w:lineRule="auto"/>
        <w:rPr>
          <w:i w:val="1"/>
          <w:color w:val="0000ff"/>
        </w:rPr>
      </w:pPr>
      <w:r w:rsidDel="00000000" w:rsidR="00000000" w:rsidRPr="00000000">
        <w:rPr>
          <w:rtl w:val="0"/>
        </w:rPr>
        <w:t xml:space="preserve">Figure 14 : Diagramme de déploiement de PolyPaint</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ind w:left="0"/>
        <w:rPr/>
      </w:pPr>
      <w:bookmarkStart w:colFirst="0" w:colLast="0" w:name="_1t3h5sf" w:id="19"/>
      <w:bookmarkEnd w:id="19"/>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ind w:left="0"/>
        <w:rPr/>
      </w:pPr>
      <w:bookmarkStart w:colFirst="0" w:colLast="0" w:name="_j3ya1j348fmg" w:id="20"/>
      <w:bookmarkEnd w:id="20"/>
      <w:r w:rsidDel="00000000" w:rsidR="00000000" w:rsidRPr="00000000">
        <w:rPr>
          <w:rtl w:val="0"/>
        </w:rPr>
        <w:t xml:space="preserve">7. Taille et performance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283.46456692913375"/>
        <w:rPr>
          <w:rFonts w:ascii="Arial" w:cs="Arial" w:eastAsia="Arial" w:hAnsi="Arial"/>
        </w:rPr>
      </w:pPr>
      <w:r w:rsidDel="00000000" w:rsidR="00000000" w:rsidRPr="00000000">
        <w:rPr>
          <w:rFonts w:ascii="Arial" w:cs="Arial" w:eastAsia="Arial" w:hAnsi="Arial"/>
          <w:rtl w:val="0"/>
        </w:rPr>
        <w:t xml:space="preserve">Les limites de mémoire vive utilisée est de 100 Mo pour le client léger et 200 Mo pour le client lourd. Il faut donc prendre soin que le nombre de classes instanciées à un moment donné soit suffisamment bas pour ne pas dépasser cette limite.</w:t>
      </w:r>
    </w:p>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Les sessions collaboratives doivent se faire avec une latence d’au plus 25 ms. La communication entre les clients et le serveur devra être optimisée de manière à ne pas dépasser cette limite sur une connexion normale.</w:t>
      </w:r>
    </w:p>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Le chargement et la sauvegarde d’images doivent se faire en moins de 5 secondes, ce qui nécessite une conversion efficace entre les objets côté client, utilisés pour représenter les éléments d’image, et la représentation côté serveur, qui sera sauvegardée dans la base de données.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9.png"/><Relationship Id="rId25" Type="http://schemas.openxmlformats.org/officeDocument/2006/relationships/image" Target="media/image1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