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e8cb19e24931627b06086f56c6aa5bfb1e74db"/>
      <w:r>
        <w:t xml:space="preserve">Genetic variation associated with a geographical cline in invasive populations of Argentine Stem Weevil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pStyle w:val="BlockText"/>
      </w:pPr>
      <w:r>
        <w:t xml:space="preserve">The abstract should outline the purpose of the paper and the main results, conclusions and recommendations, using clear, factual, numbered statements</w:t>
      </w:r>
    </w:p>
    <w:p>
      <w:pPr>
        <w:pStyle w:val="Compact"/>
        <w:numPr>
          <w:numId w:val="1001"/>
          <w:ilvl w:val="0"/>
        </w:numPr>
      </w:pPr>
      <w:r>
        <w:t xml:space="preserve">context and need for the work</w:t>
      </w:r>
    </w:p>
    <w:p>
      <w:pPr>
        <w:pStyle w:val="Compact"/>
        <w:numPr>
          <w:numId w:val="1001"/>
          <w:ilvl w:val="0"/>
        </w:numPr>
      </w:pPr>
      <w:r>
        <w:t xml:space="preserve">approach and methods used</w:t>
      </w:r>
    </w:p>
    <w:p>
      <w:pPr>
        <w:pStyle w:val="Compact"/>
        <w:numPr>
          <w:numId w:val="1001"/>
          <w:ilvl w:val="0"/>
        </w:numPr>
      </w:pPr>
      <w:r>
        <w:t xml:space="preserve">main results (2-3 points)</w:t>
      </w:r>
    </w:p>
    <w:p>
      <w:pPr>
        <w:pStyle w:val="Heading3"/>
      </w:pPr>
      <w:bookmarkStart w:id="22" w:name="synthesis-and-applications"/>
      <w:r>
        <w:t xml:space="preserve">Synthesis and applications</w:t>
      </w:r>
      <w:bookmarkEnd w:id="22"/>
    </w:p>
    <w:p>
      <w:pPr>
        <w:pStyle w:val="Compact"/>
        <w:numPr>
          <w:numId w:val="1002"/>
          <w:ilvl w:val="0"/>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Heading2"/>
      </w:pPr>
      <w:bookmarkStart w:id="25" w:name="materials-and-methods"/>
      <w:r>
        <w:t xml:space="preserve">Materials and methods</w:t>
      </w:r>
      <w:bookmarkEnd w:id="25"/>
    </w:p>
    <w:p>
      <w:pPr>
        <w:pStyle w:val="Heading3"/>
      </w:pPr>
      <w:bookmarkStart w:id="26" w:name="weevil-sampling"/>
      <w:r>
        <w:t xml:space="preserve">Weevil sampling</w:t>
      </w:r>
      <w:bookmarkEnd w:id="26"/>
    </w:p>
    <w:p>
      <w:pPr>
        <w:pStyle w:val="FirstParagraph"/>
      </w:pPr>
      <w:r>
        <w:t xml:space="preserve">From Goldson &amp; co:</w:t>
      </w:r>
    </w:p>
    <w:p>
      <w:pPr>
        <w:pStyle w:val="Compact"/>
        <w:numPr>
          <w:numId w:val="1003"/>
          <w:ilvl w:val="0"/>
        </w:numPr>
      </w:pPr>
      <w:r>
        <w:t xml:space="preserve">weevil collection details for geographic survey</w:t>
      </w:r>
    </w:p>
    <w:p>
      <w:pPr>
        <w:pStyle w:val="Compact"/>
        <w:numPr>
          <w:numId w:val="1003"/>
          <w:ilvl w:val="0"/>
        </w:numPr>
      </w:pPr>
      <w:r>
        <w:t xml:space="preserve">collection and processing/dissection details for parasitised</w:t>
      </w:r>
      <w:r>
        <w:t xml:space="preserve"> </w:t>
      </w:r>
      <w:r>
        <w:rPr>
          <w:i/>
        </w:rPr>
        <w:t xml:space="preserve">vs</w:t>
      </w:r>
      <w:r>
        <w:t xml:space="preserve">. unparasitised expt</w:t>
      </w:r>
    </w:p>
    <w:p>
      <w:pPr>
        <w:pStyle w:val="Heading3"/>
      </w:pPr>
      <w:bookmarkStart w:id="27" w:name="X8e720d5b6fbf911ff72371dec622dba3798d268"/>
      <w:r>
        <w:t xml:space="preserve">Reduced-representation genome sequencing and processing</w:t>
      </w:r>
      <w:bookmarkEnd w:id="27"/>
    </w:p>
    <w:p>
      <w:pPr>
        <w:pStyle w:val="FirstParagraph"/>
      </w:pPr>
      <w:r>
        <w:t xml:space="preserve">From AgResearch:</w:t>
      </w:r>
    </w:p>
    <w:p>
      <w:pPr>
        <w:pStyle w:val="Compact"/>
        <w:numPr>
          <w:numId w:val="1004"/>
          <w:ilvl w:val="0"/>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[1,2]</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[3]</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[4]</w:t>
      </w:r>
      <w:r>
        <w:t xml:space="preserve">, the short-read-only genome was assembled with meraculous</w:t>
      </w:r>
      <w:r>
        <w:t xml:space="preserve"> </w:t>
      </w:r>
      <w:r>
        <w:t xml:space="preserve">[5–7]</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[8]</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2">
        <w:r>
          <w:rPr>
            <w:rStyle w:val="Hyperlink"/>
          </w:rPr>
          <w:t xml:space="preserve">github.com/rrwick/Porechop</w:t>
        </w:r>
      </w:hyperlink>
      <w:r>
        <w:t xml:space="preserve">) and assembled with Flye 2.6</w:t>
      </w:r>
      <w:r>
        <w:t xml:space="preserve"> </w:t>
      </w:r>
      <w:r>
        <w:t xml:space="preserve">[9]</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[10]</w:t>
      </w:r>
      <w:r>
        <w:t xml:space="preserve">.</w:t>
      </w:r>
      <w:r>
        <w:t xml:space="preserve"> </w:t>
      </w:r>
      <w:r>
        <w:t xml:space="preserve">Redundant contigs were removed from the combined, long read assembly with Purge Haplotigs 0b9afdf</w:t>
      </w:r>
      <w:r>
        <w:t xml:space="preserve"> </w:t>
      </w:r>
      <w:r>
        <w:t xml:space="preserve">[11]</w:t>
      </w:r>
      <w:r>
        <w:t xml:space="preserve"> </w:t>
      </w:r>
      <w:r>
        <w:t xml:space="preserve">using a low, mid and high cutoff of 60, 120 and 190, respectively.</w:t>
      </w:r>
      <w:r>
        <w:t xml:space="preserve"> </w:t>
      </w:r>
      <w:r>
        <w:t xml:space="preserve">We used the Dfam TE Tools Container v1.1 (</w:t>
      </w:r>
      <w:hyperlink r:id="rId34">
        <w:r>
          <w:rPr>
            <w:rStyle w:val="Hyperlink"/>
          </w:rPr>
          <w:t xml:space="preserve">github.com/Dfam-consortium/TETools</w:t>
        </w:r>
      </w:hyperlink>
      <w:r>
        <w:t xml:space="preserve">) with RepeatModeler 2.0.1</w:t>
      </w:r>
      <w:r>
        <w:t xml:space="preserve"> </w:t>
      </w:r>
      <w:r>
        <w:t xml:space="preserve">[12]</w:t>
      </w:r>
      <w:r>
        <w:t xml:space="preserve"> </w:t>
      </w:r>
      <w:r>
        <w:t xml:space="preserve">and RepeatMasker 4.1.0</w:t>
      </w:r>
      <w:r>
        <w:t xml:space="preserve"> </w:t>
      </w:r>
      <w:r>
        <w:t xml:space="preserve">[13]</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pStyle w:val="Compact"/>
        <w:numPr>
          <w:numId w:val="1005"/>
          <w:ilvl w:val="0"/>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[14]</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[15]</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0e4df02d512cb7f0df309420b8cde32a960a87d"/>
      <w:r>
        <w:t xml:space="preserve">Variation in NZ populations of Argentine stem weevil</w:t>
      </w:r>
      <w:bookmarkEnd w:id="39"/>
    </w:p>
    <w:p>
      <w:pPr>
        <w:pStyle w:val="FirstParagraph"/>
      </w:pPr>
      <w:r>
        <w:t xml:space="preserve">To measure genetic variation in invasive New Zealand populations of ASW, we collected individuals from 7 sites in the North Island and 5 sites in the South Island of New Zealand (Figure 1A).</w:t>
      </w:r>
      <w:r>
        <w:t xml:space="preserve"> </w:t>
      </w:r>
      <w:r>
        <w:t xml:space="preserve">We genotyped individuals with a modified genotyping-by-sequencing (GBS) protocol</w:t>
      </w:r>
      <w:r>
        <w:t xml:space="preserve"> </w:t>
      </w:r>
      <w:r>
        <w:t xml:space="preserve">[16]</w:t>
      </w:r>
      <w:r>
        <w:t xml:space="preserve">.</w:t>
      </w:r>
      <w:r>
        <w:t xml:space="preserve"> </w:t>
      </w:r>
      <w:r>
        <w:t xml:space="preserve">After strict filtering of the raw GBS data, we used</w:t>
      </w:r>
      <w:r>
        <w:t xml:space="preserve"> </w:t>
      </w:r>
      <w:r>
        <w:rPr>
          <w:i/>
        </w:rPr>
        <w:t xml:space="preserve">de novo</w:t>
      </w:r>
      <w:r>
        <w:t xml:space="preserve"> </w:t>
      </w:r>
      <w:r>
        <w:t xml:space="preserve">locus assembly with the Stacks pipeline</w:t>
      </w:r>
      <w:r>
        <w:t xml:space="preserve"> </w:t>
      </w:r>
      <w:r>
        <w:t xml:space="preserve">[3]</w:t>
      </w:r>
      <w:r>
        <w:t xml:space="preserve">.</w:t>
      </w:r>
      <w:r>
        <w:t xml:space="preserve"> </w:t>
      </w:r>
      <w:r>
        <w:t xml:space="preserve">Our final dataset comprised 10–16 individuals per location (total 112), genotyped at more than 22 thousand loci.</w:t>
      </w:r>
      <w:r>
        <w:t xml:space="preserve"> </w:t>
      </w:r>
      <w:r>
        <w:t xml:space="preserve">Principal components analysis (PCA) of the genotypes revealed overlapping populations of ASW, with only 12.2% of total variance explained by the first two components (Figure 1B).</w:t>
      </w:r>
      <w:r>
        <w:t xml:space="preserve"> </w:t>
      </w:r>
      <w:r>
        <w:rPr>
          <w:b/>
        </w:rPr>
        <w:t xml:space="preserve">Something about the general amount of variation e.g. heterozygosity measurement</w:t>
      </w:r>
      <w:r>
        <w:t xml:space="preserve">.</w:t>
      </w:r>
      <w:r>
        <w:t xml:space="preserve"> </w:t>
      </w:r>
      <w:r>
        <w:t xml:space="preserve">These results suggest that there is a large amount of unstructured variation across New Zealand populations of ASW.</w:t>
      </w:r>
    </w:p>
    <w:p>
      <w:pPr>
        <w:pStyle w:val="CaptionedFigure"/>
      </w:pPr>
      <w:r>
        <w:drawing>
          <wp:inline>
            <wp:extent cx="5943600" cy="2965621"/>
            <wp:effectExtent b="0" l="0" r="0" t="0"/>
            <wp:docPr descr="Figure 1. A Weevil sampling locations. We collected Argentine stem weevils from 4 locations in the North Island and 6 locations in the South Island of New Zealand. The number of weevils genotyped from each location is show on the map. The map was plotted with the ggmap package for ggplot2 [17].  B Pricipal components analysis (PCA) of 112 individuals genotyped at 22,397 loci. The first two principal components (PC1 and PC2) are shown. The populations overlap on PC1 and PC2, but weevils sampled from higher latitudes tend to have lower scores on PC1 and PC2. PC1 and PC2 together explain 12.2%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0"/>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rPr>
          <w:b/>
        </w:rPr>
        <w:t xml:space="preserve">Figure 1.</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 on the map.</w:t>
      </w:r>
      <w:r>
        <w:t xml:space="preserve"> </w:t>
      </w:r>
      <w:r>
        <w:t xml:space="preserve">The map was plotted with the ggmap package for ggplot2</w:t>
      </w:r>
      <w:r>
        <w:t xml:space="preserve"> </w:t>
      </w:r>
      <w:r>
        <w:t xml:space="preserve">[17]</w:t>
      </w:r>
      <w:r>
        <w:t xml:space="preserve">.</w:t>
      </w:r>
      <w:r>
        <w:t xml:space="preserve"> </w:t>
      </w:r>
      <w:r>
        <w:t xml:space="preserve"> </w:t>
      </w:r>
      <w:r>
        <w:rPr>
          <w:b/>
        </w:rPr>
        <w:t xml:space="preserve">B</w:t>
      </w:r>
      <w:r>
        <w:t xml:space="preserve"> </w:t>
      </w:r>
      <w:r>
        <w:t xml:space="preserve">Pricipal components analysis (PCA) of 112 individuals genotyped at 22,397 loci.</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 and PC2.</w:t>
      </w:r>
      <w:r>
        <w:t xml:space="preserve"> </w:t>
      </w:r>
      <w:r>
        <w:t xml:space="preserve">PC1 and PC2 together explain 12.2% of variance in the dataset, indicating a high level of unstructured genetic variation in weevil populations.</w:t>
      </w:r>
    </w:p>
    <w:p>
      <w:pPr>
        <w:pStyle w:val="Heading3"/>
      </w:pPr>
      <w:bookmarkStart w:id="41" w:name="X2b69b42fc45553b93f3431b72ceefec252ba388"/>
      <w:r>
        <w:t xml:space="preserve">Genetic variation is not associated with parasitism by a biocontrol agent</w:t>
      </w:r>
      <w:bookmarkEnd w:id="41"/>
    </w:p>
    <w:p>
      <w:pPr>
        <w:pStyle w:val="FirstParagraph"/>
      </w:pPr>
      <w:r>
        <w:t xml:space="preserve">To try 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[18]</w:t>
      </w:r>
      <w:r>
        <w:t xml:space="preserve">.</w:t>
      </w:r>
      <w:r>
        <w:t xml:space="preserve"> </w:t>
      </w:r>
      <w:r>
        <w:t xml:space="preserve">After filtering and assembly,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w:t>
      </w:r>
      <w:r>
        <w:t xml:space="preserve"> </w:t>
      </w:r>
      <w:r>
        <w:rPr>
          <w:b/>
        </w:rPr>
        <w:t xml:space="preserve">Z</w:t>
      </w:r>
      <w:r>
        <w:t xml:space="preserve"> </w:t>
      </w:r>
      <w:r>
        <w:t xml:space="preserve">loci.</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[18]</w:t>
      </w:r>
      <w:r>
        <w:t xml:space="preserve"> </w:t>
      </w:r>
      <w:r>
        <w:t xml:space="preserve">is not related to within-population genetic variation that allows some weevils to avoid parasitism or its effects.</w:t>
      </w:r>
    </w:p>
    <w:p>
      <w:pPr>
        <w:pStyle w:val="Heading3"/>
      </w:pPr>
      <w:bookmarkStart w:id="42" w:name="the-draft-argentine-stem-weevil-genome"/>
      <w:r>
        <w:t xml:space="preserve">The draft Argentine stem weevil genome</w:t>
      </w:r>
      <w:bookmarkEnd w:id="42"/>
    </w:p>
    <w:p>
      <w:pPr>
        <w:pStyle w:val="FirstParagraph"/>
      </w:pPr>
      <w:r>
        <w:t xml:space="preserve">To find genomic loci associated with between-population variation, we constructed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heterozygosity and a genomic repeat content of at least 28%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low read</w:t>
      </w:r>
      <w:r>
        <w:t xml:space="preserve"> </w:t>
      </w:r>
      <w:r>
        <w:rPr>
          <w:i/>
        </w:rPr>
        <w:t xml:space="preserve">N</w:t>
      </w:r>
      <w:r>
        <w:rPr>
          <w:vertAlign w:val="subscript"/>
        </w:rPr>
        <w:t xml:space="preserve">50</w:t>
      </w:r>
      <w:r>
        <w:t xml:space="preserve"> </w:t>
      </w:r>
      <w:r>
        <w:t xml:space="preserve">length was caused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 reads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[11]</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extBody"/>
      </w:pPr>
      <w:r>
        <w:t xml:space="preserve">Short read assembly was not possible with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w:t>
      </w:r>
      <w:r>
        <w:rPr>
          <w:i/>
        </w:rPr>
        <w:t xml:space="preserve">i.e.</w:t>
      </w:r>
      <w:r>
        <w:t xml:space="preserve"> </w:t>
      </w:r>
      <w:r>
        <w:t xml:space="preserve">the gaps between repeats) had an</w:t>
      </w:r>
      <w:r>
        <w:t xml:space="preserve"> </w:t>
      </w:r>
      <w:r>
        <w:rPr>
          <w:i/>
        </w:rPr>
        <w:t xml:space="preserve">N</w:t>
      </w:r>
      <w:r>
        <w:rPr>
          <w:vertAlign w:val="subscript"/>
        </w:rPr>
        <w:t xml:space="preserve">50</w:t>
      </w:r>
      <w:r>
        <w:t xml:space="preserve"> </w:t>
      </w:r>
      <w:r>
        <w:t xml:space="preserve">length of 1066 bp.</w:t>
      </w:r>
      <w:r>
        <w:t xml:space="preserve"> </w:t>
      </w:r>
      <w:r>
        <w:t xml:space="preserve">Third generation (long read) sequencing enabled us to assemble a draft genome, but we expect gaps in the assembly to exist at larger repeat regions that were not covered by long reads.</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3" w:name="X3ef9d891d847e29496806895161f2d8ead6145d"/>
      <w:r>
        <w:t xml:space="preserve">Genetic variation between NZ weevils associates with a geographical cline</w:t>
      </w:r>
      <w:bookmarkEnd w:id="43"/>
    </w:p>
    <w:p>
      <w:pPr>
        <w:pStyle w:val="Compact"/>
        <w:numPr>
          <w:numId w:val="1006"/>
          <w:ilvl w:val="0"/>
        </w:numPr>
      </w:pPr>
      <w:r>
        <w:rPr>
          <w:rStyle w:val="VerbatimChar"/>
        </w:rPr>
        <w:t xml:space="preserve">dapc</w:t>
      </w:r>
      <w:r>
        <w:t xml:space="preserve"> </w:t>
      </w:r>
      <w:r>
        <w:t xml:space="preserve">of weevil populations showing N-S cline</w:t>
      </w:r>
    </w:p>
    <w:p>
      <w:pPr>
        <w:pStyle w:val="Compact"/>
        <w:numPr>
          <w:numId w:val="1006"/>
          <w:ilvl w:val="0"/>
        </w:numPr>
      </w:pPr>
      <w:r>
        <w:t xml:space="preserve">SNPs associated with difference between groups</w:t>
      </w:r>
    </w:p>
    <w:p>
      <w:pPr>
        <w:pStyle w:val="Compact"/>
        <w:numPr>
          <w:numId w:val="1006"/>
          <w:ilvl w:val="0"/>
        </w:numPr>
      </w:pPr>
      <w:r>
        <w:t xml:space="preserve">signs of selection in the genome</w:t>
      </w:r>
    </w:p>
    <w:p>
      <w:pPr>
        <w:pStyle w:val="Heading3"/>
      </w:pPr>
      <w:bookmarkStart w:id="44" w:name="X5d34715a97903773e94cd978039d8c5eb6a8474"/>
      <w:r>
        <w:t xml:space="preserve">New Zealand population of Argentine stem weevils is large and diverse, with multiple introductions</w:t>
      </w:r>
      <w:bookmarkEnd w:id="44"/>
    </w:p>
    <w:p>
      <w:pPr>
        <w:pStyle w:val="Compact"/>
        <w:numPr>
          <w:numId w:val="1007"/>
          <w:ilvl w:val="0"/>
        </w:numPr>
      </w:pPr>
      <w:r>
        <w:t xml:space="preserve">lack of genetic structure</w:t>
      </w:r>
    </w:p>
    <w:p>
      <w:pPr>
        <w:pStyle w:val="Compact"/>
        <w:numPr>
          <w:numId w:val="1007"/>
          <w:ilvl w:val="0"/>
        </w:numPr>
      </w:pPr>
      <w:r>
        <w:t xml:space="preserve">historical Ne, if we can</w:t>
      </w:r>
    </w:p>
    <w:p>
      <w:pPr>
        <w:pStyle w:val="Heading2"/>
      </w:pPr>
      <w:bookmarkStart w:id="45" w:name="discussion"/>
      <w:r>
        <w:t xml:space="preserve">Discussion</w:t>
      </w:r>
      <w:bookmarkEnd w:id="45"/>
    </w:p>
    <w:p>
      <w:pPr>
        <w:pStyle w:val="Heading2"/>
      </w:pPr>
      <w:bookmarkStart w:id="46" w:name="authors-contributions"/>
      <w:r>
        <w:t xml:space="preserve">Authors’ contributions</w:t>
      </w:r>
      <w:bookmarkEnd w:id="46"/>
    </w:p>
    <w:p>
      <w:pPr>
        <w:pStyle w:val="Heading2"/>
      </w:pPr>
      <w:bookmarkStart w:id="47" w:name="acknowledgements"/>
      <w:r>
        <w:t xml:space="preserve">Acknowledgements</w:t>
      </w:r>
      <w:bookmarkEnd w:id="47"/>
    </w:p>
    <w:p>
      <w:pPr>
        <w:pStyle w:val="Heading2"/>
      </w:pPr>
      <w:bookmarkStart w:id="48" w:name="data-availability"/>
      <w:r>
        <w:t xml:space="preserve">Data availability</w:t>
      </w:r>
      <w:bookmarkEnd w:id="48"/>
    </w:p>
    <w:p>
      <w:pPr>
        <w:pStyle w:val="Heading2"/>
      </w:pPr>
      <w:bookmarkStart w:id="49" w:name="references"/>
      <w:r>
        <w:t xml:space="preserve">References</w:t>
      </w:r>
      <w:bookmarkEnd w:id="49"/>
    </w:p>
    <w:bookmarkStart w:id="83" w:name="refs"/>
    <w:bookmarkStart w:id="51" w:name="ref-parisLostParameterSpace2017"/>
    <w:p>
      <w:pPr>
        <w:pStyle w:val="Bibliography"/>
      </w:pPr>
      <w:r>
        <w:t xml:space="preserve">1.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50">
        <w:r>
          <w:rPr>
            <w:rStyle w:val="Hyperlink"/>
          </w:rPr>
          <w:t xml:space="preserve">10.1111/2041-210X.12775</w:t>
        </w:r>
      </w:hyperlink>
      <w:r>
        <w:t xml:space="preserve">.</w:t>
      </w:r>
    </w:p>
    <w:bookmarkEnd w:id="51"/>
    <w:bookmarkStart w:id="53" w:name="ref-rochetteDerivingGenotypesRADseq2017"/>
    <w:p>
      <w:pPr>
        <w:pStyle w:val="Bibliography"/>
      </w:pPr>
      <w:r>
        <w:t xml:space="preserve">2.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52">
        <w:r>
          <w:rPr>
            <w:rStyle w:val="Hyperlink"/>
          </w:rPr>
          <w:t xml:space="preserve">10.1038/nprot.2017.123</w:t>
        </w:r>
      </w:hyperlink>
      <w:r>
        <w:t xml:space="preserve">.</w:t>
      </w:r>
    </w:p>
    <w:bookmarkEnd w:id="53"/>
    <w:bookmarkStart w:id="55" w:name="ref-catchenStacksAnalysisTool2013"/>
    <w:p>
      <w:pPr>
        <w:pStyle w:val="Bibliography"/>
      </w:pPr>
      <w:r>
        <w:t xml:space="preserve">3.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54">
        <w:r>
          <w:rPr>
            <w:rStyle w:val="Hyperlink"/>
          </w:rPr>
          <w:t xml:space="preserve">10.1111/mec.12354</w:t>
        </w:r>
      </w:hyperlink>
      <w:r>
        <w:t xml:space="preserve">.</w:t>
      </w:r>
    </w:p>
    <w:bookmarkEnd w:id="55"/>
    <w:bookmarkStart w:id="56" w:name="ref-bushnellBBMapFastAccurate2014"/>
    <w:p>
      <w:pPr>
        <w:pStyle w:val="Bibliography"/>
      </w:pPr>
      <w:r>
        <w:t xml:space="preserve">4.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56"/>
    <w:bookmarkStart w:id="58" w:name="ref-chapmanMeraculousNovoGenome2011"/>
    <w:p>
      <w:pPr>
        <w:pStyle w:val="Bibliography"/>
      </w:pPr>
      <w:r>
        <w:t xml:space="preserve">5.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57">
        <w:r>
          <w:rPr>
            <w:rStyle w:val="Hyperlink"/>
          </w:rPr>
          <w:t xml:space="preserve">10.1371/journal.pone.0023501</w:t>
        </w:r>
      </w:hyperlink>
      <w:r>
        <w:t xml:space="preserve">.</w:t>
      </w:r>
    </w:p>
    <w:bookmarkEnd w:id="58"/>
    <w:bookmarkStart w:id="60" w:name="ref-chapmanMeraculous2FastAccurate2016"/>
    <w:p>
      <w:pPr>
        <w:pStyle w:val="Bibliography"/>
      </w:pPr>
      <w:r>
        <w:t xml:space="preserve">6.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59">
        <w:r>
          <w:rPr>
            <w:rStyle w:val="Hyperlink"/>
          </w:rPr>
          <w:t xml:space="preserve">http://arxiv.org/abs/1608.01031</w:t>
        </w:r>
      </w:hyperlink>
      <w:r>
        <w:t xml:space="preserve">.</w:t>
      </w:r>
    </w:p>
    <w:bookmarkEnd w:id="60"/>
    <w:bookmarkStart w:id="62" w:name="X94f9d95eb9b9f1c78d2e3faaf609513e07e0bde"/>
    <w:p>
      <w:pPr>
        <w:pStyle w:val="Bibliography"/>
      </w:pPr>
      <w:r>
        <w:t xml:space="preserve">7.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61">
        <w:r>
          <w:rPr>
            <w:rStyle w:val="Hyperlink"/>
          </w:rPr>
          <w:t xml:space="preserve">http://arxiv.org/abs/1703.09852</w:t>
        </w:r>
      </w:hyperlink>
      <w:r>
        <w:t xml:space="preserve">.</w:t>
      </w:r>
    </w:p>
    <w:bookmarkEnd w:id="62"/>
    <w:bookmarkStart w:id="64" w:name="ref-harropHMWDNAExtraction2018"/>
    <w:p>
      <w:pPr>
        <w:pStyle w:val="Bibliography"/>
      </w:pPr>
      <w:r>
        <w:t xml:space="preserve">8. Harrop, T. HMW DNA extraction for insects.</w:t>
      </w:r>
      <w:r>
        <w:t xml:space="preserve"> </w:t>
      </w:r>
      <w:r>
        <w:rPr>
          <w:b/>
        </w:rPr>
        <w:t xml:space="preserve">2018</w:t>
      </w:r>
      <w:r>
        <w:t xml:space="preserve">. doi:</w:t>
      </w:r>
      <w:r>
        <w:t xml:space="preserve"> </w:t>
      </w:r>
      <w:hyperlink r:id="rId63">
        <w:r>
          <w:rPr>
            <w:rStyle w:val="Hyperlink"/>
          </w:rPr>
          <w:t xml:space="preserve">10.17504/protocols.io.pnwdmfe</w:t>
        </w:r>
      </w:hyperlink>
      <w:r>
        <w:t xml:space="preserve">.</w:t>
      </w:r>
    </w:p>
    <w:bookmarkEnd w:id="64"/>
    <w:bookmarkStart w:id="66" w:name="ref-kolmogorovAssemblyLongErrorprone2019"/>
    <w:p>
      <w:pPr>
        <w:pStyle w:val="Bibliography"/>
      </w:pPr>
      <w:r>
        <w:t xml:space="preserve">9.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65">
        <w:r>
          <w:rPr>
            <w:rStyle w:val="Hyperlink"/>
          </w:rPr>
          <w:t xml:space="preserve">10.1038/s41587-019-0072-8</w:t>
        </w:r>
      </w:hyperlink>
      <w:r>
        <w:t xml:space="preserve">.</w:t>
      </w:r>
    </w:p>
    <w:bookmarkEnd w:id="66"/>
    <w:bookmarkStart w:id="68" w:name="ref-simaoBUSCOAssessingGenome2015"/>
    <w:p>
      <w:pPr>
        <w:pStyle w:val="Bibliography"/>
      </w:pPr>
      <w:r>
        <w:t xml:space="preserve">10.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67">
        <w:r>
          <w:rPr>
            <w:rStyle w:val="Hyperlink"/>
          </w:rPr>
          <w:t xml:space="preserve">10.1093/bioinformatics/btv351</w:t>
        </w:r>
      </w:hyperlink>
      <w:r>
        <w:t xml:space="preserve">.</w:t>
      </w:r>
    </w:p>
    <w:bookmarkEnd w:id="68"/>
    <w:bookmarkStart w:id="70" w:name="ref-roachPurgeHaplotigsAllelic2018"/>
    <w:p>
      <w:pPr>
        <w:pStyle w:val="Bibliography"/>
      </w:pPr>
      <w:r>
        <w:t xml:space="preserve">11.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69">
        <w:r>
          <w:rPr>
            <w:rStyle w:val="Hyperlink"/>
          </w:rPr>
          <w:t xml:space="preserve">10.1186/s12859-018-2485-7</w:t>
        </w:r>
      </w:hyperlink>
      <w:r>
        <w:t xml:space="preserve">.</w:t>
      </w:r>
    </w:p>
    <w:bookmarkEnd w:id="70"/>
    <w:bookmarkStart w:id="71" w:name="ref-smitRepeatModelerOpen12015"/>
    <w:p>
      <w:pPr>
        <w:pStyle w:val="Bibliography"/>
      </w:pPr>
      <w:r>
        <w:t xml:space="preserve">12. Smit, A.F.A.; Hubley, R. RepeatModeler Open-1.0 2015.</w:t>
      </w:r>
    </w:p>
    <w:bookmarkEnd w:id="71"/>
    <w:bookmarkStart w:id="72" w:name="ref-smitRepeatMaskerOpen42015"/>
    <w:p>
      <w:pPr>
        <w:pStyle w:val="Bibliography"/>
      </w:pPr>
      <w:r>
        <w:t xml:space="preserve">13. Smit, A.F.A.; Hubley, R.; Green, P. RepeatMasker Open-4.0. 2015.</w:t>
      </w:r>
    </w:p>
    <w:bookmarkEnd w:id="72"/>
    <w:bookmarkStart w:id="74" w:name="X2e700f92c6894ae11db64f79d26700cf6bc7cef"/>
    <w:p>
      <w:pPr>
        <w:pStyle w:val="Bibliography"/>
      </w:pPr>
      <w:r>
        <w:t xml:space="preserve">14.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73">
        <w:r>
          <w:rPr>
            <w:rStyle w:val="Hyperlink"/>
          </w:rPr>
          <w:t xml:space="preserve">10.1093/bioinformatics/bts480</w:t>
        </w:r>
      </w:hyperlink>
      <w:r>
        <w:t xml:space="preserve">.</w:t>
      </w:r>
    </w:p>
    <w:bookmarkEnd w:id="74"/>
    <w:bookmarkStart w:id="76" w:name="X86f5b1c0410ab16c725f5c26d810badc87f678c"/>
    <w:p>
      <w:pPr>
        <w:pStyle w:val="Bibliography"/>
      </w:pPr>
      <w:r>
        <w:t xml:space="preserve">15.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75">
        <w:r>
          <w:rPr>
            <w:rStyle w:val="Hyperlink"/>
          </w:rPr>
          <w:t xml:space="preserve">10.1371/journal.pone.0177459</w:t>
        </w:r>
      </w:hyperlink>
      <w:r>
        <w:t xml:space="preserve">.</w:t>
      </w:r>
    </w:p>
    <w:bookmarkEnd w:id="76"/>
    <w:bookmarkStart w:id="78" w:name="X7e5d3b19ecae1eb3c11e14192d9ddf88629ea2e"/>
    <w:p>
      <w:pPr>
        <w:pStyle w:val="Bibliography"/>
      </w:pPr>
      <w:r>
        <w:t xml:space="preserve">16.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77">
        <w:r>
          <w:rPr>
            <w:rStyle w:val="Hyperlink"/>
          </w:rPr>
          <w:t xml:space="preserve">10.1371/journal.pone.0019379</w:t>
        </w:r>
      </w:hyperlink>
      <w:r>
        <w:t xml:space="preserve">.</w:t>
      </w:r>
    </w:p>
    <w:bookmarkEnd w:id="78"/>
    <w:bookmarkStart w:id="80" w:name="ref-kahleGgmapSpatialVisualization2013"/>
    <w:p>
      <w:pPr>
        <w:pStyle w:val="Bibliography"/>
      </w:pPr>
      <w:r>
        <w:t xml:space="preserve">17.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79">
        <w:r>
          <w:rPr>
            <w:rStyle w:val="Hyperlink"/>
          </w:rPr>
          <w:t xml:space="preserve">10.32614/RJ-2013-014</w:t>
        </w:r>
      </w:hyperlink>
      <w:r>
        <w:t xml:space="preserve">.</w:t>
      </w:r>
    </w:p>
    <w:bookmarkEnd w:id="80"/>
    <w:bookmarkStart w:id="82" w:name="X5016a75cf5f6463caf59e425c690635b16be238"/>
    <w:p>
      <w:pPr>
        <w:pStyle w:val="Bibliography"/>
      </w:pPr>
      <w:r>
        <w:t xml:space="preserve">18.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81">
        <w:r>
          <w:rPr>
            <w:rStyle w:val="Hyperlink"/>
          </w:rPr>
          <w:t xml:space="preserve">10.1073/pnas.1618416114</w:t>
        </w:r>
      </w:hyperlink>
      <w:r>
        <w:t xml:space="preserve">.</w:t>
      </w:r>
    </w:p>
    <w:bookmarkEnd w:id="82"/>
    <w:bookmarkEnd w:id="83"/>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df" /><Relationship Type="http://schemas.openxmlformats.org/officeDocument/2006/relationships/hyperlink" Id="rId59" Target="http://arxiv.org/abs/1608.01031" TargetMode="External" /><Relationship Type="http://schemas.openxmlformats.org/officeDocument/2006/relationships/hyperlink" Id="rId61" Target="http://arxiv.org/abs/1703.09852" TargetMode="External" /><Relationship Type="http://schemas.openxmlformats.org/officeDocument/2006/relationships/hyperlink" Id="rId52" Target="https://doi.org/10.1038/nprot.2017.123" TargetMode="External" /><Relationship Type="http://schemas.openxmlformats.org/officeDocument/2006/relationships/hyperlink" Id="rId65" Target="https://doi.org/10.1038/s41587-019-0072-8" TargetMode="External" /><Relationship Type="http://schemas.openxmlformats.org/officeDocument/2006/relationships/hyperlink" Id="rId81" Target="https://doi.org/10.1073/pnas.1618416114" TargetMode="External" /><Relationship Type="http://schemas.openxmlformats.org/officeDocument/2006/relationships/hyperlink" Id="rId73" Target="https://doi.org/10.1093/bioinformatics/bts480" TargetMode="External" /><Relationship Type="http://schemas.openxmlformats.org/officeDocument/2006/relationships/hyperlink" Id="rId67" Target="https://doi.org/10.1093/bioinformatics/btv351" TargetMode="External" /><Relationship Type="http://schemas.openxmlformats.org/officeDocument/2006/relationships/hyperlink" Id="rId50" Target="https://doi.org/10.1111/2041-210X.12775" TargetMode="External" /><Relationship Type="http://schemas.openxmlformats.org/officeDocument/2006/relationships/hyperlink" Id="rId54" Target="https://doi.org/10.1111/mec.12354" TargetMode="External" /><Relationship Type="http://schemas.openxmlformats.org/officeDocument/2006/relationships/hyperlink" Id="rId69" Target="https://doi.org/10.1186/s12859-018-2485-7" TargetMode="External" /><Relationship Type="http://schemas.openxmlformats.org/officeDocument/2006/relationships/hyperlink" Id="rId77" Target="https://doi.org/10.1371/journal.pone.0019379" TargetMode="External" /><Relationship Type="http://schemas.openxmlformats.org/officeDocument/2006/relationships/hyperlink" Id="rId57" Target="https://doi.org/10.1371/journal.pone.0023501" TargetMode="External" /><Relationship Type="http://schemas.openxmlformats.org/officeDocument/2006/relationships/hyperlink" Id="rId75" Target="https://doi.org/10.1371/journal.pone.0177459" TargetMode="External" /><Relationship Type="http://schemas.openxmlformats.org/officeDocument/2006/relationships/hyperlink" Id="rId63" Target="https://doi.org/10.17504/protocols.io.pnwdmfe" TargetMode="External" /><Relationship Type="http://schemas.openxmlformats.org/officeDocument/2006/relationships/hyperlink" Id="rId79"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59" Target="http://arxiv.org/abs/1608.01031" TargetMode="External" /><Relationship Type="http://schemas.openxmlformats.org/officeDocument/2006/relationships/hyperlink" Id="rId61" Target="http://arxiv.org/abs/1703.09852" TargetMode="External" /><Relationship Type="http://schemas.openxmlformats.org/officeDocument/2006/relationships/hyperlink" Id="rId52" Target="https://doi.org/10.1038/nprot.2017.123" TargetMode="External" /><Relationship Type="http://schemas.openxmlformats.org/officeDocument/2006/relationships/hyperlink" Id="rId65" Target="https://doi.org/10.1038/s41587-019-0072-8" TargetMode="External" /><Relationship Type="http://schemas.openxmlformats.org/officeDocument/2006/relationships/hyperlink" Id="rId81" Target="https://doi.org/10.1073/pnas.1618416114" TargetMode="External" /><Relationship Type="http://schemas.openxmlformats.org/officeDocument/2006/relationships/hyperlink" Id="rId73" Target="https://doi.org/10.1093/bioinformatics/bts480" TargetMode="External" /><Relationship Type="http://schemas.openxmlformats.org/officeDocument/2006/relationships/hyperlink" Id="rId67" Target="https://doi.org/10.1093/bioinformatics/btv351" TargetMode="External" /><Relationship Type="http://schemas.openxmlformats.org/officeDocument/2006/relationships/hyperlink" Id="rId50" Target="https://doi.org/10.1111/2041-210X.12775" TargetMode="External" /><Relationship Type="http://schemas.openxmlformats.org/officeDocument/2006/relationships/hyperlink" Id="rId54" Target="https://doi.org/10.1111/mec.12354" TargetMode="External" /><Relationship Type="http://schemas.openxmlformats.org/officeDocument/2006/relationships/hyperlink" Id="rId69" Target="https://doi.org/10.1186/s12859-018-2485-7" TargetMode="External" /><Relationship Type="http://schemas.openxmlformats.org/officeDocument/2006/relationships/hyperlink" Id="rId77" Target="https://doi.org/10.1371/journal.pone.0019379" TargetMode="External" /><Relationship Type="http://schemas.openxmlformats.org/officeDocument/2006/relationships/hyperlink" Id="rId57" Target="https://doi.org/10.1371/journal.pone.0023501" TargetMode="External" /><Relationship Type="http://schemas.openxmlformats.org/officeDocument/2006/relationships/hyperlink" Id="rId75" Target="https://doi.org/10.1371/journal.pone.0177459" TargetMode="External" /><Relationship Type="http://schemas.openxmlformats.org/officeDocument/2006/relationships/hyperlink" Id="rId63" Target="https://doi.org/10.17504/protocols.io.pnwdmfe" TargetMode="External" /><Relationship Type="http://schemas.openxmlformats.org/officeDocument/2006/relationships/hyperlink" Id="rId79" Target="https://doi.org/10.32614/RJ-2013-014"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2020-03-11T00:28:55Z</dcterms:created>
  <dcterms:modified xsi:type="dcterms:W3CDTF">2020-03-11T00:28:55Z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