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9.pdf" ContentType="application/pdf"/>
  <Override PartName="/word/media/rId38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1583615d46b563c2da1a3badbb51539ab63aa54"/>
      <w:r>
        <w:t xml:space="preserve">Genetic variation associated with a geographical cline in New Zealand populations of Argentine Stem Weevil</w:t>
      </w:r>
      <w:bookmarkEnd w:id="20"/>
    </w:p>
    <w:p>
      <w:pPr>
        <w:pStyle w:val="FirstParagraph"/>
      </w:pPr>
      <w:r>
        <w:t xml:space="preserve">Thomas W.R. Harrop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Marissa F. Le Lec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Ruy Juaregui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Rachael Ashby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Shannon Taylor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Sarah Inwood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Jeanne Jacobs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Stephen Goldson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Peter K. Dearden</w:t>
      </w:r>
      <w:r>
        <w:rPr>
          <w:vertAlign w:val="superscript"/>
        </w:rPr>
        <w:t xml:space="preserve">1</w:t>
      </w:r>
    </w:p>
    <w:p>
      <w:pPr>
        <w:pStyle w:val="BlockText"/>
      </w:pPr>
      <w:r>
        <w:t xml:space="preserve">Goldson’s dissection ppl?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Otago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AgResearch Palmerston North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AgResearch Lincoln?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BPRC</w:t>
      </w:r>
    </w:p>
    <w:p>
      <w:pPr>
        <w:pStyle w:val="Heading2"/>
      </w:pPr>
      <w:bookmarkStart w:id="21" w:name="abstract"/>
      <w:r>
        <w:t xml:space="preserve">Abstract</w:t>
      </w:r>
      <w:bookmarkEnd w:id="21"/>
    </w:p>
    <w:p>
      <w:pPr>
        <w:pStyle w:val="BlockText"/>
      </w:pPr>
      <w:r>
        <w:t xml:space="preserve">The abstract should outline the purpose of the paper and the main results, conclusions and recommendations, using clear, factual, numbered statements</w:t>
      </w:r>
    </w:p>
    <w:p>
      <w:pPr>
        <w:pStyle w:val="Compact"/>
        <w:numPr>
          <w:numId w:val="1001"/>
          <w:ilvl w:val="0"/>
        </w:numPr>
      </w:pPr>
      <w:r>
        <w:t xml:space="preserve">context and need for the work</w:t>
      </w:r>
    </w:p>
    <w:p>
      <w:pPr>
        <w:pStyle w:val="Compact"/>
        <w:numPr>
          <w:numId w:val="1001"/>
          <w:ilvl w:val="0"/>
        </w:numPr>
      </w:pPr>
      <w:r>
        <w:t xml:space="preserve">approach and methods used</w:t>
      </w:r>
    </w:p>
    <w:p>
      <w:pPr>
        <w:pStyle w:val="Compact"/>
        <w:numPr>
          <w:numId w:val="1001"/>
          <w:ilvl w:val="0"/>
        </w:numPr>
      </w:pPr>
      <w:r>
        <w:t xml:space="preserve">main results (2-3 points)</w:t>
      </w:r>
    </w:p>
    <w:p>
      <w:pPr>
        <w:pStyle w:val="Heading3"/>
      </w:pPr>
      <w:bookmarkStart w:id="22" w:name="synthesis-and-applications"/>
      <w:r>
        <w:t xml:space="preserve">Synthesis and applications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wider implications and relevance to management or policy</w:t>
      </w:r>
    </w:p>
    <w:p>
      <w:pPr>
        <w:pStyle w:val="Heading3"/>
      </w:pPr>
      <w:bookmarkStart w:id="23" w:name="keywords"/>
      <w:r>
        <w:t xml:space="preserve">Keywords</w:t>
      </w:r>
      <w:bookmarkEnd w:id="23"/>
    </w:p>
    <w:p>
      <w:pPr>
        <w:pStyle w:val="FirstParagraph"/>
      </w:pPr>
      <w:r>
        <w:t xml:space="preserve">Naughty weevils,</w:t>
      </w:r>
      <w:r>
        <w:t xml:space="preserve"> </w:t>
      </w:r>
      <w:r>
        <w:t xml:space="preserve">Invasive species,</w:t>
      </w:r>
      <w:r>
        <w:t xml:space="preserve"> </w:t>
      </w:r>
      <w:r>
        <w:t xml:space="preserve">Molecular evolution,</w:t>
      </w:r>
      <w:r>
        <w:t xml:space="preserve"> </w:t>
      </w:r>
      <w:r>
        <w:t xml:space="preserve">???</w:t>
      </w:r>
    </w:p>
    <w:p>
      <w:pPr>
        <w:pStyle w:val="Heading2"/>
      </w:pPr>
      <w:bookmarkStart w:id="24" w:name="introduction"/>
      <w:r>
        <w:t xml:space="preserve">Introduction</w:t>
      </w:r>
      <w:bookmarkEnd w:id="24"/>
    </w:p>
    <w:p>
      <w:pPr>
        <w:pStyle w:val="Heading2"/>
      </w:pPr>
      <w:bookmarkStart w:id="25" w:name="materials-and-methods"/>
      <w:r>
        <w:t xml:space="preserve">Materials and methods</w:t>
      </w:r>
      <w:bookmarkEnd w:id="25"/>
    </w:p>
    <w:p>
      <w:pPr>
        <w:pStyle w:val="Heading3"/>
      </w:pPr>
      <w:bookmarkStart w:id="26" w:name="collections-etc."/>
      <w:r>
        <w:t xml:space="preserve">Collections</w:t>
      </w:r>
      <w:r>
        <w:t xml:space="preserve"> </w:t>
      </w:r>
      <w:r>
        <w:rPr>
          <w:i/>
        </w:rPr>
        <w:t xml:space="preserve">etc</w:t>
      </w:r>
      <w:r>
        <w:t xml:space="preserve">.</w:t>
      </w:r>
      <w:bookmarkEnd w:id="26"/>
    </w:p>
    <w:p>
      <w:pPr>
        <w:pStyle w:val="FirstParagraph"/>
      </w:pPr>
      <w:r>
        <w:t xml:space="preserve">Weevils were collected from …</w:t>
      </w:r>
    </w:p>
    <w:p>
      <w:pPr>
        <w:pStyle w:val="Heading3"/>
      </w:pPr>
      <w:bookmarkStart w:id="27" w:name="X8e720d5b6fbf911ff72371dec622dba3798d268"/>
      <w:r>
        <w:t xml:space="preserve">Reduced-representation genome sequencing and processing</w:t>
      </w:r>
      <w:bookmarkEnd w:id="27"/>
    </w:p>
    <w:p>
      <w:pPr>
        <w:pStyle w:val="FirstParagraph"/>
      </w:pPr>
      <w:r>
        <w:t xml:space="preserve">DNA was extracted …</w:t>
      </w:r>
    </w:p>
    <w:p>
      <w:pPr>
        <w:pStyle w:val="TextBody"/>
      </w:pPr>
      <w:r>
        <w:t xml:space="preserve">The code we used to process the genotyping data is hosted at</w:t>
      </w:r>
      <w:r>
        <w:t xml:space="preserve"> </w:t>
      </w:r>
      <w:hyperlink r:id="rId28">
        <w:r>
          <w:rPr>
            <w:rStyle w:val="Hyperlink"/>
          </w:rPr>
          <w:t xml:space="preserve">github.com/TomHarrop/stacks-asw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github.com/MarissaLL/asw-para-matched</w:t>
        </w:r>
      </w:hyperlink>
      <w:r>
        <w:t xml:space="preserve">.</w:t>
      </w:r>
    </w:p>
    <w:p>
      <w:pPr>
        <w:pStyle w:val="TextBody"/>
      </w:pPr>
      <w:r>
        <w:t xml:space="preserve">Map was plotted with the ggmap package for ggplot2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Heading3"/>
      </w:pPr>
      <w:bookmarkStart w:id="30" w:name="genome-assembly"/>
      <w:r>
        <w:t xml:space="preserve">Genome assembly</w:t>
      </w:r>
      <w:bookmarkEnd w:id="30"/>
    </w:p>
    <w:p>
      <w:pPr>
        <w:pStyle w:val="FirstParagraph"/>
      </w:pPr>
      <w:r>
        <w:t xml:space="preserve">To produce the short read dataset, an Illumina TruSeq PCR-free 350bp insert library was generated from DNA extracted from a single, male Argentine stem weevil collected from endophyte-free hybrid ryegrass (</w:t>
      </w:r>
      <w:r>
        <w:rPr>
          <w:i/>
        </w:rPr>
        <w:t xml:space="preserve">Lolium perenne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Lolium multiflorum</w:t>
      </w:r>
      <w:r>
        <w:t xml:space="preserve">) at</w:t>
      </w:r>
      <w:r>
        <w:t xml:space="preserve"> </w:t>
      </w:r>
      <w:r>
        <w:rPr>
          <w:b/>
        </w:rPr>
        <w:t xml:space="preserve">Lincoln, New Zealand (?)</w:t>
      </w:r>
      <w:r>
        <w:t xml:space="preserve">.</w:t>
      </w:r>
      <w:r>
        <w:t xml:space="preserve"> </w:t>
      </w:r>
      <w:r>
        <w:t xml:space="preserve">Library preparation and sequencing were performed by Macrogen Inc. (Seoul, Republic of Korea).</w:t>
      </w:r>
      <w:r>
        <w:t xml:space="preserve"> </w:t>
      </w:r>
      <w:r>
        <w:t xml:space="preserve">A total of 158 GB of 100 b and 150 b paired-end reads were generated from the TruSeq PCR-free library.</w:t>
      </w:r>
      <w:r>
        <w:t xml:space="preserve"> </w:t>
      </w:r>
      <w:r>
        <w:t xml:space="preserve">After removing common sequencing contaminants and trimming adaptor sequences using BBTools</w:t>
      </w:r>
      <w:r>
        <w:t xml:space="preserve"> </w:t>
      </w:r>
      <w:r>
        <w:t xml:space="preserve">[2]</w:t>
      </w:r>
      <w:r>
        <w:t xml:space="preserve">, the short-read-only genome was assembled with meraculous</w:t>
      </w:r>
      <w:r>
        <w:t xml:space="preserve"> </w:t>
      </w:r>
      <w:r>
        <w:t xml:space="preserve">[3–5]</w:t>
      </w:r>
      <w:r>
        <w:t xml:space="preserve">.</w:t>
      </w:r>
      <w:r>
        <w:t xml:space="preserve"> </w:t>
      </w:r>
      <w:r>
        <w:t xml:space="preserve">Reproducible code for assembling the short-read dataset and assessing the assemblies is hosted at</w:t>
      </w:r>
      <w:r>
        <w:t xml:space="preserve"> </w:t>
      </w:r>
      <w:hyperlink r:id="rId31">
        <w:r>
          <w:rPr>
            <w:rStyle w:val="Hyperlink"/>
          </w:rPr>
          <w:t xml:space="preserve">github.com/tomharrop/asw-nopcr</w:t>
        </w:r>
      </w:hyperlink>
      <w:r>
        <w:t xml:space="preserve">.</w:t>
      </w:r>
    </w:p>
    <w:p>
      <w:pPr>
        <w:pStyle w:val="TextBody"/>
      </w:pPr>
      <w:r>
        <w:t xml:space="preserve">To produce long reads from a single individual, we produced high molecular weight DNA from a single, male ASW collected from</w:t>
      </w:r>
      <w:r>
        <w:t xml:space="preserve"> </w:t>
      </w:r>
      <w:r>
        <w:rPr>
          <w:b/>
        </w:rPr>
        <w:t xml:space="preserve">where?</w:t>
      </w:r>
      <w:r>
        <w:t xml:space="preserve"> </w:t>
      </w:r>
      <w:r>
        <w:t xml:space="preserve">using a modified QIAGEN Genomic-tip 20/G extraction protocol</w:t>
      </w:r>
      <w:r>
        <w:t xml:space="preserve"> </w:t>
      </w:r>
      <w:r>
        <w:t xml:space="preserve">[6]</w:t>
      </w:r>
      <w:r>
        <w:t xml:space="preserve">.</w:t>
      </w:r>
      <w:r>
        <w:t xml:space="preserve"> </w:t>
      </w:r>
      <w:r>
        <w:t xml:space="preserve">We amplified the DNA using Φ29 multiple displacement amplification (QIAGEN REPLI-g Midi Kit) and debranched the amplified DNA using T7 Endonuclease I (New England Biolabs) according to the Oxford Nanopore Technologies Premium whole genome amplification protocol version WGA_kit9_v1.</w:t>
      </w:r>
      <w:r>
        <w:t xml:space="preserve"> </w:t>
      </w:r>
      <w:r>
        <w:t xml:space="preserve">Amplified DNA was sequenced on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R9.4.1 flowcells using a</w:t>
      </w:r>
      <w:r>
        <w:t xml:space="preserve"> </w:t>
      </w:r>
      <w:r>
        <w:rPr>
          <w:b/>
        </w:rPr>
        <w:t xml:space="preserve">version</w:t>
      </w:r>
      <w:r>
        <w:t xml:space="preserve"> </w:t>
      </w:r>
      <w:r>
        <w:t xml:space="preserve">MinION sequencer (Oxford Nanopore Technologies).</w:t>
      </w:r>
      <w:r>
        <w:t xml:space="preserve"> </w:t>
      </w:r>
      <w:r>
        <w:t xml:space="preserve">We also produced reads from high molecular weight DNA from a pool of 20 unsexed individuals collected from</w:t>
      </w:r>
      <w:r>
        <w:t xml:space="preserve"> </w:t>
      </w:r>
      <w:r>
        <w:rPr>
          <w:b/>
        </w:rPr>
        <w:t xml:space="preserve">where?</w:t>
      </w:r>
      <w:r>
        <w:t xml:space="preserve">.</w:t>
      </w:r>
      <w:r>
        <w:t xml:space="preserve"> </w:t>
      </w:r>
      <w:r>
        <w:t xml:space="preserve">We sequenced this DNA on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R9.4.1 flowcells, following the Genomic DNA by Ligation protocol (SQK-LSK109; Oxford Nanopore Technologies).</w:t>
      </w:r>
      <w:r>
        <w:t xml:space="preserve"> </w:t>
      </w:r>
      <w:r>
        <w:t xml:space="preserve">We removed adaptor sequences from the long reads with Porechop 0.2.4</w:t>
      </w:r>
      <w:r>
        <w:t xml:space="preserve"> </w:t>
      </w:r>
      <w:r>
        <w:t xml:space="preserve">[7]</w:t>
      </w:r>
      <w:r>
        <w:t xml:space="preserve"> </w:t>
      </w:r>
      <w:r>
        <w:t xml:space="preserve">and assembled with Flye 2.6</w:t>
      </w:r>
      <w:r>
        <w:t xml:space="preserve"> </w:t>
      </w:r>
      <w:r>
        <w:t xml:space="preserve">[8]</w:t>
      </w:r>
      <w:r>
        <w:t xml:space="preserve">.</w:t>
      </w:r>
      <w:r>
        <w:t xml:space="preserve"> </w:t>
      </w:r>
      <w:r>
        <w:t xml:space="preserve">Reproducible code for assembling and assessing the long-read ASW genomes is hosted at</w:t>
      </w:r>
      <w:r>
        <w:t xml:space="preserve"> </w:t>
      </w:r>
      <w:hyperlink r:id="rId32">
        <w:r>
          <w:rPr>
            <w:rStyle w:val="Hyperlink"/>
          </w:rPr>
          <w:t xml:space="preserve">github.com/TomHarrop/asw-flye-withpool</w:t>
        </w:r>
      </w:hyperlink>
      <w:r>
        <w:t xml:space="preserve">.</w:t>
      </w:r>
    </w:p>
    <w:p>
      <w:pPr>
        <w:pStyle w:val="TextBody"/>
      </w:pPr>
      <w:r>
        <w:t xml:space="preserve">All genome assemblies were assessed using assembly size and contiguity statistics and BUSCO analysis</w:t>
      </w:r>
      <w:r>
        <w:t xml:space="preserve"> </w:t>
      </w:r>
      <w:r>
        <w:t xml:space="preserve">[9]</w:t>
      </w:r>
      <w:r>
        <w:t xml:space="preserve">.</w:t>
      </w:r>
      <w:r>
        <w:t xml:space="preserve"> </w:t>
      </w:r>
      <w:r>
        <w:t xml:space="preserve">Assemblies that had a high rate of duplicated BUSCO genes were curated with Purge Haplotigs 0b9afdf</w:t>
      </w:r>
      <w:r>
        <w:t xml:space="preserve"> </w:t>
      </w:r>
      <w:r>
        <w:t xml:space="preserve">[10]</w:t>
      </w:r>
      <w:r>
        <w:t xml:space="preserve"> </w:t>
      </w:r>
      <w:r>
        <w:t xml:space="preserve">using a low, mid and high cutoff of 60, 120 and 190, respectively.</w:t>
      </w:r>
      <w:r>
        <w:t xml:space="preserve"> </w:t>
      </w:r>
      <w:r>
        <w:t xml:space="preserve">We used RepeatModeler</w:t>
      </w:r>
      <w:r>
        <w:t xml:space="preserve"> </w:t>
      </w:r>
      <w:r>
        <w:t xml:space="preserve">[11]</w:t>
      </w:r>
      <w:r>
        <w:t xml:space="preserve"> </w:t>
      </w:r>
      <w:r>
        <w:t xml:space="preserve">and RepeatMasker</w:t>
      </w:r>
      <w:r>
        <w:t xml:space="preserve"> </w:t>
      </w:r>
      <w:r>
        <w:t xml:space="preserve">[12]</w:t>
      </w:r>
      <w:r>
        <w:t xml:space="preserve"> </w:t>
      </w:r>
      <w:r>
        <w:t xml:space="preserve">to estimate the repeat content of the long read genomes.</w:t>
      </w:r>
    </w:p>
    <w:p>
      <w:pPr>
        <w:pStyle w:val="Heading3"/>
      </w:pPr>
      <w:bookmarkStart w:id="33" w:name="genome-based-analyses-fst-etc.-etc."/>
      <w:r>
        <w:t xml:space="preserve">Genome-based analyses,</w:t>
      </w:r>
      <w:r>
        <w:t xml:space="preserve"> </w:t>
      </w:r>
      <w:r>
        <w:rPr>
          <w:i/>
        </w:rPr>
        <w:t xml:space="preserve">F</w:t>
      </w:r>
      <w:r>
        <w:rPr>
          <w:vertAlign w:val="subscript"/>
        </w:rPr>
        <w:t xml:space="preserve">ST</w:t>
      </w:r>
      <w:r>
        <w:t xml:space="preserve">, etc. etc.</w:t>
      </w:r>
      <w:bookmarkEnd w:id="33"/>
    </w:p>
    <w:p>
      <w:pPr>
        <w:pStyle w:val="Compact"/>
        <w:numPr>
          <w:numId w:val="1003"/>
          <w:ilvl w:val="0"/>
        </w:numPr>
      </w:pPr>
      <w:r>
        <w:t xml:space="preserve">Catalog mapping</w:t>
      </w:r>
      <w:r>
        <w:t xml:space="preserve"> </w:t>
      </w:r>
      <w:r>
        <w:rPr>
          <w:i/>
        </w:rPr>
        <w:t xml:space="preserve">e.g.</w:t>
      </w:r>
      <w:r>
        <w:t xml:space="preserve"> </w:t>
      </w:r>
      <w:r>
        <w:rPr>
          <w:rStyle w:val="VerbatimChar"/>
        </w:rPr>
        <w:t xml:space="preserve">bwa mem</w:t>
      </w:r>
    </w:p>
    <w:p>
      <w:pPr>
        <w:pStyle w:val="Heading3"/>
      </w:pPr>
      <w:bookmarkStart w:id="34" w:name="reproducibility-and-data-availability"/>
      <w:r>
        <w:t xml:space="preserve">Reproducibility and data availability</w:t>
      </w:r>
      <w:bookmarkEnd w:id="34"/>
    </w:p>
    <w:p>
      <w:pPr>
        <w:pStyle w:val="FirstParagraph"/>
      </w:pPr>
      <w:r>
        <w:t xml:space="preserve">Raw sequence data for the ASW genome are hosted at the National Center for Biotechnology Information Sequence Read Archive (NCBI SRA) under accession</w:t>
      </w:r>
      <w:r>
        <w:t xml:space="preserve"> </w:t>
      </w:r>
      <w:r>
        <w:rPr>
          <w:b/>
        </w:rPr>
        <w:t xml:space="preserve">TBA</w:t>
      </w:r>
      <w:r>
        <w:t xml:space="preserve">.</w:t>
      </w:r>
      <w:r>
        <w:t xml:space="preserve"> </w:t>
      </w:r>
      <w:r>
        <w:t xml:space="preserve">We used</w:t>
      </w:r>
      <w:r>
        <w:t xml:space="preserve"> </w:t>
      </w:r>
      <w:r>
        <w:rPr>
          <w:rStyle w:val="VerbatimChar"/>
        </w:rPr>
        <w:t xml:space="preserve">snakemake</w:t>
      </w:r>
      <w:r>
        <w:t xml:space="preserve"> </w:t>
      </w:r>
      <w:r>
        <w:t xml:space="preserve">[13]</w:t>
      </w:r>
      <w:r>
        <w:t xml:space="preserve"> </w:t>
      </w:r>
      <w:r>
        <w:t xml:space="preserve">to arrange analysis steps into workflows and monitor dependencies, and</w:t>
      </w:r>
      <w:r>
        <w:t xml:space="preserve"> </w:t>
      </w:r>
      <w:r>
        <w:rPr>
          <w:rStyle w:val="VerbatimChar"/>
        </w:rPr>
        <w:t xml:space="preserve">Singularity</w:t>
      </w:r>
      <w:r>
        <w:t xml:space="preserve"> </w:t>
      </w:r>
      <w:r>
        <w:t xml:space="preserve">[14]</w:t>
      </w:r>
      <w:r>
        <w:t xml:space="preserve"> </w:t>
      </w:r>
      <w:r>
        <w:t xml:space="preserve">to capture the computing environment.</w:t>
      </w:r>
      <w:r>
        <w:t xml:space="preserve"> </w:t>
      </w:r>
      <w:r>
        <w:t xml:space="preserve">Using the code repositories listed in each methods section, the final results can be reproduced from the raw data with a single command using</w:t>
      </w:r>
      <w:r>
        <w:t xml:space="preserve"> </w:t>
      </w:r>
      <w:r>
        <w:rPr>
          <w:rStyle w:val="VerbatimChar"/>
        </w:rPr>
        <w:t xml:space="preserve">snakemake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Singularity</w:t>
      </w:r>
      <w:r>
        <w:t xml:space="preserve">.</w:t>
      </w:r>
      <w:r>
        <w:t xml:space="preserve"> </w:t>
      </w:r>
      <w:r>
        <w:t xml:space="preserve">The source for this manuscript is hosted at</w:t>
      </w:r>
      <w:r>
        <w:t xml:space="preserve"> </w:t>
      </w:r>
      <w:hyperlink r:id="rId35">
        <w:r>
          <w:rPr>
            <w:rStyle w:val="Hyperlink"/>
          </w:rPr>
          <w:t xml:space="preserve">github.com/TomHarrop/asw-gbs-genome-paper</w:t>
        </w:r>
      </w:hyperlink>
      <w:r>
        <w:t xml:space="preserve">.</w:t>
      </w:r>
    </w:p>
    <w:p>
      <w:pPr>
        <w:pStyle w:val="Heading2"/>
      </w:pPr>
      <w:bookmarkStart w:id="36" w:name="results"/>
      <w:r>
        <w:t xml:space="preserve">Results</w:t>
      </w:r>
      <w:bookmarkEnd w:id="36"/>
    </w:p>
    <w:p>
      <w:pPr>
        <w:pStyle w:val="Heading3"/>
      </w:pPr>
      <w:bookmarkStart w:id="37" w:name="X0e4df02d512cb7f0df309420b8cde32a960a87d"/>
      <w:r>
        <w:t xml:space="preserve">Variation in NZ populations of Argentine stem weevil</w:t>
      </w:r>
      <w:bookmarkEnd w:id="37"/>
    </w:p>
    <w:p>
      <w:pPr>
        <w:pStyle w:val="FirstParagraph"/>
      </w:pPr>
      <w:r>
        <w:t xml:space="preserve">To measure the variation in NZ populations of ASW, we collected individuals from 7 sites in the North Island and 5 sites in the South Island of New Zealand (Figure 1A).</w:t>
      </w:r>
      <w:r>
        <w:t xml:space="preserve"> </w:t>
      </w:r>
      <w:r>
        <w:t xml:space="preserve">We genotyped each individual separately using a modified genotyping-by-sequencing (GBS) protocol (</w:t>
      </w:r>
      <w:r>
        <w:rPr>
          <w:b/>
        </w:rPr>
        <w:t xml:space="preserve">Are we calling it gbs? Ref for the protocol used by AgResearch?</w:t>
      </w:r>
      <w:r>
        <w:t xml:space="preserve">;</w:t>
      </w:r>
      <w:r>
        <w:t xml:space="preserve"> </w:t>
      </w:r>
      <w:r>
        <w:t xml:space="preserve">[15]</w:t>
      </w:r>
      <w:r>
        <w:t xml:space="preserve">).</w:t>
      </w:r>
      <w:r>
        <w:t xml:space="preserve"> </w:t>
      </w:r>
      <w:r>
        <w:t xml:space="preserve">We found lots of variation.</w:t>
      </w:r>
    </w:p>
    <w:p>
      <w:pPr>
        <w:pStyle w:val="CaptionedFigure"/>
      </w:pPr>
      <w:r>
        <w:drawing>
          <wp:inline>
            <wp:extent cx="3048000" cy="3048000"/>
            <wp:effectExtent b="0" l="0" r="0" t="0"/>
            <wp:docPr descr="Figure 1A. Weevil sampling locations. We collected Argentine stem weevils from 4 locations in the North Island and 7 locations in the South Island of New Zealand. The number of weevils genotyped from each location is show on the map. " title="" id="1" name="Picture"/>
            <a:graphic>
              <a:graphicData uri="http://schemas.openxmlformats.org/drawingml/2006/picture">
                <pic:pic>
                  <pic:nvPicPr>
                    <pic:cNvPr descr="fig/location_map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1A.</w:t>
      </w:r>
      <w:r>
        <w:t xml:space="preserve"> </w:t>
      </w:r>
      <w:r>
        <w:t xml:space="preserve">Weevil sampling locations.</w:t>
      </w:r>
      <w:r>
        <w:t xml:space="preserve"> </w:t>
      </w:r>
      <w:r>
        <w:t xml:space="preserve">We collected Argentine stem weevils from 4 locations in the North Island and 7 locations in the South Island of New Zealand.</w:t>
      </w:r>
      <w:r>
        <w:t xml:space="preserve"> </w:t>
      </w:r>
      <w:r>
        <w:t xml:space="preserve">The number of weevils genotyped from each location is show on the map.</w:t>
      </w:r>
      <w:r>
        <w:t xml:space="preserve"> </w:t>
      </w:r>
    </w:p>
    <w:p>
      <w:pPr>
        <w:pStyle w:val="CaptionedFigure"/>
      </w:pPr>
      <w:r>
        <w:drawing>
          <wp:inline>
            <wp:extent cx="5943600" cy="4457700"/>
            <wp:effectExtent b="0" l="0" r="0" t="0"/>
            <wp:docPr descr="Figure 1B. B. Pricipal components analysis showing first two principal components. C. Some figure showing the high heterozygosity." title="" id="1" name="Picture"/>
            <a:graphic>
              <a:graphicData uri="http://schemas.openxmlformats.org/drawingml/2006/picture">
                <pic:pic>
                  <pic:nvPicPr>
                    <pic:cNvPr descr="/home/tom/Projects/stacks-asw/dapc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1B.</w:t>
      </w:r>
      <w:r>
        <w:t xml:space="preserve"> </w:t>
      </w:r>
      <w:r>
        <w:t xml:space="preserve">B. Pricipal components analysis showing first two principal components.</w:t>
      </w:r>
      <w:r>
        <w:t xml:space="preserve"> </w:t>
      </w:r>
      <w:r>
        <w:t xml:space="preserve">C. Some figure showing the high heterozygosity.</w:t>
      </w:r>
    </w:p>
    <w:p>
      <w:pPr>
        <w:pStyle w:val="Heading3"/>
      </w:pPr>
      <w:bookmarkStart w:id="40" w:name="the-argentine-stem-weevil-genome"/>
      <w:r>
        <w:t xml:space="preserve">The Argentine stem weevil genome</w:t>
      </w:r>
      <w:bookmarkEnd w:id="40"/>
    </w:p>
    <w:p>
      <w:pPr>
        <w:pStyle w:val="FirstParagraph"/>
      </w:pPr>
      <w:r>
        <w:t xml:space="preserve">To find genomic loci associated with between-population variation, we constructed a draft assembly of the ASW genome.</w:t>
      </w:r>
      <w:r>
        <w:t xml:space="preserve"> </w:t>
      </w:r>
      <w:r>
        <w:t xml:space="preserve">We initially attempted assembly from a single individual using PCR-free, short read sequencing.</w:t>
      </w:r>
      <w:r>
        <w:t xml:space="preserve"> </w:t>
      </w:r>
      <w:r>
        <w:t xml:space="preserve">This resulted in a fragmented assembly with low BUSCO scores (Table 1).</w:t>
      </w:r>
      <w:r>
        <w:t xml:space="preserve"> </w:t>
      </w:r>
      <w:r>
        <w:rPr>
          <w:i/>
        </w:rPr>
        <w:t xml:space="preserve">k</w:t>
      </w:r>
      <w:r>
        <w:t xml:space="preserve">-mer analysis on the raw reads suggested genomic repeat content of at least 28% and 2.1% heterozygosity (</w:t>
      </w:r>
      <w:r>
        <w:rPr>
          <w:b/>
        </w:rPr>
        <w:t xml:space="preserve">Supporting Information</w:t>
      </w:r>
      <w:r>
        <w:t xml:space="preserve">).</w:t>
      </w:r>
      <w:r>
        <w:t xml:space="preserve"> </w:t>
      </w:r>
      <w:r>
        <w:t xml:space="preserve">We then attempted to produce a long-read genome assembly using whole-genome amplification (WGA) of high molecular weight (HMW) DNA from a single individual, followed by sequencing on the Oxford Nanopore Technologies (ONT) MinION sequencer.</w:t>
      </w:r>
      <w:r>
        <w:t xml:space="preserve"> </w:t>
      </w:r>
      <w:r>
        <w:t xml:space="preserve">We produced 29.8 GB of quality-filtered reads with an</w:t>
      </w:r>
      <w:r>
        <w:t xml:space="preserve"> </w:t>
      </w:r>
      <w:r>
        <w:rPr>
          <w:i/>
        </w:rPr>
        <w:t xml:space="preserve">N</w:t>
      </w:r>
      <w:r>
        <w:rPr>
          <w:vertAlign w:val="subscript"/>
        </w:rPr>
        <w:t xml:space="preserve">50</w:t>
      </w:r>
      <w:r>
        <w:t xml:space="preserve"> </w:t>
      </w:r>
      <w:r>
        <w:t xml:space="preserve">length of 9.0 KB.</w:t>
      </w:r>
      <w:r>
        <w:t xml:space="preserve"> </w:t>
      </w:r>
      <w:r>
        <w:t xml:space="preserve">The low read</w:t>
      </w:r>
      <w:r>
        <w:t xml:space="preserve"> </w:t>
      </w:r>
      <w:r>
        <w:rPr>
          <w:i/>
        </w:rPr>
        <w:t xml:space="preserve">N</w:t>
      </w:r>
      <w:r>
        <w:rPr>
          <w:vertAlign w:val="subscript"/>
        </w:rPr>
        <w:t xml:space="preserve">50</w:t>
      </w:r>
      <w:r>
        <w:t xml:space="preserve"> </w:t>
      </w:r>
      <w:r>
        <w:t xml:space="preserve">length was caused by debranching of the amplified DNA by T7 Endonuclease I, which is necessary following multiple displacement amplification (see methods).</w:t>
      </w:r>
      <w:r>
        <w:t xml:space="preserve"> </w:t>
      </w:r>
      <w:r>
        <w:t xml:space="preserve">Assembling the single individual, long read genome resulted in improved contiguity and BUSCO scores (Table 1).</w:t>
      </w:r>
      <w:r>
        <w:t xml:space="preserve"> </w:t>
      </w:r>
      <w:r>
        <w:t xml:space="preserve">Consistent with the raw short read data, we detected an</w:t>
      </w:r>
      <w:r>
        <w:t xml:space="preserve"> </w:t>
      </w:r>
      <w:r>
        <w:rPr>
          <w:b/>
        </w:rPr>
        <w:t xml:space="preserve">extreme level (how much?)</w:t>
      </w:r>
      <w:r>
        <w:t xml:space="preserve"> </w:t>
      </w:r>
      <w:r>
        <w:t xml:space="preserve">of repeats in the single individual, long read genome (Table 1).</w:t>
      </w:r>
      <w:r>
        <w:t xml:space="preserve"> </w:t>
      </w:r>
      <w:r>
        <w:t xml:space="preserve">To improve assembly across long repeats, we produced a second ONT dataset with longer reads from HMW DNA from a two pools of 20 individuals each.</w:t>
      </w:r>
      <w:r>
        <w:t xml:space="preserve"> </w:t>
      </w:r>
      <w:r>
        <w:t xml:space="preserve">Sequencing these samples on the MinION sequencer produced a total of 12.0 GB of quality-filtered reads with an</w:t>
      </w:r>
      <w:r>
        <w:t xml:space="preserve"> </w:t>
      </w:r>
      <w:r>
        <w:rPr>
          <w:i/>
        </w:rPr>
        <w:t xml:space="preserve">N</w:t>
      </w:r>
      <w:r>
        <w:rPr>
          <w:vertAlign w:val="subscript"/>
        </w:rPr>
        <w:t xml:space="preserve">50</w:t>
      </w:r>
      <w:r>
        <w:t xml:space="preserve"> </w:t>
      </w:r>
      <w:r>
        <w:t xml:space="preserve">length of 19.5 KB.</w:t>
      </w:r>
      <w:r>
        <w:t xml:space="preserve"> </w:t>
      </w:r>
      <w:r>
        <w:rPr>
          <w:b/>
        </w:rPr>
        <w:t xml:space="preserve">For completeness, assemble the pooled genome alone?</w:t>
      </w:r>
      <w:r>
        <w:t xml:space="preserve">.</w:t>
      </w:r>
      <w:r>
        <w:t xml:space="preserve"> </w:t>
      </w:r>
      <w:r>
        <w:t xml:space="preserve">We constructed a combined, long-read genome using the pooled, long-read dataset for contig construction, and the single-individual, long-read dataset for assembly polishing.</w:t>
      </w:r>
      <w:r>
        <w:t xml:space="preserve"> </w:t>
      </w:r>
      <w:r>
        <w:t xml:space="preserve">This resulted in a more contiguous assembly, but a large number of redundant contigs (Table 1), presumably because of the high rate of heterozygosity in the pooled, long-read dataset.</w:t>
      </w:r>
      <w:r>
        <w:t xml:space="preserve"> </w:t>
      </w:r>
      <w:r>
        <w:t xml:space="preserve">We produced a final draft assembly of 1.1 GB (Table 1) by using the PCR-free, short read sequencing data from a single individual with the purge_haplotigs pipeline to remove redundant contigs from the combined long read assembly</w:t>
      </w:r>
      <w:r>
        <w:t xml:space="preserve"> </w:t>
      </w:r>
      <w:r>
        <w:t xml:space="preserve">[10]</w:t>
      </w:r>
      <w:r>
        <w:t xml:space="preserve">.</w:t>
      </w:r>
      <w:r>
        <w:t xml:space="preserve"> </w:t>
      </w:r>
      <w:r>
        <w:rPr>
          <w:b/>
        </w:rPr>
        <w:t xml:space="preserve">Something about the repetitiveness</w:t>
      </w:r>
      <w:r>
        <w:t xml:space="preserve">.</w:t>
      </w:r>
      <w:r>
        <w:t xml:space="preserve"> </w:t>
      </w:r>
      <w:r>
        <w:t xml:space="preserve">We used our final draft genome for all subsequent analyses.</w:t>
      </w:r>
    </w:p>
    <w:p>
      <w:pPr>
        <w:pStyle w:val="TableCaption"/>
      </w:pPr>
      <w:r>
        <w:rPr>
          <w:b/>
        </w:rPr>
        <w:t xml:space="preserve">Table 1</w:t>
      </w:r>
      <w:r>
        <w:t xml:space="preserve">. Assembly statistics for draft and intermediate assemblies.</w:t>
      </w:r>
    </w:p>
    <w:tbl>
      <w:tblPr>
        <w:tblStyle w:val="Table"/>
        <w:tblW w:type="pct" w:w="4999.999999999999"/>
        <w:tblLook w:firstRow="1"/>
        <w:tblCaption w:val="Table 1. Assembly statistics for draft and intermediate assemblies."/>
      </w:tblPr>
      <w:tblGrid>
        <w:gridCol w:w="1853"/>
        <w:gridCol w:w="1095"/>
        <w:gridCol w:w="1769"/>
        <w:gridCol w:w="1011"/>
        <w:gridCol w:w="1011"/>
        <w:gridCol w:w="117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Short 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Single individual,</w:t>
            </w:r>
            <w:r>
              <w:t xml:space="preserve"> </w:t>
            </w:r>
            <w:r>
              <w:t xml:space="preserve">long 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Pooled,</w:t>
            </w:r>
            <w:r>
              <w:t xml:space="preserve"> </w:t>
            </w:r>
            <w:r>
              <w:t xml:space="preserve">long 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Combined,</w:t>
            </w:r>
            <w:r>
              <w:t xml:space="preserve"> </w:t>
            </w:r>
            <w:r>
              <w:t xml:space="preserve">long 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Final draft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Assembly</w:t>
            </w:r>
            <w:r>
              <w:t xml:space="preserve"> </w:t>
            </w:r>
            <w:r>
              <w:t xml:space="preserve">length (Gb)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N</w:t>
            </w:r>
            <w:r>
              <w:rPr>
                <w:vertAlign w:val="subscript"/>
              </w:rP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53046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2681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N</w:t>
            </w:r>
            <w:r>
              <w:rPr>
                <w:vertAlign w:val="subscript"/>
              </w:rPr>
              <w:t xml:space="preserve">50</w:t>
            </w:r>
            <w:r>
              <w:t xml:space="preserve"> </w:t>
            </w:r>
            <w:r>
              <w:t xml:space="preserve">length (kb)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122.3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Complete</w:t>
            </w:r>
            <w:r>
              <w:t xml:space="preserve"> </w:t>
            </w:r>
            <w:r>
              <w:t xml:space="preserve">single-copy</w:t>
            </w:r>
            <w:r>
              <w:t xml:space="preserve"> </w:t>
            </w:r>
            <w:r>
              <w:t xml:space="preserve">BUSCOs (%)</w:t>
            </w:r>
          </w:p>
        </w:tc>
        <w:tc>
          <w:p>
            <w:pPr>
              <w:pStyle w:val="Compact"/>
              <w:jc w:val="center"/>
            </w:pPr>
            <w:r>
              <w:t xml:space="preserve">32.7</w:t>
            </w:r>
          </w:p>
        </w:tc>
        <w:tc>
          <w:p>
            <w:pPr>
              <w:pStyle w:val="Compact"/>
              <w:jc w:val="center"/>
            </w:pPr>
            <w:r>
              <w:t xml:space="preserve">72.2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69.2</w:t>
            </w:r>
          </w:p>
        </w:tc>
        <w:tc>
          <w:p>
            <w:pPr>
              <w:pStyle w:val="Compact"/>
              <w:jc w:val="center"/>
            </w:pPr>
            <w:r>
              <w:t xml:space="preserve">78.8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Complete</w:t>
            </w:r>
            <w:r>
              <w:t xml:space="preserve"> </w:t>
            </w:r>
            <w:r>
              <w:t xml:space="preserve">multiple-copy</w:t>
            </w:r>
            <w:r>
              <w:t xml:space="preserve"> </w:t>
            </w:r>
            <w:r>
              <w:t xml:space="preserve">BUSCOs (%)</w:t>
            </w:r>
          </w:p>
        </w:tc>
        <w:tc>
          <w:p>
            <w:pPr>
              <w:pStyle w:val="Compact"/>
              <w:jc w:val="center"/>
            </w:pPr>
            <w:r>
              <w:t xml:space="preserve">17.2</w:t>
            </w:r>
          </w:p>
        </w:tc>
        <w:tc>
          <w:p>
            <w:pPr>
              <w:pStyle w:val="Compact"/>
              <w:jc w:val="center"/>
            </w:pPr>
            <w:r>
              <w:t xml:space="preserve">7.5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Repeat fraction</w:t>
            </w:r>
          </w:p>
        </w:tc>
        <w:tc>
          <w:p>
            <w:pPr>
              <w:pStyle w:val="Compact"/>
              <w:jc w:val="center"/>
            </w:pPr>
            <w:r>
              <w:t xml:space="preserve">n.d.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</w:tr>
    </w:tbl>
    <w:p>
      <w:pPr>
        <w:pStyle w:val="Heading3"/>
      </w:pPr>
      <w:bookmarkStart w:id="41" w:name="X53f798f8dda806488ebc8b15e3612250f1e8c85"/>
      <w:r>
        <w:t xml:space="preserve">Variation associates with a North-South cline</w:t>
      </w:r>
      <w:bookmarkEnd w:id="41"/>
    </w:p>
    <w:p>
      <w:pPr>
        <w:pStyle w:val="FirstParagraph"/>
      </w:pPr>
      <w:r>
        <w:t xml:space="preserve">etc. etc.</w:t>
      </w:r>
    </w:p>
    <w:p>
      <w:pPr>
        <w:pStyle w:val="Heading2"/>
      </w:pPr>
      <w:bookmarkStart w:id="42" w:name="discussion"/>
      <w:r>
        <w:t xml:space="preserve">Discussion</w:t>
      </w:r>
      <w:bookmarkEnd w:id="42"/>
    </w:p>
    <w:p>
      <w:pPr>
        <w:pStyle w:val="Heading2"/>
      </w:pPr>
      <w:bookmarkStart w:id="43" w:name="authors-contributions"/>
      <w:r>
        <w:t xml:space="preserve">Authors’ contributions</w:t>
      </w:r>
      <w:bookmarkEnd w:id="43"/>
    </w:p>
    <w:p>
      <w:pPr>
        <w:pStyle w:val="Heading2"/>
      </w:pPr>
      <w:bookmarkStart w:id="44" w:name="acknowledgements"/>
      <w:r>
        <w:t xml:space="preserve">Acknowledgements</w:t>
      </w:r>
      <w:bookmarkEnd w:id="44"/>
    </w:p>
    <w:p>
      <w:pPr>
        <w:pStyle w:val="Heading2"/>
      </w:pPr>
      <w:bookmarkStart w:id="45" w:name="data-availability"/>
      <w:r>
        <w:t xml:space="preserve">Data availability</w:t>
      </w:r>
      <w:bookmarkEnd w:id="45"/>
    </w:p>
    <w:p>
      <w:pPr>
        <w:pStyle w:val="Heading2"/>
      </w:pPr>
      <w:bookmarkStart w:id="46" w:name="references"/>
      <w:r>
        <w:t xml:space="preserve">References</w:t>
      </w:r>
      <w:bookmarkEnd w:id="46"/>
    </w:p>
    <w:bookmarkStart w:id="73" w:name="refs"/>
    <w:bookmarkStart w:id="48" w:name="ref-kahleGgmapSpatialVisualization2013"/>
    <w:p>
      <w:pPr>
        <w:pStyle w:val="Bibliography"/>
      </w:pPr>
      <w:r>
        <w:t xml:space="preserve">1. Kahle, D.; Wickham, H. Ggmap: Spatial Visualization with ggplot2.</w:t>
      </w:r>
      <w:r>
        <w:t xml:space="preserve"> </w:t>
      </w:r>
      <w:r>
        <w:rPr>
          <w:i/>
        </w:rPr>
        <w:t xml:space="preserve">The R Journal</w:t>
      </w:r>
      <w:r>
        <w:t xml:space="preserve"> </w:t>
      </w:r>
      <w:r>
        <w:rPr>
          <w:b/>
        </w:rPr>
        <w:t xml:space="preserve">2013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 144. doi:</w:t>
      </w:r>
      <w:r>
        <w:t xml:space="preserve"> </w:t>
      </w:r>
      <w:hyperlink r:id="rId47">
        <w:r>
          <w:rPr>
            <w:rStyle w:val="Hyperlink"/>
          </w:rPr>
          <w:t xml:space="preserve">10.32614/RJ-2013-014</w:t>
        </w:r>
      </w:hyperlink>
      <w:r>
        <w:t xml:space="preserve">.</w:t>
      </w:r>
    </w:p>
    <w:bookmarkEnd w:id="48"/>
    <w:bookmarkStart w:id="49" w:name="ref-bushnellBBMapFastAccurate2014"/>
    <w:p>
      <w:pPr>
        <w:pStyle w:val="Bibliography"/>
      </w:pPr>
      <w:r>
        <w:t xml:space="preserve">2. Bushnell, B.</w:t>
      </w:r>
      <w:r>
        <w:t xml:space="preserve"> </w:t>
      </w:r>
      <w:r>
        <w:rPr>
          <w:i/>
        </w:rPr>
        <w:t xml:space="preserve">BBMap: A Fast, Accurate, Splice-Aware Aligner</w:t>
      </w:r>
      <w:r>
        <w:t xml:space="preserve">; Lawrence Berkeley National Lab. (LBNL), Berkeley, CA (United States), 2014;Lawrence Berkeley National Lab. (LBNL), Berkeley, CA (United States).</w:t>
      </w:r>
    </w:p>
    <w:bookmarkEnd w:id="49"/>
    <w:bookmarkStart w:id="51" w:name="ref-chapmanMeraculousNovoGenome2011"/>
    <w:p>
      <w:pPr>
        <w:pStyle w:val="Bibliography"/>
      </w:pPr>
      <w:r>
        <w:t xml:space="preserve">3. Chapman, J.A.; Ho, I.; Sunkara, S.; Luo, S.; Schroth, G.P.; Rokhsar, D.S. Meraculous: De Novo Genome Assembly with Short Paired-End Reads.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rPr>
          <w:b/>
        </w:rPr>
        <w:t xml:space="preserve">2011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. doi:</w:t>
      </w:r>
      <w:r>
        <w:t xml:space="preserve"> </w:t>
      </w:r>
      <w:hyperlink r:id="rId50">
        <w:r>
          <w:rPr>
            <w:rStyle w:val="Hyperlink"/>
          </w:rPr>
          <w:t xml:space="preserve">10.1371/journal.pone.0023501</w:t>
        </w:r>
      </w:hyperlink>
      <w:r>
        <w:t xml:space="preserve">.</w:t>
      </w:r>
    </w:p>
    <w:bookmarkEnd w:id="51"/>
    <w:bookmarkStart w:id="53" w:name="ref-chapmanMeraculous2FastAccurate2016"/>
    <w:p>
      <w:pPr>
        <w:pStyle w:val="Bibliography"/>
      </w:pPr>
      <w:r>
        <w:t xml:space="preserve">4. Chapman, J.A.; Ho, I.Y.; Goltsman, E.; Rokhsar, D.S. Meraculous2: Fast accurate short-read assembly of large polymorphic genomes.</w:t>
      </w:r>
      <w:r>
        <w:t xml:space="preserve"> </w:t>
      </w:r>
      <w:r>
        <w:rPr>
          <w:i/>
        </w:rPr>
        <w:t xml:space="preserve">arXiv:1608.01031 [cs, q-bio]</w:t>
      </w:r>
      <w:r>
        <w:t xml:space="preserve"> </w:t>
      </w:r>
      <w:r>
        <w:rPr>
          <w:b/>
        </w:rPr>
        <w:t xml:space="preserve">2016</w:t>
      </w:r>
      <w:r>
        <w:t xml:space="preserve">. Retrieved from</w:t>
      </w:r>
      <w:r>
        <w:t xml:space="preserve"> </w:t>
      </w:r>
      <w:hyperlink r:id="rId52">
        <w:r>
          <w:rPr>
            <w:rStyle w:val="Hyperlink"/>
          </w:rPr>
          <w:t xml:space="preserve">http://arxiv.org/abs/1608.01031</w:t>
        </w:r>
      </w:hyperlink>
      <w:r>
        <w:t xml:space="preserve">.</w:t>
      </w:r>
    </w:p>
    <w:bookmarkEnd w:id="53"/>
    <w:bookmarkStart w:id="55" w:name="X94f9d95eb9b9f1c78d2e3faaf609513e07e0bde"/>
    <w:p>
      <w:pPr>
        <w:pStyle w:val="Bibliography"/>
      </w:pPr>
      <w:r>
        <w:t xml:space="preserve">5. Goltsman, E.; Ho, I.; Rokhsar, D. Meraculous-2D: Haplotype-sensitive Assembly of Highly Heterozygous genomes.</w:t>
      </w:r>
      <w:r>
        <w:t xml:space="preserve"> </w:t>
      </w:r>
      <w:r>
        <w:rPr>
          <w:i/>
        </w:rPr>
        <w:t xml:space="preserve">arXiv:1703.09852 [q-bio]</w:t>
      </w:r>
      <w:r>
        <w:t xml:space="preserve"> </w:t>
      </w:r>
      <w:r>
        <w:rPr>
          <w:b/>
        </w:rPr>
        <w:t xml:space="preserve">2017</w:t>
      </w:r>
      <w:r>
        <w:t xml:space="preserve">. Retrieved from</w:t>
      </w:r>
      <w:r>
        <w:t xml:space="preserve"> </w:t>
      </w:r>
      <w:hyperlink r:id="rId54">
        <w:r>
          <w:rPr>
            <w:rStyle w:val="Hyperlink"/>
          </w:rPr>
          <w:t xml:space="preserve">http://arxiv.org/abs/1703.09852</w:t>
        </w:r>
      </w:hyperlink>
      <w:r>
        <w:t xml:space="preserve">.</w:t>
      </w:r>
    </w:p>
    <w:bookmarkEnd w:id="55"/>
    <w:bookmarkStart w:id="57" w:name="ref-harropHMWDNAExtraction2018"/>
    <w:p>
      <w:pPr>
        <w:pStyle w:val="Bibliography"/>
      </w:pPr>
      <w:r>
        <w:t xml:space="preserve">6. Harrop, T. HMW DNA extraction for insects.</w:t>
      </w:r>
      <w:r>
        <w:t xml:space="preserve"> </w:t>
      </w:r>
      <w:r>
        <w:rPr>
          <w:b/>
        </w:rPr>
        <w:t xml:space="preserve">2018</w:t>
      </w:r>
      <w:r>
        <w:t xml:space="preserve">. doi:</w:t>
      </w:r>
      <w:r>
        <w:t xml:space="preserve"> </w:t>
      </w:r>
      <w:hyperlink r:id="rId56">
        <w:r>
          <w:rPr>
            <w:rStyle w:val="Hyperlink"/>
          </w:rPr>
          <w:t xml:space="preserve">10.17504/protocols.io.pnwdmfe</w:t>
        </w:r>
      </w:hyperlink>
      <w:r>
        <w:t xml:space="preserve">.</w:t>
      </w:r>
    </w:p>
    <w:bookmarkEnd w:id="57"/>
    <w:bookmarkStart w:id="58" w:name="ref-wickRrwickPorechop2020"/>
    <w:p>
      <w:pPr>
        <w:pStyle w:val="Bibliography"/>
      </w:pPr>
      <w:r>
        <w:t xml:space="preserve">7. Wick, R. Rrwick/Porechop 2020.</w:t>
      </w:r>
    </w:p>
    <w:bookmarkEnd w:id="58"/>
    <w:bookmarkStart w:id="60" w:name="ref-kolmogorovAssemblyLongErrorprone2019"/>
    <w:p>
      <w:pPr>
        <w:pStyle w:val="Bibliography"/>
      </w:pPr>
      <w:r>
        <w:t xml:space="preserve">8. Kolmogorov, M.; Yuan, J.; Lin, Y.; Pevzner, P.A. Assembly of long, error-prone reads using repeat graphs.</w:t>
      </w:r>
      <w:r>
        <w:t xml:space="preserve"> </w:t>
      </w:r>
      <w:r>
        <w:rPr>
          <w:i/>
        </w:rPr>
        <w:t xml:space="preserve">Nature Biotechnology</w:t>
      </w:r>
      <w:r>
        <w:t xml:space="preserve"> </w:t>
      </w:r>
      <w:r>
        <w:rPr>
          <w:b/>
        </w:rPr>
        <w:t xml:space="preserve">2019</w:t>
      </w:r>
      <w:r>
        <w:t xml:space="preserve">, 1. doi:</w:t>
      </w:r>
      <w:r>
        <w:t xml:space="preserve"> </w:t>
      </w:r>
      <w:hyperlink r:id="rId59">
        <w:r>
          <w:rPr>
            <w:rStyle w:val="Hyperlink"/>
          </w:rPr>
          <w:t xml:space="preserve">10.1038/s41587-019-0072-8</w:t>
        </w:r>
      </w:hyperlink>
      <w:r>
        <w:t xml:space="preserve">.</w:t>
      </w:r>
    </w:p>
    <w:bookmarkEnd w:id="60"/>
    <w:bookmarkStart w:id="62" w:name="ref-simaoBUSCOAssessingGenome2015"/>
    <w:p>
      <w:pPr>
        <w:pStyle w:val="Bibliography"/>
      </w:pPr>
      <w:r>
        <w:t xml:space="preserve">9. Simão, F.A.; Waterhouse, R.M.; Ioannidis, P.; Kriventseva, E.V.; Zdobnov, E.M. BUSCO: Assessing genome assembly and annotation completeness with single-copy orthologs.</w:t>
      </w:r>
      <w:r>
        <w:t xml:space="preserve"> </w:t>
      </w:r>
      <w:r>
        <w:rPr>
          <w:i/>
        </w:rPr>
        <w:t xml:space="preserve">Bioinformatics</w:t>
      </w:r>
      <w:r>
        <w:t xml:space="preserve"> </w:t>
      </w:r>
      <w:r>
        <w:rPr>
          <w:b/>
        </w:rPr>
        <w:t xml:space="preserve">2015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, 3210–3212. doi:</w:t>
      </w:r>
      <w:r>
        <w:t xml:space="preserve"> </w:t>
      </w:r>
      <w:hyperlink r:id="rId61">
        <w:r>
          <w:rPr>
            <w:rStyle w:val="Hyperlink"/>
          </w:rPr>
          <w:t xml:space="preserve">10.1093/bioinformatics/btv351</w:t>
        </w:r>
      </w:hyperlink>
      <w:r>
        <w:t xml:space="preserve">.</w:t>
      </w:r>
    </w:p>
    <w:bookmarkEnd w:id="62"/>
    <w:bookmarkStart w:id="64" w:name="ref-roachPurgeHaplotigsAllelic2018"/>
    <w:p>
      <w:pPr>
        <w:pStyle w:val="Bibliography"/>
      </w:pPr>
      <w:r>
        <w:t xml:space="preserve">10. Roach, M.J.; Schmidt, S.A.; Borneman, A.R. Purge Haplotigs: Allelic contig reassignment for third-gen diploid genome assemblies.</w:t>
      </w:r>
      <w:r>
        <w:t xml:space="preserve"> </w:t>
      </w:r>
      <w:r>
        <w:rPr>
          <w:i/>
        </w:rPr>
        <w:t xml:space="preserve">BMC Bioinformatics</w:t>
      </w:r>
      <w:r>
        <w:t xml:space="preserve"> </w:t>
      </w:r>
      <w:r>
        <w:rPr>
          <w:b/>
        </w:rPr>
        <w:t xml:space="preserve">2018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, 460. doi:</w:t>
      </w:r>
      <w:r>
        <w:t xml:space="preserve"> </w:t>
      </w:r>
      <w:hyperlink r:id="rId63">
        <w:r>
          <w:rPr>
            <w:rStyle w:val="Hyperlink"/>
          </w:rPr>
          <w:t xml:space="preserve">10.1186/s12859-018-2485-7</w:t>
        </w:r>
      </w:hyperlink>
      <w:r>
        <w:t xml:space="preserve">.</w:t>
      </w:r>
    </w:p>
    <w:bookmarkEnd w:id="64"/>
    <w:bookmarkStart w:id="65" w:name="ref-smitRepeatModelerOpen12015"/>
    <w:p>
      <w:pPr>
        <w:pStyle w:val="Bibliography"/>
      </w:pPr>
      <w:r>
        <w:t xml:space="preserve">11. Smit, A.F.A.; Hubley, R. RepeatModeler Open-1.0 2015.</w:t>
      </w:r>
    </w:p>
    <w:bookmarkEnd w:id="65"/>
    <w:bookmarkStart w:id="66" w:name="ref-smitRepeatMaskerOpen42015"/>
    <w:p>
      <w:pPr>
        <w:pStyle w:val="Bibliography"/>
      </w:pPr>
      <w:r>
        <w:t xml:space="preserve">12. Smit, A.F.A.; Hubley, R.; Green, P. RepeatMasker Open-4.0. 2015.</w:t>
      </w:r>
    </w:p>
    <w:bookmarkEnd w:id="66"/>
    <w:bookmarkStart w:id="68" w:name="X2e700f92c6894ae11db64f79d26700cf6bc7cef"/>
    <w:p>
      <w:pPr>
        <w:pStyle w:val="Bibliography"/>
      </w:pPr>
      <w:r>
        <w:t xml:space="preserve">13. Köster, J.; Rahmann, S. Snakemake—a scalable bioinformatics workflow engine.</w:t>
      </w:r>
      <w:r>
        <w:t xml:space="preserve"> </w:t>
      </w:r>
      <w:r>
        <w:rPr>
          <w:i/>
        </w:rPr>
        <w:t xml:space="preserve">Bioinformatics</w:t>
      </w:r>
      <w:r>
        <w:t xml:space="preserve"> </w:t>
      </w:r>
      <w:r>
        <w:rPr>
          <w:b/>
        </w:rPr>
        <w:t xml:space="preserve">2012</w:t>
      </w:r>
      <w:r>
        <w:t xml:space="preserve">,</w:t>
      </w:r>
      <w:r>
        <w:t xml:space="preserve"> </w:t>
      </w:r>
      <w:r>
        <w:rPr>
          <w:i/>
        </w:rPr>
        <w:t xml:space="preserve">28</w:t>
      </w:r>
      <w:r>
        <w:t xml:space="preserve">, 2520–2522. doi:</w:t>
      </w:r>
      <w:r>
        <w:t xml:space="preserve"> </w:t>
      </w:r>
      <w:hyperlink r:id="rId67">
        <w:r>
          <w:rPr>
            <w:rStyle w:val="Hyperlink"/>
          </w:rPr>
          <w:t xml:space="preserve">10.1093/bioinformatics/bts480</w:t>
        </w:r>
      </w:hyperlink>
      <w:r>
        <w:t xml:space="preserve">.</w:t>
      </w:r>
    </w:p>
    <w:bookmarkEnd w:id="68"/>
    <w:bookmarkStart w:id="70" w:name="X86f5b1c0410ab16c725f5c26d810badc87f678c"/>
    <w:p>
      <w:pPr>
        <w:pStyle w:val="Bibliography"/>
      </w:pPr>
      <w:r>
        <w:t xml:space="preserve">14. Kurtzer, G.M.; Sochat, V.; Bauer, M.W. Singularity: Scientific containers for mobility of compute.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rPr>
          <w:b/>
        </w:rPr>
        <w:t xml:space="preserve">2017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, e0177459. doi:</w:t>
      </w:r>
      <w:r>
        <w:t xml:space="preserve"> </w:t>
      </w:r>
      <w:hyperlink r:id="rId69">
        <w:r>
          <w:rPr>
            <w:rStyle w:val="Hyperlink"/>
          </w:rPr>
          <w:t xml:space="preserve">10.1371/journal.pone.0177459</w:t>
        </w:r>
      </w:hyperlink>
      <w:r>
        <w:t xml:space="preserve">.</w:t>
      </w:r>
    </w:p>
    <w:bookmarkEnd w:id="70"/>
    <w:bookmarkStart w:id="72" w:name="X7e5d3b19ecae1eb3c11e14192d9ddf88629ea2e"/>
    <w:p>
      <w:pPr>
        <w:pStyle w:val="Bibliography"/>
      </w:pPr>
      <w:r>
        <w:t xml:space="preserve">15. Elshire, R.J.; Glaubitz, J.C.; Sun, Q.; Poland, J.A.; Kawamoto, K.; Buckler, E.S.; Mitchell, S.E. A Robust, Simple Genotyping-by-Sequencing (GBS) Approach for High Diversity Species.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rPr>
          <w:b/>
        </w:rPr>
        <w:t xml:space="preserve">2011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 e19379. doi:</w:t>
      </w:r>
      <w:r>
        <w:t xml:space="preserve"> </w:t>
      </w:r>
      <w:hyperlink r:id="rId71">
        <w:r>
          <w:rPr>
            <w:rStyle w:val="Hyperlink"/>
          </w:rPr>
          <w:t xml:space="preserve">10.1371/journal.pone.0019379</w:t>
        </w:r>
      </w:hyperlink>
      <w:r>
        <w:t xml:space="preserve">.</w:t>
      </w:r>
    </w:p>
    <w:bookmarkEnd w:id="72"/>
    <w:bookmarkEnd w:id="73"/>
    <w:sectPr>
      <w:footerReference w:type="default" r:id="rId9"/>
      <w:type w:val="nextPage"/>
      <w:pgSz w:w="12240" w:h="15840"/>
      <w:pgMar w:left="1440" w:right="1440" w:header="0" w:top="1440" w:footer="1440" w:bottom="2016" w:gutter="0"/>
      <w:lnNumType w:countBy="1" w:restart="continuous" w:distance="283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  <w:r>
      <w:rPr/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0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clear" w:pos="720"/>
      </w:tabs>
      <w:overflowPunct w:val="false"/>
      <w:bidi w:val="0"/>
      <w:spacing w:lineRule="auto" w:line="480" w:before="0" w:after="0"/>
      <w:jc w:val="left"/>
    </w:pPr>
    <w:rPr>
      <w:rFonts w:ascii="Georgia" w:hAnsi="Georgia" w:eastAsia="Lucida Sans Unicode" w:cs="Tahoma"/>
      <w:color w:val="auto"/>
      <w:kern w:val="2"/>
      <w:sz w:val="24"/>
      <w:szCs w:val="24"/>
      <w:lang w:val="en-GB-oxendict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uppressLineNumbers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pageBreakBefore/>
      <w:numPr>
        <w:ilvl w:val="1"/>
        <w:numId w:val="1"/>
      </w:numPr>
      <w:suppressLineNumbers/>
      <w:jc w:val="left"/>
      <w:outlineLvl w:val="1"/>
    </w:pPr>
    <w:rPr>
      <w:b/>
      <w:bCs/>
      <w:i w:val="false"/>
      <w:iCs/>
      <w:caps w:val="false"/>
      <w:smallCaps w:val="false"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uppressLineNumbers/>
      <w:outlineLvl w:val="2"/>
    </w:pPr>
    <w:rPr>
      <w:b/>
      <w:bCs/>
      <w:i w:val="false"/>
      <w:sz w:val="24"/>
      <w:szCs w:val="28"/>
    </w:rPr>
  </w:style>
  <w:style w:type="paragraph" w:styleId="Heading4">
    <w:name w:val="Heading 4"/>
    <w:basedOn w:val="Heading3"/>
    <w:next w:val="TextBody"/>
    <w:qFormat/>
    <w:pPr>
      <w:keepLines/>
      <w:numPr>
        <w:ilvl w:val="3"/>
        <w:numId w:val="1"/>
      </w:numPr>
      <w:suppressLineNumbers/>
      <w:outlineLvl w:val="3"/>
    </w:pPr>
    <w:rPr>
      <w:b/>
      <w:bCs/>
      <w:i w:val="false"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7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4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character" w:styleId="LineNumbering">
    <w:name w:val="Line Numbering"/>
    <w:rPr/>
  </w:style>
  <w:style w:type="character" w:styleId="KeywordTok" w:customStyle="1">
    <w:name w:val="KeywordTok"/>
    <w:qFormat/>
    <w:rPr>
      <w:b/>
      <w:color w:val="007020"/>
    </w:rPr>
  </w:style>
  <w:style w:type="character" w:styleId="DataTypeTok" w:customStyle="1">
    <w:name w:val="DataTypeTok"/>
    <w:qFormat/>
    <w:rPr>
      <w:color w:val="902000"/>
    </w:rPr>
  </w:style>
  <w:style w:type="character" w:styleId="DecValTok" w:customStyle="1">
    <w:name w:val="DecValTok"/>
    <w:qFormat/>
    <w:rPr>
      <w:color w:val="40A070"/>
    </w:rPr>
  </w:style>
  <w:style w:type="character" w:styleId="BaseNTok" w:customStyle="1">
    <w:name w:val="BaseNTok"/>
    <w:qFormat/>
    <w:rPr>
      <w:color w:val="40A070"/>
    </w:rPr>
  </w:style>
  <w:style w:type="character" w:styleId="FloatTok" w:customStyle="1">
    <w:name w:val="FloatTok"/>
    <w:qFormat/>
    <w:rPr>
      <w:color w:val="40A070"/>
    </w:rPr>
  </w:style>
  <w:style w:type="character" w:styleId="ConstantTok" w:customStyle="1">
    <w:name w:val="ConstantTok"/>
    <w:qFormat/>
    <w:rPr>
      <w:color w:val="880000"/>
    </w:rPr>
  </w:style>
  <w:style w:type="character" w:styleId="CharTok" w:customStyle="1">
    <w:name w:val="CharTok"/>
    <w:qFormat/>
    <w:rPr>
      <w:color w:val="4070A0"/>
    </w:rPr>
  </w:style>
  <w:style w:type="character" w:styleId="SpecialCharTok" w:customStyle="1">
    <w:name w:val="SpecialCharTok"/>
    <w:qFormat/>
    <w:rPr>
      <w:color w:val="4070A0"/>
    </w:rPr>
  </w:style>
  <w:style w:type="character" w:styleId="StringTok" w:customStyle="1">
    <w:name w:val="StringTok"/>
    <w:qFormat/>
    <w:rPr>
      <w:color w:val="4070A0"/>
    </w:rPr>
  </w:style>
  <w:style w:type="character" w:styleId="VerbatimStringTok" w:customStyle="1">
    <w:name w:val="VerbatimStringTok"/>
    <w:qFormat/>
    <w:rPr>
      <w:color w:val="4070A0"/>
    </w:rPr>
  </w:style>
  <w:style w:type="character" w:styleId="SpecialStringTok" w:customStyle="1">
    <w:name w:val="SpecialStringTok"/>
    <w:qFormat/>
    <w:rPr>
      <w:color w:val="BB6688"/>
    </w:rPr>
  </w:style>
  <w:style w:type="character" w:styleId="ImportTok" w:customStyle="1">
    <w:name w:val="ImportTok"/>
    <w:qFormat/>
    <w:rPr/>
  </w:style>
  <w:style w:type="character" w:styleId="CommentTok" w:customStyle="1">
    <w:name w:val="CommentTok"/>
    <w:qFormat/>
    <w:rPr>
      <w:i/>
      <w:color w:val="60A0B0"/>
    </w:rPr>
  </w:style>
  <w:style w:type="character" w:styleId="DocumentationTok" w:customStyle="1">
    <w:name w:val="DocumentationTok"/>
    <w:qFormat/>
    <w:rPr>
      <w:i/>
      <w:color w:val="BA2121"/>
    </w:rPr>
  </w:style>
  <w:style w:type="character" w:styleId="AnnotationTok" w:customStyle="1">
    <w:name w:val="AnnotationTok"/>
    <w:qFormat/>
    <w:rPr>
      <w:b/>
      <w:i/>
      <w:color w:val="60A0B0"/>
    </w:rPr>
  </w:style>
  <w:style w:type="character" w:styleId="CommentVarTok" w:customStyle="1">
    <w:name w:val="CommentVarTok"/>
    <w:qFormat/>
    <w:rPr>
      <w:b/>
      <w:i/>
      <w:color w:val="60A0B0"/>
    </w:rPr>
  </w:style>
  <w:style w:type="character" w:styleId="OtherTok" w:customStyle="1">
    <w:name w:val="OtherTok"/>
    <w:qFormat/>
    <w:rPr>
      <w:color w:val="007020"/>
    </w:rPr>
  </w:style>
  <w:style w:type="character" w:styleId="FunctionTok" w:customStyle="1">
    <w:name w:val="FunctionTok"/>
    <w:qFormat/>
    <w:rPr>
      <w:color w:val="06287E"/>
    </w:rPr>
  </w:style>
  <w:style w:type="character" w:styleId="VariableTok" w:customStyle="1">
    <w:name w:val="VariableTok"/>
    <w:qFormat/>
    <w:rPr>
      <w:color w:val="19177C"/>
    </w:rPr>
  </w:style>
  <w:style w:type="character" w:styleId="ControlFlowTok" w:customStyle="1">
    <w:name w:val="ControlFlowTok"/>
    <w:qFormat/>
    <w:rPr>
      <w:b/>
      <w:color w:val="007020"/>
    </w:rPr>
  </w:style>
  <w:style w:type="character" w:styleId="OperatorTok" w:customStyle="1">
    <w:name w:val="OperatorTok"/>
    <w:qFormat/>
    <w:rPr>
      <w:color w:val="666666"/>
    </w:rPr>
  </w:style>
  <w:style w:type="character" w:styleId="BuiltInTok" w:customStyle="1">
    <w:name w:val="BuiltInTok"/>
    <w:qFormat/>
    <w:rPr/>
  </w:style>
  <w:style w:type="character" w:styleId="ExtensionTok" w:customStyle="1">
    <w:name w:val="ExtensionTok"/>
    <w:qFormat/>
    <w:rPr/>
  </w:style>
  <w:style w:type="character" w:styleId="PreprocessorTok" w:customStyle="1">
    <w:name w:val="PreprocessorTok"/>
    <w:qFormat/>
    <w:rPr>
      <w:color w:val="BC7A00"/>
    </w:rPr>
  </w:style>
  <w:style w:type="character" w:styleId="AttributeTok" w:customStyle="1">
    <w:name w:val="AttributeTok"/>
    <w:qFormat/>
    <w:rPr>
      <w:color w:val="7D9029"/>
    </w:rPr>
  </w:style>
  <w:style w:type="character" w:styleId="RegionMarkerTok" w:customStyle="1">
    <w:name w:val="RegionMarkerTok"/>
    <w:qFormat/>
    <w:rPr/>
  </w:style>
  <w:style w:type="character" w:styleId="InformationTok" w:customStyle="1">
    <w:name w:val="InformationTok"/>
    <w:qFormat/>
    <w:rPr>
      <w:b/>
      <w:i/>
      <w:color w:val="60A0B0"/>
    </w:rPr>
  </w:style>
  <w:style w:type="character" w:styleId="WarningTok" w:customStyle="1">
    <w:name w:val="WarningTok"/>
    <w:qFormat/>
    <w:rPr>
      <w:b/>
      <w:i/>
      <w:color w:val="60A0B0"/>
    </w:rPr>
  </w:style>
  <w:style w:type="character" w:styleId="AlertTok" w:customStyle="1">
    <w:name w:val="AlertTok"/>
    <w:qFormat/>
    <w:rPr>
      <w:b/>
      <w:color w:val="FF0000"/>
    </w:rPr>
  </w:style>
  <w:style w:type="character" w:styleId="ErrorTok" w:customStyle="1">
    <w:name w:val="ErrorTok"/>
    <w:qFormat/>
    <w:rPr>
      <w:b/>
      <w:color w:val="FF0000"/>
    </w:rPr>
  </w:style>
  <w:style w:type="character" w:styleId="NormalTok" w:customStyle="1">
    <w:name w:val="NormalTo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Georgia" w:hAnsi="Georgia" w:eastAsia="Lucida Sans Unicode" w:cs="Tahoma"/>
      <w:b/>
      <w:sz w:val="32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paragraph" w:styleId="Header">
    <w:name w:val="Header"/>
    <w:basedOn w:val="HeaderandFooter"/>
    <w:pPr>
      <w:suppressLineNumbers/>
      <w:tabs>
        <w:tab w:val="clear" w:pos="4819"/>
        <w:tab w:val="clear" w:pos="9638"/>
        <w:tab w:val="center" w:pos="4680" w:leader="none"/>
        <w:tab w:val="right" w:pos="9360" w:leader="none"/>
      </w:tabs>
    </w:pPr>
    <w:rPr/>
  </w:style>
  <w:style w:type="paragraph" w:styleId="SourceCode" w:customStyle="1">
    <w:name w:val="Source Code"/>
    <w:basedOn w:val="Normal"/>
    <w:link w:val="VerbatimChar"/>
    <w:qFormat/>
    <w:pPr>
      <w:suppressLineNumbers/>
      <w:spacing w:lineRule="auto" w:line="240"/>
    </w:pPr>
    <w:rPr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9" Target="media/rId39.pdf" /><Relationship Type="http://schemas.openxmlformats.org/officeDocument/2006/relationships/image" Id="rId38" Target="media/rId38.pdf" /><Relationship Type="http://schemas.openxmlformats.org/officeDocument/2006/relationships/hyperlink" Id="rId52" Target="http://arxiv.org/abs/1608.01031" TargetMode="External" /><Relationship Type="http://schemas.openxmlformats.org/officeDocument/2006/relationships/hyperlink" Id="rId54" Target="http://arxiv.org/abs/1703.09852" TargetMode="External" /><Relationship Type="http://schemas.openxmlformats.org/officeDocument/2006/relationships/hyperlink" Id="rId59" Target="https://doi.org/10.1038/s41587-019-0072-8" TargetMode="External" /><Relationship Type="http://schemas.openxmlformats.org/officeDocument/2006/relationships/hyperlink" Id="rId67" Target="https://doi.org/10.1093/bioinformatics/bts480" TargetMode="External" /><Relationship Type="http://schemas.openxmlformats.org/officeDocument/2006/relationships/hyperlink" Id="rId61" Target="https://doi.org/10.1093/bioinformatics/btv351" TargetMode="External" /><Relationship Type="http://schemas.openxmlformats.org/officeDocument/2006/relationships/hyperlink" Id="rId63" Target="https://doi.org/10.1186/s12859-018-2485-7" TargetMode="External" /><Relationship Type="http://schemas.openxmlformats.org/officeDocument/2006/relationships/hyperlink" Id="rId71" Target="https://doi.org/10.1371/journal.pone.0019379" TargetMode="External" /><Relationship Type="http://schemas.openxmlformats.org/officeDocument/2006/relationships/hyperlink" Id="rId50" Target="https://doi.org/10.1371/journal.pone.0023501" TargetMode="External" /><Relationship Type="http://schemas.openxmlformats.org/officeDocument/2006/relationships/hyperlink" Id="rId69" Target="https://doi.org/10.1371/journal.pone.0177459" TargetMode="External" /><Relationship Type="http://schemas.openxmlformats.org/officeDocument/2006/relationships/hyperlink" Id="rId56" Target="https://doi.org/10.17504/protocols.io.pnwdmfe" TargetMode="External" /><Relationship Type="http://schemas.openxmlformats.org/officeDocument/2006/relationships/hyperlink" Id="rId47" Target="https://doi.org/10.32614/RJ-2013-014" TargetMode="External" /><Relationship Type="http://schemas.openxmlformats.org/officeDocument/2006/relationships/hyperlink" Id="rId29" Target="https://github.com/MarissaLL/asw-para-matched" TargetMode="External" /><Relationship Type="http://schemas.openxmlformats.org/officeDocument/2006/relationships/hyperlink" Id="rId32" Target="https://github.com/TomHarrop/asw-flye-withpool" TargetMode="External" /><Relationship Type="http://schemas.openxmlformats.org/officeDocument/2006/relationships/hyperlink" Id="rId35" Target="https://github.com/TomHarrop/asw-gbs-genome-paper" TargetMode="External" /><Relationship Type="http://schemas.openxmlformats.org/officeDocument/2006/relationships/hyperlink" Id="rId28" Target="https://github.com/TomHarrop/stacks-asw" TargetMode="External" /><Relationship Type="http://schemas.openxmlformats.org/officeDocument/2006/relationships/hyperlink" Id="rId31" Target="https://github.com/tomharrop/asw-nopc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arxiv.org/abs/1608.01031" TargetMode="External" /><Relationship Type="http://schemas.openxmlformats.org/officeDocument/2006/relationships/hyperlink" Id="rId54" Target="http://arxiv.org/abs/1703.09852" TargetMode="External" /><Relationship Type="http://schemas.openxmlformats.org/officeDocument/2006/relationships/hyperlink" Id="rId59" Target="https://doi.org/10.1038/s41587-019-0072-8" TargetMode="External" /><Relationship Type="http://schemas.openxmlformats.org/officeDocument/2006/relationships/hyperlink" Id="rId67" Target="https://doi.org/10.1093/bioinformatics/bts480" TargetMode="External" /><Relationship Type="http://schemas.openxmlformats.org/officeDocument/2006/relationships/hyperlink" Id="rId61" Target="https://doi.org/10.1093/bioinformatics/btv351" TargetMode="External" /><Relationship Type="http://schemas.openxmlformats.org/officeDocument/2006/relationships/hyperlink" Id="rId63" Target="https://doi.org/10.1186/s12859-018-2485-7" TargetMode="External" /><Relationship Type="http://schemas.openxmlformats.org/officeDocument/2006/relationships/hyperlink" Id="rId71" Target="https://doi.org/10.1371/journal.pone.0019379" TargetMode="External" /><Relationship Type="http://schemas.openxmlformats.org/officeDocument/2006/relationships/hyperlink" Id="rId50" Target="https://doi.org/10.1371/journal.pone.0023501" TargetMode="External" /><Relationship Type="http://schemas.openxmlformats.org/officeDocument/2006/relationships/hyperlink" Id="rId69" Target="https://doi.org/10.1371/journal.pone.0177459" TargetMode="External" /><Relationship Type="http://schemas.openxmlformats.org/officeDocument/2006/relationships/hyperlink" Id="rId56" Target="https://doi.org/10.17504/protocols.io.pnwdmfe" TargetMode="External" /><Relationship Type="http://schemas.openxmlformats.org/officeDocument/2006/relationships/hyperlink" Id="rId47" Target="https://doi.org/10.32614/RJ-2013-014" TargetMode="External" /><Relationship Type="http://schemas.openxmlformats.org/officeDocument/2006/relationships/hyperlink" Id="rId29" Target="https://github.com/MarissaLL/asw-para-matched" TargetMode="External" /><Relationship Type="http://schemas.openxmlformats.org/officeDocument/2006/relationships/hyperlink" Id="rId32" Target="https://github.com/TomHarrop/asw-flye-withpool" TargetMode="External" /><Relationship Type="http://schemas.openxmlformats.org/officeDocument/2006/relationships/hyperlink" Id="rId35" Target="https://github.com/TomHarrop/asw-gbs-genome-paper" TargetMode="External" /><Relationship Type="http://schemas.openxmlformats.org/officeDocument/2006/relationships/hyperlink" Id="rId28" Target="https://github.com/TomHarrop/stacks-asw" TargetMode="External" /><Relationship Type="http://schemas.openxmlformats.org/officeDocument/2006/relationships/hyperlink" Id="rId31" Target="https://github.com/tomharrop/asw-nopc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LibreOffice/6.3.4.2$Linux_X86_64 LibreOffice_project/30$Build-2</Application>
  <Pages>12</Pages>
  <Words>679</Words>
  <Characters>3996</Characters>
  <CharactersWithSpaces>4631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2020-03-09T04:00:03Z</dcterms:created>
  <dcterms:modified xsi:type="dcterms:W3CDTF">2020-03-09T04:00:03Z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ref/ASW.bib</vt:lpwstr>
  </property>
  <property fmtid="{D5CDD505-2E9C-101B-9397-08002B2CF9AE}" pid="3" name="csl">
    <vt:lpwstr>ref/insects_doi.csl</vt:lpwstr>
  </property>
</Properties>
</file>